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CC" w:rsidRPr="00B459FD" w:rsidRDefault="006F0DCC" w:rsidP="002906C2">
      <w:pPr>
        <w:suppressAutoHyphens/>
        <w:overflowPunct/>
        <w:adjustRightInd/>
        <w:jc w:val="center"/>
        <w:textAlignment w:val="auto"/>
      </w:pPr>
      <w:bookmarkStart w:id="0" w:name="_GoBack"/>
      <w:bookmarkEnd w:id="0"/>
      <w:r w:rsidRPr="00B459FD">
        <w:rPr>
          <w:noProof/>
          <w:lang w:val="fr-BE" w:eastAsia="fr-BE"/>
        </w:rPr>
        <w:drawing>
          <wp:inline distT="0" distB="0" distL="0" distR="0" wp14:anchorId="3054E950" wp14:editId="448761D4">
            <wp:extent cx="874395" cy="564515"/>
            <wp:effectExtent l="0" t="0" r="190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9FD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8C0CB99" wp14:editId="374F6E4C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5AE" w:rsidRPr="002906C2" w:rsidRDefault="00A325AE" w:rsidP="00AF30A3">
                            <w:pPr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 w:rsidRPr="002906C2"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:rsidR="00A325AE" w:rsidRPr="002906C2" w:rsidRDefault="00A325AE" w:rsidP="00AF30A3">
                      <w:pPr>
                        <w:overflowPunct/>
                        <w:adjustRightInd/>
                        <w:jc w:val="center"/>
                        <w:textAlignment w:val="auto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 w:rsidRPr="002906C2">
                        <w:rPr>
                          <w:rFonts w:ascii="Arial" w:hAnsi="Arial"/>
                          <w:b/>
                          <w:sz w:val="48"/>
                        </w:rPr>
                        <w:t>PL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63C84" w:rsidRPr="00B459FD" w:rsidRDefault="006F0DCC" w:rsidP="002906C2">
      <w:pPr>
        <w:suppressAutoHyphens/>
        <w:overflowPunct/>
        <w:adjustRightInd/>
        <w:jc w:val="center"/>
        <w:textAlignment w:val="auto"/>
      </w:pPr>
      <w:r w:rsidRPr="00B459FD">
        <w:rPr>
          <w:rFonts w:ascii="Arial" w:hAnsi="Arial"/>
          <w:b/>
          <w:i/>
          <w:sz w:val="20"/>
        </w:rPr>
        <w:t>Europejski Komitet Ekonomiczno-Społeczny</w:t>
      </w:r>
    </w:p>
    <w:p w:rsidR="00646AC2" w:rsidRPr="00B459FD" w:rsidRDefault="00646AC2" w:rsidP="002906C2">
      <w:pPr>
        <w:suppressAutoHyphens/>
        <w:overflowPunct/>
        <w:adjustRightInd/>
        <w:textAlignment w:val="auto"/>
      </w:pPr>
    </w:p>
    <w:p w:rsidR="00646AC2" w:rsidRPr="00B459FD" w:rsidRDefault="00EB6307" w:rsidP="002906C2">
      <w:pPr>
        <w:suppressAutoHyphens/>
        <w:overflowPunct/>
        <w:adjustRightInd/>
        <w:jc w:val="right"/>
        <w:textAlignment w:val="auto"/>
      </w:pPr>
      <w:r w:rsidRPr="00B459FD">
        <w:rPr>
          <w:b/>
        </w:rPr>
        <w:t>SOC/579</w:t>
      </w:r>
    </w:p>
    <w:p w:rsidR="00563C84" w:rsidRPr="00B459FD" w:rsidRDefault="00EB6307" w:rsidP="002906C2">
      <w:pPr>
        <w:suppressAutoHyphens/>
        <w:overflowPunct/>
        <w:adjustRightInd/>
        <w:jc w:val="right"/>
        <w:textAlignment w:val="auto"/>
      </w:pPr>
      <w:r w:rsidRPr="00B459FD">
        <w:rPr>
          <w:b/>
        </w:rPr>
        <w:t xml:space="preserve">Sytuacja kobiet z niepełnosprawnością </w:t>
      </w:r>
    </w:p>
    <w:p w:rsidR="009B30AA" w:rsidRPr="00B459FD" w:rsidRDefault="009B30AA" w:rsidP="002906C2">
      <w:pPr>
        <w:suppressAutoHyphens/>
        <w:overflowPunct/>
        <w:adjustRightInd/>
        <w:textAlignment w:val="auto"/>
      </w:pPr>
    </w:p>
    <w:p w:rsidR="009B30AA" w:rsidRPr="00B459FD" w:rsidRDefault="009B30AA" w:rsidP="002906C2">
      <w:pPr>
        <w:suppressAutoHyphens/>
        <w:overflowPunct/>
        <w:adjustRightInd/>
        <w:textAlignment w:val="auto"/>
      </w:pPr>
    </w:p>
    <w:p w:rsidR="00646AC2" w:rsidRPr="00B459FD" w:rsidRDefault="00A1392C" w:rsidP="002906C2">
      <w:pPr>
        <w:suppressAutoHyphens/>
        <w:overflowPunct/>
        <w:adjustRightInd/>
        <w:jc w:val="center"/>
        <w:textAlignment w:val="auto"/>
      </w:pPr>
      <w:r w:rsidRPr="00B459FD">
        <w:rPr>
          <w:b/>
          <w:sz w:val="28"/>
        </w:rPr>
        <w:t>PROJEKT OPINII</w:t>
      </w:r>
      <w:r w:rsidRPr="00B459FD">
        <w:br/>
      </w:r>
      <w:r w:rsidRPr="00B459FD">
        <w:br/>
        <w:t>Sekcja Zatrudnienia, Spraw Społecznych i Obywatelstwa</w:t>
      </w:r>
      <w:r w:rsidRPr="00B459FD">
        <w:br/>
      </w:r>
      <w:r w:rsidRPr="00B459FD">
        <w:br/>
      </w:r>
      <w:r w:rsidRPr="00B459FD">
        <w:rPr>
          <w:b/>
        </w:rPr>
        <w:t>Sytuacja kobiet z niepełnosprawnością</w:t>
      </w:r>
      <w:r w:rsidRPr="00B459FD">
        <w:br/>
        <w:t>(opinia rozpoznawcza na wniosek Parlamentu Europejskiego)</w:t>
      </w:r>
    </w:p>
    <w:p w:rsidR="009B30AA" w:rsidRPr="00B459FD" w:rsidRDefault="009B30AA" w:rsidP="002906C2">
      <w:pPr>
        <w:suppressAutoHyphens/>
        <w:overflowPunct/>
        <w:adjustRightInd/>
        <w:jc w:val="center"/>
        <w:textAlignment w:val="auto"/>
      </w:pPr>
    </w:p>
    <w:tbl>
      <w:tblPr>
        <w:tblpPr w:leftFromText="181" w:rightFromText="181" w:tblpYSpec="bottom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204"/>
      </w:tblGrid>
      <w:tr w:rsidR="00FF3759" w:rsidRPr="00B459FD" w:rsidTr="00A325AE">
        <w:tc>
          <w:tcPr>
            <w:tcW w:w="9289" w:type="dxa"/>
            <w:gridSpan w:val="2"/>
          </w:tcPr>
          <w:p w:rsidR="00FF3759" w:rsidRPr="00B459FD" w:rsidRDefault="00FF3759" w:rsidP="002906C2">
            <w:pPr>
              <w:suppressAutoHyphens/>
              <w:overflowPunct/>
              <w:adjustRightInd/>
              <w:jc w:val="left"/>
              <w:textAlignment w:val="auto"/>
              <w:rPr>
                <w:szCs w:val="22"/>
              </w:rPr>
            </w:pPr>
            <w:r w:rsidRPr="00B459FD">
              <w:t>Do członków sekcji</w:t>
            </w:r>
          </w:p>
        </w:tc>
      </w:tr>
      <w:tr w:rsidR="00FF3759" w:rsidRPr="00B459FD" w:rsidTr="00A325AE">
        <w:tc>
          <w:tcPr>
            <w:tcW w:w="9289" w:type="dxa"/>
            <w:gridSpan w:val="2"/>
          </w:tcPr>
          <w:p w:rsidR="00FF3759" w:rsidRPr="00B459FD" w:rsidRDefault="00FF3759" w:rsidP="002906C2">
            <w:pPr>
              <w:suppressAutoHyphens/>
              <w:overflowPunct/>
              <w:adjustRightInd/>
              <w:jc w:val="left"/>
              <w:textAlignment w:val="auto"/>
              <w:rPr>
                <w:szCs w:val="22"/>
                <w:lang w:eastAsia="en-GB" w:bidi="en-GB"/>
              </w:rPr>
            </w:pPr>
          </w:p>
        </w:tc>
      </w:tr>
      <w:tr w:rsidR="00FF3759" w:rsidRPr="00B459FD" w:rsidTr="00A325AE">
        <w:tc>
          <w:tcPr>
            <w:tcW w:w="3085" w:type="dxa"/>
          </w:tcPr>
          <w:p w:rsidR="00FF3759" w:rsidRPr="00B459FD" w:rsidRDefault="004054F8" w:rsidP="002906C2">
            <w:pPr>
              <w:suppressAutoHyphens/>
              <w:overflowPunct/>
              <w:adjustRightInd/>
              <w:jc w:val="left"/>
              <w:textAlignment w:val="auto"/>
            </w:pPr>
            <w:r w:rsidRPr="00B459FD">
              <w:t>Posiedzenie sekcji</w:t>
            </w:r>
          </w:p>
          <w:p w:rsidR="004054F8" w:rsidRPr="00B459FD" w:rsidRDefault="004054F8" w:rsidP="002906C2">
            <w:pPr>
              <w:suppressAutoHyphens/>
              <w:overflowPunct/>
              <w:adjustRightInd/>
              <w:jc w:val="left"/>
              <w:textAlignment w:val="auto"/>
              <w:rPr>
                <w:b/>
                <w:szCs w:val="22"/>
              </w:rPr>
            </w:pPr>
            <w:r w:rsidRPr="00B459FD">
              <w:rPr>
                <w:b/>
              </w:rPr>
              <w:t>Termin zgłaszania poprawek</w:t>
            </w:r>
          </w:p>
        </w:tc>
        <w:tc>
          <w:tcPr>
            <w:tcW w:w="6204" w:type="dxa"/>
          </w:tcPr>
          <w:p w:rsidR="00FF3759" w:rsidRPr="00B459FD" w:rsidRDefault="004054F8" w:rsidP="002906C2">
            <w:pPr>
              <w:suppressAutoHyphens/>
              <w:overflowPunct/>
              <w:adjustRightInd/>
              <w:jc w:val="left"/>
              <w:textAlignment w:val="auto"/>
            </w:pPr>
            <w:r w:rsidRPr="00B459FD">
              <w:t>06/06/2018, 10:00</w:t>
            </w:r>
          </w:p>
          <w:p w:rsidR="004054F8" w:rsidRPr="00B459FD" w:rsidRDefault="00521775" w:rsidP="002906C2">
            <w:pPr>
              <w:suppressAutoHyphens/>
              <w:overflowPunct/>
              <w:adjustRightInd/>
              <w:jc w:val="left"/>
              <w:textAlignment w:val="auto"/>
              <w:rPr>
                <w:b/>
                <w:szCs w:val="22"/>
              </w:rPr>
            </w:pPr>
            <w:r w:rsidRPr="00B459FD">
              <w:rPr>
                <w:b/>
              </w:rPr>
              <w:t>01/06/2018, 10:00</w:t>
            </w:r>
          </w:p>
        </w:tc>
      </w:tr>
      <w:tr w:rsidR="00FF3759" w:rsidRPr="00B459FD" w:rsidTr="00CD4855">
        <w:tc>
          <w:tcPr>
            <w:tcW w:w="3085" w:type="dxa"/>
          </w:tcPr>
          <w:p w:rsidR="00FF3759" w:rsidRPr="00B459FD" w:rsidRDefault="00FF3759" w:rsidP="002906C2">
            <w:pPr>
              <w:suppressAutoHyphens/>
              <w:overflowPunct/>
              <w:adjustRightInd/>
              <w:jc w:val="left"/>
              <w:textAlignment w:val="auto"/>
              <w:rPr>
                <w:szCs w:val="22"/>
              </w:rPr>
            </w:pPr>
            <w:r w:rsidRPr="00B459FD">
              <w:t>Kontakt</w:t>
            </w:r>
          </w:p>
        </w:tc>
        <w:tc>
          <w:tcPr>
            <w:tcW w:w="6204" w:type="dxa"/>
          </w:tcPr>
          <w:p w:rsidR="00FF3759" w:rsidRPr="00B459FD" w:rsidRDefault="00917BC8" w:rsidP="002906C2">
            <w:pPr>
              <w:suppressAutoHyphens/>
              <w:overflowPunct/>
              <w:adjustRightInd/>
              <w:jc w:val="left"/>
              <w:textAlignment w:val="auto"/>
              <w:rPr>
                <w:color w:val="0000FF"/>
                <w:szCs w:val="22"/>
                <w:u w:val="single"/>
              </w:rPr>
            </w:pPr>
            <w:hyperlink r:id="rId14" w:history="1">
              <w:r w:rsidR="00EC0811" w:rsidRPr="00B459FD">
                <w:rPr>
                  <w:rStyle w:val="Hyperlink"/>
                </w:rPr>
                <w:t>valeria.atzori@eesc.europa.eu</w:t>
              </w:r>
            </w:hyperlink>
            <w:r w:rsidR="00EC0811" w:rsidRPr="00B459FD">
              <w:rPr>
                <w:color w:val="0000FF"/>
                <w:u w:val="single"/>
              </w:rPr>
              <w:t xml:space="preserve"> </w:t>
            </w:r>
          </w:p>
        </w:tc>
      </w:tr>
      <w:tr w:rsidR="00FF3759" w:rsidRPr="00B459FD" w:rsidTr="00CD4855">
        <w:tc>
          <w:tcPr>
            <w:tcW w:w="3085" w:type="dxa"/>
          </w:tcPr>
          <w:p w:rsidR="00FF3759" w:rsidRPr="00B459FD" w:rsidRDefault="00FF3759" w:rsidP="002906C2">
            <w:pPr>
              <w:suppressAutoHyphens/>
              <w:overflowPunct/>
              <w:adjustRightInd/>
              <w:jc w:val="left"/>
              <w:textAlignment w:val="auto"/>
              <w:rPr>
                <w:szCs w:val="22"/>
              </w:rPr>
            </w:pPr>
            <w:r w:rsidRPr="00B459FD">
              <w:t>Administratorka</w:t>
            </w:r>
          </w:p>
        </w:tc>
        <w:tc>
          <w:tcPr>
            <w:tcW w:w="6204" w:type="dxa"/>
          </w:tcPr>
          <w:p w:rsidR="00FF3759" w:rsidRPr="00B459FD" w:rsidRDefault="002B2294" w:rsidP="002906C2">
            <w:pPr>
              <w:suppressAutoHyphens/>
              <w:overflowPunct/>
              <w:adjustRightInd/>
              <w:jc w:val="left"/>
              <w:textAlignment w:val="auto"/>
              <w:rPr>
                <w:szCs w:val="22"/>
              </w:rPr>
            </w:pPr>
            <w:r w:rsidRPr="00B459FD">
              <w:t>Valeria ATZORI</w:t>
            </w:r>
          </w:p>
        </w:tc>
      </w:tr>
      <w:tr w:rsidR="00FF3759" w:rsidRPr="00B459FD" w:rsidTr="00CD4855">
        <w:tc>
          <w:tcPr>
            <w:tcW w:w="3085" w:type="dxa"/>
          </w:tcPr>
          <w:p w:rsidR="00FF3759" w:rsidRPr="00B459FD" w:rsidRDefault="00FF3759" w:rsidP="002906C2">
            <w:pPr>
              <w:suppressAutoHyphens/>
              <w:overflowPunct/>
              <w:adjustRightInd/>
              <w:jc w:val="left"/>
              <w:textAlignment w:val="auto"/>
              <w:rPr>
                <w:szCs w:val="22"/>
              </w:rPr>
            </w:pPr>
            <w:r w:rsidRPr="00B459FD">
              <w:t>Data dokumentu</w:t>
            </w:r>
          </w:p>
        </w:tc>
        <w:tc>
          <w:tcPr>
            <w:tcW w:w="6204" w:type="dxa"/>
          </w:tcPr>
          <w:p w:rsidR="00FF3759" w:rsidRPr="00B459FD" w:rsidRDefault="007865E1" w:rsidP="002906C2">
            <w:pPr>
              <w:suppressAutoHyphens/>
              <w:overflowPunct/>
              <w:adjustRightInd/>
              <w:jc w:val="left"/>
              <w:textAlignment w:val="auto"/>
              <w:rPr>
                <w:szCs w:val="22"/>
              </w:rPr>
            </w:pPr>
            <w:r w:rsidRPr="00B459FD">
              <w:t>29/05/2018</w:t>
            </w:r>
          </w:p>
        </w:tc>
      </w:tr>
    </w:tbl>
    <w:p w:rsidR="00E32DC6" w:rsidRPr="00B459FD" w:rsidRDefault="007F5E0D" w:rsidP="00A64B1E">
      <w:pPr>
        <w:suppressAutoHyphens/>
        <w:overflowPunct/>
        <w:adjustRightInd/>
        <w:jc w:val="center"/>
        <w:textAlignment w:val="auto"/>
      </w:pPr>
      <w:r w:rsidRPr="00B459FD">
        <w:t>Sprawozdawczyni: Gunta ANČA</w:t>
      </w:r>
    </w:p>
    <w:p w:rsidR="00E32DC6" w:rsidRPr="00B459FD" w:rsidRDefault="00E32DC6" w:rsidP="002906C2">
      <w:pPr>
        <w:suppressAutoHyphens/>
        <w:overflowPunct/>
        <w:adjustRightInd/>
        <w:textAlignment w:val="auto"/>
      </w:pPr>
    </w:p>
    <w:p w:rsidR="00E32DC6" w:rsidRPr="00B459FD" w:rsidRDefault="00E32DC6" w:rsidP="002906C2">
      <w:pPr>
        <w:suppressAutoHyphens/>
        <w:overflowPunct/>
        <w:adjustRightInd/>
        <w:textAlignment w:val="auto"/>
        <w:sectPr w:rsidR="00E32DC6" w:rsidRPr="00B459FD" w:rsidSect="002906C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39" w:code="9"/>
          <w:pgMar w:top="1417" w:right="1417" w:bottom="1417" w:left="1417" w:header="709" w:footer="709" w:gutter="0"/>
          <w:pgNumType w:start="1"/>
          <w:cols w:space="720"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920"/>
      </w:tblGrid>
      <w:tr w:rsidR="0011656A" w:rsidRPr="00B459FD" w:rsidTr="00EC0811">
        <w:tc>
          <w:tcPr>
            <w:tcW w:w="3369" w:type="dxa"/>
          </w:tcPr>
          <w:p w:rsidR="0011656A" w:rsidRPr="00B459FD" w:rsidRDefault="0011656A" w:rsidP="002906C2">
            <w:pPr>
              <w:suppressAutoHyphens/>
              <w:overflowPunct/>
              <w:adjustRightInd/>
              <w:textAlignment w:val="auto"/>
              <w:rPr>
                <w:szCs w:val="22"/>
              </w:rPr>
            </w:pPr>
            <w:r w:rsidRPr="00B459FD">
              <w:lastRenderedPageBreak/>
              <w:t>Grupa analityczna</w:t>
            </w:r>
          </w:p>
        </w:tc>
        <w:tc>
          <w:tcPr>
            <w:tcW w:w="5920" w:type="dxa"/>
          </w:tcPr>
          <w:p w:rsidR="0011656A" w:rsidRPr="00B459FD" w:rsidRDefault="002B2294" w:rsidP="002906C2">
            <w:pPr>
              <w:suppressAutoHyphens/>
              <w:overflowPunct/>
              <w:adjustRightInd/>
              <w:jc w:val="left"/>
              <w:textAlignment w:val="auto"/>
              <w:rPr>
                <w:szCs w:val="22"/>
              </w:rPr>
            </w:pPr>
            <w:r w:rsidRPr="00B459FD">
              <w:t>Sytuacja kobiet z niepełnosprawnością</w:t>
            </w:r>
          </w:p>
        </w:tc>
      </w:tr>
      <w:tr w:rsidR="00033913" w:rsidRPr="00B459FD" w:rsidTr="00EC0811">
        <w:tc>
          <w:tcPr>
            <w:tcW w:w="3369" w:type="dxa"/>
          </w:tcPr>
          <w:p w:rsidR="00033913" w:rsidRPr="00B459FD" w:rsidRDefault="00033913" w:rsidP="002906C2">
            <w:pPr>
              <w:suppressAutoHyphens/>
              <w:overflowPunct/>
              <w:adjustRightInd/>
              <w:textAlignment w:val="auto"/>
              <w:rPr>
                <w:szCs w:val="22"/>
              </w:rPr>
            </w:pPr>
          </w:p>
        </w:tc>
        <w:tc>
          <w:tcPr>
            <w:tcW w:w="5920" w:type="dxa"/>
          </w:tcPr>
          <w:p w:rsidR="00033913" w:rsidRPr="00B459FD" w:rsidRDefault="00033913" w:rsidP="002906C2">
            <w:pPr>
              <w:suppressAutoHyphens/>
              <w:overflowPunct/>
              <w:adjustRightInd/>
              <w:jc w:val="left"/>
              <w:textAlignment w:val="auto"/>
              <w:rPr>
                <w:szCs w:val="22"/>
              </w:rPr>
            </w:pPr>
          </w:p>
        </w:tc>
      </w:tr>
      <w:tr w:rsidR="0011656A" w:rsidRPr="00B459FD" w:rsidTr="00EC0811">
        <w:tc>
          <w:tcPr>
            <w:tcW w:w="3369" w:type="dxa"/>
          </w:tcPr>
          <w:p w:rsidR="0011656A" w:rsidRPr="00B459FD" w:rsidRDefault="0011656A" w:rsidP="002906C2">
            <w:pPr>
              <w:suppressAutoHyphens/>
              <w:overflowPunct/>
              <w:adjustRightInd/>
              <w:textAlignment w:val="auto"/>
              <w:rPr>
                <w:szCs w:val="22"/>
              </w:rPr>
            </w:pPr>
            <w:r w:rsidRPr="00B459FD">
              <w:t>Przewodnicząca</w:t>
            </w:r>
          </w:p>
        </w:tc>
        <w:tc>
          <w:tcPr>
            <w:tcW w:w="5920" w:type="dxa"/>
          </w:tcPr>
          <w:p w:rsidR="0011656A" w:rsidRPr="00B459FD" w:rsidRDefault="002B2294" w:rsidP="002906C2">
            <w:pPr>
              <w:suppressAutoHyphens/>
              <w:overflowPunct/>
              <w:adjustRightInd/>
              <w:jc w:val="left"/>
              <w:textAlignment w:val="auto"/>
              <w:rPr>
                <w:szCs w:val="22"/>
              </w:rPr>
            </w:pPr>
            <w:r w:rsidRPr="00B459FD">
              <w:t>Marie ZVOLSKÁ (CZ – I)</w:t>
            </w:r>
          </w:p>
        </w:tc>
      </w:tr>
      <w:tr w:rsidR="0011656A" w:rsidRPr="00B459FD" w:rsidTr="00EC0811">
        <w:tc>
          <w:tcPr>
            <w:tcW w:w="3369" w:type="dxa"/>
          </w:tcPr>
          <w:p w:rsidR="0011656A" w:rsidRPr="00B459FD" w:rsidRDefault="0011656A" w:rsidP="002906C2">
            <w:pPr>
              <w:suppressAutoHyphens/>
              <w:overflowPunct/>
              <w:adjustRightInd/>
              <w:textAlignment w:val="auto"/>
              <w:rPr>
                <w:szCs w:val="22"/>
              </w:rPr>
            </w:pPr>
            <w:r w:rsidRPr="00B459FD">
              <w:t>Sprawozdawczyni</w:t>
            </w:r>
          </w:p>
        </w:tc>
        <w:tc>
          <w:tcPr>
            <w:tcW w:w="5920" w:type="dxa"/>
          </w:tcPr>
          <w:p w:rsidR="0011656A" w:rsidRPr="00B459FD" w:rsidRDefault="000B370B" w:rsidP="002906C2">
            <w:pPr>
              <w:suppressAutoHyphens/>
              <w:overflowPunct/>
              <w:adjustRightInd/>
              <w:jc w:val="left"/>
              <w:textAlignment w:val="auto"/>
              <w:rPr>
                <w:szCs w:val="22"/>
              </w:rPr>
            </w:pPr>
            <w:r w:rsidRPr="00B459FD">
              <w:t>Gunta ANČA (LV – III)</w:t>
            </w:r>
          </w:p>
        </w:tc>
      </w:tr>
      <w:tr w:rsidR="008C3049" w:rsidRPr="00B459FD" w:rsidTr="00EC0811">
        <w:tc>
          <w:tcPr>
            <w:tcW w:w="3369" w:type="dxa"/>
          </w:tcPr>
          <w:p w:rsidR="008C3049" w:rsidRPr="00B459FD" w:rsidRDefault="008C3049" w:rsidP="002906C2">
            <w:pPr>
              <w:suppressAutoHyphens/>
              <w:overflowPunct/>
              <w:adjustRightInd/>
              <w:textAlignment w:val="auto"/>
              <w:rPr>
                <w:szCs w:val="22"/>
              </w:rPr>
            </w:pPr>
          </w:p>
        </w:tc>
        <w:tc>
          <w:tcPr>
            <w:tcW w:w="5920" w:type="dxa"/>
          </w:tcPr>
          <w:p w:rsidR="008C3049" w:rsidRPr="00B459FD" w:rsidRDefault="008C3049" w:rsidP="002906C2">
            <w:pPr>
              <w:suppressAutoHyphens/>
              <w:overflowPunct/>
              <w:adjustRightInd/>
              <w:jc w:val="left"/>
              <w:textAlignment w:val="auto"/>
              <w:rPr>
                <w:szCs w:val="22"/>
              </w:rPr>
            </w:pPr>
          </w:p>
        </w:tc>
      </w:tr>
      <w:tr w:rsidR="0011656A" w:rsidRPr="00B459FD" w:rsidTr="00EC0811">
        <w:tc>
          <w:tcPr>
            <w:tcW w:w="3369" w:type="dxa"/>
          </w:tcPr>
          <w:p w:rsidR="0011656A" w:rsidRPr="00B459FD" w:rsidRDefault="0011656A" w:rsidP="002906C2">
            <w:pPr>
              <w:suppressAutoHyphens/>
              <w:overflowPunct/>
              <w:adjustRightInd/>
              <w:textAlignment w:val="auto"/>
              <w:rPr>
                <w:szCs w:val="22"/>
              </w:rPr>
            </w:pPr>
            <w:r w:rsidRPr="00B459FD">
              <w:t>Członkowie</w:t>
            </w:r>
          </w:p>
        </w:tc>
        <w:tc>
          <w:tcPr>
            <w:tcW w:w="5920" w:type="dxa"/>
          </w:tcPr>
          <w:p w:rsidR="0011656A" w:rsidRPr="00B459FD" w:rsidRDefault="000B370B" w:rsidP="002906C2">
            <w:pPr>
              <w:suppressAutoHyphens/>
              <w:overflowPunct/>
              <w:adjustRightInd/>
              <w:jc w:val="left"/>
              <w:textAlignment w:val="auto"/>
            </w:pPr>
            <w:r w:rsidRPr="00B459FD">
              <w:t>Ask ABILDGAARD (DK – III)</w:t>
            </w:r>
          </w:p>
          <w:p w:rsidR="00C737B2" w:rsidRPr="00B459FD" w:rsidRDefault="000B370B" w:rsidP="002906C2">
            <w:pPr>
              <w:suppressAutoHyphens/>
              <w:overflowPunct/>
              <w:adjustRightInd/>
              <w:jc w:val="left"/>
              <w:textAlignment w:val="auto"/>
            </w:pPr>
            <w:r w:rsidRPr="00B459FD">
              <w:t>Pietro Vittorio BARBIERI (IT – III)</w:t>
            </w:r>
          </w:p>
          <w:p w:rsidR="000B370B" w:rsidRPr="00B459FD" w:rsidRDefault="000B370B" w:rsidP="002906C2">
            <w:pPr>
              <w:suppressAutoHyphens/>
              <w:overflowPunct/>
              <w:adjustRightInd/>
              <w:jc w:val="left"/>
              <w:textAlignment w:val="auto"/>
            </w:pPr>
            <w:r w:rsidRPr="00B459FD">
              <w:t>Dorota GARDIAS (PL – II)</w:t>
            </w:r>
          </w:p>
          <w:p w:rsidR="000B370B" w:rsidRPr="00B459FD" w:rsidRDefault="000B370B" w:rsidP="002906C2">
            <w:pPr>
              <w:suppressAutoHyphens/>
              <w:overflowPunct/>
              <w:adjustRightInd/>
              <w:jc w:val="left"/>
              <w:textAlignment w:val="auto"/>
            </w:pPr>
            <w:r w:rsidRPr="00B459FD">
              <w:t>Bo JANSSON (SE – II)</w:t>
            </w:r>
          </w:p>
          <w:p w:rsidR="000B370B" w:rsidRPr="00B459FD" w:rsidRDefault="000B370B" w:rsidP="002906C2">
            <w:pPr>
              <w:suppressAutoHyphens/>
              <w:overflowPunct/>
              <w:adjustRightInd/>
              <w:jc w:val="left"/>
              <w:textAlignment w:val="auto"/>
            </w:pPr>
            <w:r w:rsidRPr="00B459FD">
              <w:t>Linas LASIAUSKAS (LT – I)</w:t>
            </w:r>
          </w:p>
          <w:p w:rsidR="000B370B" w:rsidRPr="00B459FD" w:rsidRDefault="000B370B" w:rsidP="002906C2">
            <w:pPr>
              <w:suppressAutoHyphens/>
              <w:overflowPunct/>
              <w:adjustRightInd/>
              <w:jc w:val="left"/>
              <w:textAlignment w:val="auto"/>
            </w:pPr>
            <w:r w:rsidRPr="00B459FD">
              <w:t>Christophe LEFÈVRE (FR – II)</w:t>
            </w:r>
          </w:p>
          <w:p w:rsidR="000B370B" w:rsidRPr="00B459FD" w:rsidRDefault="000B370B" w:rsidP="002906C2">
            <w:pPr>
              <w:suppressAutoHyphens/>
              <w:overflowPunct/>
              <w:adjustRightInd/>
              <w:jc w:val="left"/>
              <w:textAlignment w:val="auto"/>
            </w:pPr>
            <w:r w:rsidRPr="00B459FD">
              <w:t>Irena PETRAITIENĖ (LT – II)</w:t>
            </w:r>
          </w:p>
          <w:p w:rsidR="000B370B" w:rsidRPr="00B459FD" w:rsidRDefault="00587885" w:rsidP="002906C2">
            <w:pPr>
              <w:suppressAutoHyphens/>
              <w:overflowPunct/>
              <w:adjustRightInd/>
              <w:jc w:val="left"/>
              <w:textAlignment w:val="auto"/>
            </w:pPr>
            <w:r w:rsidRPr="00B459FD">
              <w:t>Antonello PEZZINI (IT – I)</w:t>
            </w:r>
          </w:p>
          <w:p w:rsidR="00587885" w:rsidRPr="00B459FD" w:rsidRDefault="00587885" w:rsidP="002906C2">
            <w:pPr>
              <w:suppressAutoHyphens/>
              <w:overflowPunct/>
              <w:adjustRightInd/>
              <w:jc w:val="left"/>
              <w:textAlignment w:val="auto"/>
            </w:pPr>
            <w:r w:rsidRPr="00B459FD">
              <w:t>Madi SHARMA (UK – I)</w:t>
            </w:r>
          </w:p>
          <w:p w:rsidR="00C737B2" w:rsidRPr="00B459FD" w:rsidRDefault="0036638E" w:rsidP="002906C2">
            <w:pPr>
              <w:suppressAutoHyphens/>
              <w:overflowPunct/>
              <w:adjustRightInd/>
              <w:jc w:val="left"/>
              <w:textAlignment w:val="auto"/>
              <w:rPr>
                <w:szCs w:val="22"/>
              </w:rPr>
            </w:pPr>
            <w:r w:rsidRPr="00B459FD">
              <w:t>Indrė VAREIKYTĖ (LT – III)</w:t>
            </w:r>
          </w:p>
        </w:tc>
      </w:tr>
      <w:tr w:rsidR="00033913" w:rsidRPr="00B459FD" w:rsidTr="00EC0811">
        <w:tc>
          <w:tcPr>
            <w:tcW w:w="3369" w:type="dxa"/>
          </w:tcPr>
          <w:p w:rsidR="00033913" w:rsidRPr="00B459FD" w:rsidRDefault="00033913" w:rsidP="002906C2">
            <w:pPr>
              <w:suppressAutoHyphens/>
              <w:overflowPunct/>
              <w:adjustRightInd/>
              <w:textAlignment w:val="auto"/>
              <w:rPr>
                <w:szCs w:val="22"/>
              </w:rPr>
            </w:pPr>
          </w:p>
        </w:tc>
        <w:tc>
          <w:tcPr>
            <w:tcW w:w="5920" w:type="dxa"/>
          </w:tcPr>
          <w:p w:rsidR="00033913" w:rsidRPr="00B459FD" w:rsidRDefault="00033913" w:rsidP="002906C2">
            <w:pPr>
              <w:suppressAutoHyphens/>
              <w:overflowPunct/>
              <w:adjustRightInd/>
              <w:jc w:val="left"/>
              <w:textAlignment w:val="auto"/>
              <w:rPr>
                <w:szCs w:val="22"/>
              </w:rPr>
            </w:pPr>
          </w:p>
        </w:tc>
      </w:tr>
      <w:tr w:rsidR="0011656A" w:rsidRPr="00B459FD" w:rsidTr="00EC0811">
        <w:tc>
          <w:tcPr>
            <w:tcW w:w="3369" w:type="dxa"/>
          </w:tcPr>
          <w:p w:rsidR="0011656A" w:rsidRPr="00B459FD" w:rsidRDefault="0090053A" w:rsidP="002906C2">
            <w:pPr>
              <w:suppressAutoHyphens/>
              <w:overflowPunct/>
              <w:adjustRightInd/>
              <w:textAlignment w:val="auto"/>
              <w:rPr>
                <w:szCs w:val="22"/>
              </w:rPr>
            </w:pPr>
            <w:r w:rsidRPr="00B459FD">
              <w:t>Ekspert</w:t>
            </w:r>
          </w:p>
        </w:tc>
        <w:tc>
          <w:tcPr>
            <w:tcW w:w="5920" w:type="dxa"/>
          </w:tcPr>
          <w:p w:rsidR="0090053A" w:rsidRPr="00B459FD" w:rsidRDefault="001C78F4" w:rsidP="002906C2">
            <w:pPr>
              <w:suppressAutoHyphens/>
              <w:overflowPunct/>
              <w:adjustRightInd/>
              <w:jc w:val="left"/>
              <w:textAlignment w:val="auto"/>
              <w:rPr>
                <w:szCs w:val="22"/>
              </w:rPr>
            </w:pPr>
            <w:r w:rsidRPr="00B459FD">
              <w:t xml:space="preserve">An-Sofie </w:t>
            </w:r>
            <w:r w:rsidR="00EC0811" w:rsidRPr="00B459FD">
              <w:t>LEENKNECHT</w:t>
            </w:r>
          </w:p>
        </w:tc>
      </w:tr>
    </w:tbl>
    <w:p w:rsidR="0012220C" w:rsidRPr="00B459FD" w:rsidRDefault="0012220C" w:rsidP="002906C2">
      <w:pPr>
        <w:suppressAutoHyphens/>
        <w:overflowPunct/>
        <w:adjustRightInd/>
        <w:textAlignment w:val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918"/>
      </w:tblGrid>
      <w:tr w:rsidR="0011656A" w:rsidRPr="00B459FD" w:rsidTr="00EC0811">
        <w:tc>
          <w:tcPr>
            <w:tcW w:w="3369" w:type="dxa"/>
          </w:tcPr>
          <w:p w:rsidR="0011656A" w:rsidRPr="00B459FD" w:rsidRDefault="0090053A" w:rsidP="002906C2">
            <w:pPr>
              <w:suppressAutoHyphens/>
              <w:overflowPunct/>
              <w:adjustRightInd/>
              <w:jc w:val="left"/>
              <w:textAlignment w:val="auto"/>
              <w:rPr>
                <w:szCs w:val="22"/>
              </w:rPr>
            </w:pPr>
            <w:r w:rsidRPr="00B459FD">
              <w:t xml:space="preserve">Wniosek o konsultację </w:t>
            </w:r>
          </w:p>
        </w:tc>
        <w:tc>
          <w:tcPr>
            <w:tcW w:w="5918" w:type="dxa"/>
          </w:tcPr>
          <w:p w:rsidR="0011656A" w:rsidRPr="00B459FD" w:rsidRDefault="00587885" w:rsidP="002906C2">
            <w:pPr>
              <w:suppressAutoHyphens/>
              <w:overflowPunct/>
              <w:adjustRightInd/>
              <w:jc w:val="left"/>
              <w:textAlignment w:val="auto"/>
              <w:rPr>
                <w:szCs w:val="22"/>
              </w:rPr>
            </w:pPr>
            <w:r w:rsidRPr="00B459FD">
              <w:t>Parlament Europejski, 03/04/2018</w:t>
            </w:r>
          </w:p>
        </w:tc>
      </w:tr>
      <w:tr w:rsidR="0016503F" w:rsidRPr="00B459FD" w:rsidTr="00EC0811">
        <w:trPr>
          <w:trHeight w:val="251"/>
        </w:trPr>
        <w:tc>
          <w:tcPr>
            <w:tcW w:w="3369" w:type="dxa"/>
          </w:tcPr>
          <w:p w:rsidR="0016503F" w:rsidRPr="00B459FD" w:rsidRDefault="0016503F" w:rsidP="002906C2">
            <w:pPr>
              <w:suppressAutoHyphens/>
              <w:overflowPunct/>
              <w:adjustRightInd/>
              <w:jc w:val="left"/>
              <w:textAlignment w:val="auto"/>
              <w:rPr>
                <w:szCs w:val="22"/>
              </w:rPr>
            </w:pPr>
            <w:r w:rsidRPr="00B459FD">
              <w:t>Podstawa prawna</w:t>
            </w:r>
          </w:p>
        </w:tc>
        <w:tc>
          <w:tcPr>
            <w:tcW w:w="5918" w:type="dxa"/>
          </w:tcPr>
          <w:p w:rsidR="0016503F" w:rsidRPr="00B459FD" w:rsidRDefault="0016503F" w:rsidP="002906C2">
            <w:pPr>
              <w:suppressAutoHyphens/>
              <w:overflowPunct/>
              <w:adjustRightInd/>
              <w:jc w:val="left"/>
              <w:textAlignment w:val="auto"/>
              <w:rPr>
                <w:szCs w:val="22"/>
              </w:rPr>
            </w:pPr>
            <w:r w:rsidRPr="00B459FD">
              <w:t>Art. 29 Traktatu o funkcjonowaniu Unii Europejskiej</w:t>
            </w:r>
          </w:p>
        </w:tc>
      </w:tr>
      <w:tr w:rsidR="0016503F" w:rsidRPr="00B459FD" w:rsidTr="00EC0811">
        <w:trPr>
          <w:trHeight w:val="250"/>
        </w:trPr>
        <w:tc>
          <w:tcPr>
            <w:tcW w:w="3369" w:type="dxa"/>
          </w:tcPr>
          <w:p w:rsidR="0016503F" w:rsidRPr="00B459FD" w:rsidRDefault="0016503F" w:rsidP="002906C2">
            <w:pPr>
              <w:suppressAutoHyphens/>
              <w:overflowPunct/>
              <w:adjustRightInd/>
              <w:jc w:val="left"/>
              <w:textAlignment w:val="auto"/>
              <w:rPr>
                <w:szCs w:val="22"/>
              </w:rPr>
            </w:pPr>
          </w:p>
        </w:tc>
        <w:tc>
          <w:tcPr>
            <w:tcW w:w="5918" w:type="dxa"/>
          </w:tcPr>
          <w:p w:rsidR="0016503F" w:rsidRPr="00B459FD" w:rsidRDefault="0016503F" w:rsidP="002906C2">
            <w:pPr>
              <w:suppressAutoHyphens/>
              <w:overflowPunct/>
              <w:adjustRightInd/>
              <w:jc w:val="left"/>
              <w:textAlignment w:val="auto"/>
              <w:rPr>
                <w:szCs w:val="22"/>
              </w:rPr>
            </w:pPr>
          </w:p>
        </w:tc>
      </w:tr>
      <w:tr w:rsidR="007E50BF" w:rsidRPr="00B459FD" w:rsidTr="00EC0811">
        <w:tc>
          <w:tcPr>
            <w:tcW w:w="3369" w:type="dxa"/>
          </w:tcPr>
          <w:p w:rsidR="007E50BF" w:rsidRPr="00B459FD" w:rsidRDefault="007E50BF" w:rsidP="002906C2">
            <w:pPr>
              <w:suppressAutoHyphens/>
              <w:overflowPunct/>
              <w:adjustRightInd/>
              <w:jc w:val="left"/>
              <w:textAlignment w:val="auto"/>
              <w:rPr>
                <w:szCs w:val="22"/>
              </w:rPr>
            </w:pPr>
            <w:r w:rsidRPr="00B459FD">
              <w:t>Decyzja Zgromadzenia Plenarnego</w:t>
            </w:r>
          </w:p>
        </w:tc>
        <w:tc>
          <w:tcPr>
            <w:tcW w:w="5918" w:type="dxa"/>
          </w:tcPr>
          <w:p w:rsidR="007E50BF" w:rsidRPr="00B459FD" w:rsidRDefault="007E50BF" w:rsidP="002906C2">
            <w:pPr>
              <w:suppressAutoHyphens/>
              <w:overflowPunct/>
              <w:adjustRightInd/>
              <w:jc w:val="left"/>
              <w:textAlignment w:val="auto"/>
              <w:rPr>
                <w:szCs w:val="22"/>
              </w:rPr>
            </w:pPr>
            <w:r w:rsidRPr="00B459FD">
              <w:t>DD/MM/YYYY</w:t>
            </w:r>
          </w:p>
        </w:tc>
      </w:tr>
      <w:tr w:rsidR="00243E36" w:rsidRPr="00B459FD" w:rsidTr="00EC0811">
        <w:tc>
          <w:tcPr>
            <w:tcW w:w="3369" w:type="dxa"/>
          </w:tcPr>
          <w:p w:rsidR="00243E36" w:rsidRPr="00B459FD" w:rsidRDefault="00243E36" w:rsidP="002906C2">
            <w:pPr>
              <w:suppressAutoHyphens/>
              <w:overflowPunct/>
              <w:adjustRightInd/>
              <w:jc w:val="left"/>
              <w:textAlignment w:val="auto"/>
              <w:rPr>
                <w:szCs w:val="22"/>
              </w:rPr>
            </w:pPr>
          </w:p>
        </w:tc>
        <w:tc>
          <w:tcPr>
            <w:tcW w:w="5918" w:type="dxa"/>
          </w:tcPr>
          <w:p w:rsidR="00243E36" w:rsidRPr="00B459FD" w:rsidRDefault="00243E36" w:rsidP="002906C2">
            <w:pPr>
              <w:suppressAutoHyphens/>
              <w:overflowPunct/>
              <w:adjustRightInd/>
              <w:jc w:val="left"/>
              <w:textAlignment w:val="auto"/>
              <w:rPr>
                <w:szCs w:val="22"/>
              </w:rPr>
            </w:pPr>
          </w:p>
        </w:tc>
      </w:tr>
      <w:tr w:rsidR="00BA1290" w:rsidRPr="00B459FD" w:rsidTr="00EC0811">
        <w:tc>
          <w:tcPr>
            <w:tcW w:w="3369" w:type="dxa"/>
          </w:tcPr>
          <w:p w:rsidR="00BA1290" w:rsidRPr="00B459FD" w:rsidRDefault="00BA1290" w:rsidP="002906C2">
            <w:pPr>
              <w:suppressAutoHyphens/>
              <w:overflowPunct/>
              <w:adjustRightInd/>
              <w:jc w:val="left"/>
              <w:textAlignment w:val="auto"/>
              <w:rPr>
                <w:szCs w:val="22"/>
              </w:rPr>
            </w:pPr>
          </w:p>
        </w:tc>
        <w:tc>
          <w:tcPr>
            <w:tcW w:w="5918" w:type="dxa"/>
          </w:tcPr>
          <w:p w:rsidR="00BA1290" w:rsidRPr="00B459FD" w:rsidRDefault="00BA1290" w:rsidP="002906C2">
            <w:pPr>
              <w:suppressAutoHyphens/>
              <w:overflowPunct/>
              <w:adjustRightInd/>
              <w:jc w:val="left"/>
              <w:textAlignment w:val="auto"/>
              <w:rPr>
                <w:szCs w:val="22"/>
              </w:rPr>
            </w:pPr>
          </w:p>
        </w:tc>
      </w:tr>
      <w:tr w:rsidR="00DF5B64" w:rsidRPr="00B459FD" w:rsidTr="00EC0811">
        <w:tc>
          <w:tcPr>
            <w:tcW w:w="3369" w:type="dxa"/>
          </w:tcPr>
          <w:p w:rsidR="00DF5B64" w:rsidRPr="00B459FD" w:rsidRDefault="00AD4B4F" w:rsidP="002906C2">
            <w:pPr>
              <w:suppressAutoHyphens/>
              <w:overflowPunct/>
              <w:adjustRightInd/>
              <w:jc w:val="left"/>
              <w:textAlignment w:val="auto"/>
              <w:rPr>
                <w:szCs w:val="22"/>
              </w:rPr>
            </w:pPr>
            <w:r w:rsidRPr="00B459FD">
              <w:t>Sekcja odpowiedzialna</w:t>
            </w:r>
          </w:p>
        </w:tc>
        <w:tc>
          <w:tcPr>
            <w:tcW w:w="5918" w:type="dxa"/>
          </w:tcPr>
          <w:p w:rsidR="00DF5B64" w:rsidRPr="00B459FD" w:rsidRDefault="00587885" w:rsidP="002906C2">
            <w:pPr>
              <w:suppressAutoHyphens/>
              <w:overflowPunct/>
              <w:adjustRightInd/>
              <w:jc w:val="left"/>
              <w:textAlignment w:val="auto"/>
              <w:rPr>
                <w:szCs w:val="22"/>
              </w:rPr>
            </w:pPr>
            <w:r w:rsidRPr="00B459FD">
              <w:t xml:space="preserve">Sekcja Zatrudnienia, Spraw Społecznych i Obywatelstwa </w:t>
            </w:r>
          </w:p>
        </w:tc>
      </w:tr>
      <w:tr w:rsidR="00A156E6" w:rsidRPr="00B459FD" w:rsidTr="00EC0811">
        <w:tc>
          <w:tcPr>
            <w:tcW w:w="3369" w:type="dxa"/>
          </w:tcPr>
          <w:p w:rsidR="00A156E6" w:rsidRPr="00B459FD" w:rsidRDefault="00A156E6" w:rsidP="002906C2">
            <w:pPr>
              <w:suppressAutoHyphens/>
              <w:overflowPunct/>
              <w:adjustRightInd/>
              <w:jc w:val="left"/>
              <w:textAlignment w:val="auto"/>
              <w:rPr>
                <w:szCs w:val="22"/>
              </w:rPr>
            </w:pPr>
            <w:r w:rsidRPr="00B459FD">
              <w:t>Data przyjęcia przez sekcję</w:t>
            </w:r>
          </w:p>
        </w:tc>
        <w:tc>
          <w:tcPr>
            <w:tcW w:w="5918" w:type="dxa"/>
          </w:tcPr>
          <w:p w:rsidR="00A156E6" w:rsidRPr="00B459FD" w:rsidRDefault="003439AB" w:rsidP="002906C2">
            <w:pPr>
              <w:suppressAutoHyphens/>
              <w:overflowPunct/>
              <w:adjustRightInd/>
              <w:jc w:val="left"/>
              <w:textAlignment w:val="auto"/>
              <w:rPr>
                <w:szCs w:val="22"/>
              </w:rPr>
            </w:pPr>
            <w:r w:rsidRPr="00B459FD">
              <w:t>DD/MM/YYYY</w:t>
            </w:r>
          </w:p>
        </w:tc>
      </w:tr>
      <w:tr w:rsidR="00A156E6" w:rsidRPr="00B459FD" w:rsidTr="00EC0811">
        <w:tc>
          <w:tcPr>
            <w:tcW w:w="3369" w:type="dxa"/>
          </w:tcPr>
          <w:p w:rsidR="00A156E6" w:rsidRPr="00B459FD" w:rsidRDefault="00A156E6" w:rsidP="002906C2">
            <w:pPr>
              <w:suppressAutoHyphens/>
              <w:overflowPunct/>
              <w:adjustRightInd/>
              <w:jc w:val="left"/>
              <w:textAlignment w:val="auto"/>
              <w:rPr>
                <w:szCs w:val="22"/>
              </w:rPr>
            </w:pPr>
            <w:r w:rsidRPr="00B459FD">
              <w:t>Data przyjęcia na sesji plenarnej</w:t>
            </w:r>
          </w:p>
        </w:tc>
        <w:tc>
          <w:tcPr>
            <w:tcW w:w="5918" w:type="dxa"/>
          </w:tcPr>
          <w:p w:rsidR="00A156E6" w:rsidRPr="00B459FD" w:rsidRDefault="003439AB" w:rsidP="002906C2">
            <w:pPr>
              <w:suppressAutoHyphens/>
              <w:overflowPunct/>
              <w:adjustRightInd/>
              <w:jc w:val="left"/>
              <w:textAlignment w:val="auto"/>
              <w:rPr>
                <w:szCs w:val="22"/>
              </w:rPr>
            </w:pPr>
            <w:r w:rsidRPr="00B459FD">
              <w:t>DD/MM/YYYY</w:t>
            </w:r>
          </w:p>
        </w:tc>
      </w:tr>
      <w:tr w:rsidR="00BA1290" w:rsidRPr="00B459FD" w:rsidTr="00EC0811">
        <w:tc>
          <w:tcPr>
            <w:tcW w:w="3369" w:type="dxa"/>
          </w:tcPr>
          <w:p w:rsidR="00BA1290" w:rsidRPr="00B459FD" w:rsidRDefault="00BA1290" w:rsidP="002906C2">
            <w:pPr>
              <w:suppressAutoHyphens/>
              <w:overflowPunct/>
              <w:adjustRightInd/>
              <w:jc w:val="left"/>
              <w:textAlignment w:val="auto"/>
              <w:rPr>
                <w:szCs w:val="22"/>
              </w:rPr>
            </w:pPr>
            <w:r w:rsidRPr="00B459FD">
              <w:t>Sesja plenarna nr</w:t>
            </w:r>
          </w:p>
        </w:tc>
        <w:tc>
          <w:tcPr>
            <w:tcW w:w="5918" w:type="dxa"/>
          </w:tcPr>
          <w:p w:rsidR="00BA1290" w:rsidRPr="00B459FD" w:rsidRDefault="00BA1290" w:rsidP="002906C2">
            <w:pPr>
              <w:suppressAutoHyphens/>
              <w:overflowPunct/>
              <w:adjustRightInd/>
              <w:jc w:val="left"/>
              <w:textAlignment w:val="auto"/>
              <w:rPr>
                <w:szCs w:val="22"/>
              </w:rPr>
            </w:pPr>
            <w:r w:rsidRPr="00B459FD">
              <w:t>…</w:t>
            </w:r>
          </w:p>
        </w:tc>
      </w:tr>
      <w:tr w:rsidR="00A156E6" w:rsidRPr="00B459FD" w:rsidTr="00EC0811">
        <w:tc>
          <w:tcPr>
            <w:tcW w:w="3369" w:type="dxa"/>
          </w:tcPr>
          <w:p w:rsidR="00D423D4" w:rsidRPr="00B459FD" w:rsidRDefault="0043024C" w:rsidP="002906C2">
            <w:pPr>
              <w:suppressAutoHyphens/>
              <w:overflowPunct/>
              <w:adjustRightInd/>
              <w:jc w:val="left"/>
              <w:textAlignment w:val="auto"/>
              <w:rPr>
                <w:szCs w:val="22"/>
              </w:rPr>
            </w:pPr>
            <w:r w:rsidRPr="00B459FD">
              <w:t>Wynik głosowania</w:t>
            </w:r>
            <w:r w:rsidRPr="00B459FD">
              <w:br/>
              <w:t>(za / przeciw / wstrzymało się)</w:t>
            </w:r>
          </w:p>
        </w:tc>
        <w:tc>
          <w:tcPr>
            <w:tcW w:w="5918" w:type="dxa"/>
            <w:vAlign w:val="bottom"/>
          </w:tcPr>
          <w:p w:rsidR="00A156E6" w:rsidRPr="00B459FD" w:rsidRDefault="00A156E6" w:rsidP="002906C2">
            <w:pPr>
              <w:suppressAutoHyphens/>
              <w:overflowPunct/>
              <w:adjustRightInd/>
              <w:jc w:val="left"/>
              <w:textAlignment w:val="auto"/>
              <w:rPr>
                <w:szCs w:val="22"/>
              </w:rPr>
            </w:pPr>
            <w:r w:rsidRPr="00B459FD">
              <w:t>…/…/…</w:t>
            </w:r>
          </w:p>
        </w:tc>
      </w:tr>
    </w:tbl>
    <w:p w:rsidR="00646AC2" w:rsidRPr="00B459FD" w:rsidRDefault="00646AC2" w:rsidP="002906C2">
      <w:pPr>
        <w:suppressAutoHyphens/>
        <w:overflowPunct/>
        <w:adjustRightInd/>
        <w:textAlignment w:val="auto"/>
      </w:pPr>
      <w:r w:rsidRPr="00B459FD">
        <w:br w:type="page"/>
      </w:r>
    </w:p>
    <w:p w:rsidR="00520E16" w:rsidRPr="00B459FD" w:rsidRDefault="00520E16" w:rsidP="002906C2">
      <w:pPr>
        <w:pStyle w:val="Heading1"/>
        <w:tabs>
          <w:tab w:val="left" w:pos="567"/>
        </w:tabs>
        <w:suppressAutoHyphens/>
        <w:overflowPunct/>
        <w:adjustRightInd/>
        <w:textAlignment w:val="auto"/>
      </w:pPr>
      <w:r w:rsidRPr="00B459FD">
        <w:lastRenderedPageBreak/>
        <w:tab/>
      </w:r>
      <w:r w:rsidRPr="00B459FD">
        <w:rPr>
          <w:b/>
        </w:rPr>
        <w:t>Wnioski i zalecenia</w:t>
      </w:r>
    </w:p>
    <w:p w:rsidR="007865E1" w:rsidRPr="00B459FD" w:rsidRDefault="007865E1" w:rsidP="002906C2">
      <w:pPr>
        <w:suppressAutoHyphens/>
        <w:overflowPunct/>
        <w:adjustRightInd/>
        <w:textAlignment w:val="auto"/>
      </w:pPr>
    </w:p>
    <w:p w:rsidR="001822CD" w:rsidRPr="00B459FD" w:rsidRDefault="001822CD" w:rsidP="002906C2">
      <w:pPr>
        <w:pStyle w:val="Heading2"/>
        <w:suppressAutoHyphens/>
        <w:overflowPunct/>
        <w:adjustRightInd/>
        <w:ind w:left="567" w:hanging="567"/>
        <w:textAlignment w:val="auto"/>
      </w:pPr>
      <w:r w:rsidRPr="00B459FD">
        <w:t>Kobiety i dziewczęta z niepełnosprawnością w dalszym ciągu spotykają się z dyskryminacją intersekcjonalną i z wielu przyczyn jednocześnie, ze względu zarówno na swoją płeć, jak i</w:t>
      </w:r>
      <w:r w:rsidR="00A64B1E" w:rsidRPr="00B459FD">
        <w:t> </w:t>
      </w:r>
      <w:r w:rsidRPr="00B459FD">
        <w:t>niepełnosprawność. Kobiety z niepełnosprawnością nie mają takich samych szans równego udziału we wszystkich aspektach społeczeństwa. Są one między innymi wykluczone z edukacji włączającej i szkoleń włączających, zatrudnienia, z dostępu do programów redukcji ubóstwa i</w:t>
      </w:r>
      <w:r w:rsidR="00A64B1E" w:rsidRPr="00B459FD">
        <w:t> </w:t>
      </w:r>
      <w:r w:rsidRPr="00B459FD">
        <w:t>do odpowiednich warunków mieszkaniowych, a także z udziału w życiu politycznym i</w:t>
      </w:r>
      <w:r w:rsidR="00A64B1E" w:rsidRPr="00B459FD">
        <w:t> </w:t>
      </w:r>
      <w:r w:rsidRPr="00B459FD">
        <w:t>publicznym, a prawo często uniemożliwia im podejmowanie decyzji dotyczących własnego życia, w tym również dotyczących ich praw seksualnych i reprodukcyjnych. Borykają się z</w:t>
      </w:r>
      <w:r w:rsidR="00A64B1E" w:rsidRPr="00B459FD">
        <w:t> </w:t>
      </w:r>
      <w:r w:rsidRPr="00B459FD">
        <w:t>przeszkodami w korzystaniu ze swych praw obywatelskich UE</w:t>
      </w:r>
      <w:r w:rsidR="009D5C72" w:rsidRPr="00B459FD">
        <w:rPr>
          <w:rStyle w:val="FootnoteReference"/>
        </w:rPr>
        <w:footnoteReference w:id="1"/>
      </w:r>
      <w:r w:rsidRPr="00B459FD">
        <w:t>.</w:t>
      </w:r>
    </w:p>
    <w:p w:rsidR="007865E1" w:rsidRPr="00B459FD" w:rsidRDefault="007865E1" w:rsidP="002906C2">
      <w:pPr>
        <w:suppressAutoHyphens/>
        <w:overflowPunct/>
        <w:adjustRightInd/>
        <w:textAlignment w:val="auto"/>
      </w:pPr>
    </w:p>
    <w:p w:rsidR="00011D33" w:rsidRPr="00B459FD" w:rsidRDefault="00B84EFE" w:rsidP="002906C2">
      <w:pPr>
        <w:pStyle w:val="Heading2"/>
        <w:suppressAutoHyphens/>
        <w:overflowPunct/>
        <w:adjustRightInd/>
        <w:ind w:left="567" w:hanging="567"/>
        <w:textAlignment w:val="auto"/>
      </w:pPr>
      <w:r w:rsidRPr="00B459FD">
        <w:t>W niniejszej opinii wzywa się UE i wszystkie państwa członkowskie do wdrożenia Konwencji ONZ o prawach osób niepełnosprawnych (UNCRPD)</w:t>
      </w:r>
      <w:r w:rsidR="00F669E6" w:rsidRPr="00B459FD">
        <w:rPr>
          <w:rStyle w:val="FootnoteReference"/>
        </w:rPr>
        <w:footnoteReference w:id="2"/>
      </w:r>
      <w:r w:rsidRPr="00B459FD">
        <w:t>, zaleceń, jakie UE otrzymała od UNCRPD w odniesieniu do kobiet i dziewcząt z niepełnosprawnością w 2015 r. oraz uwagi ogólnej Komitetu ONZ nr 3 dotyczącej art. 6 Konwencji o prawach osób niepełnosprawnych.</w:t>
      </w:r>
    </w:p>
    <w:p w:rsidR="00B510BE" w:rsidRPr="00B459FD" w:rsidRDefault="00B510BE" w:rsidP="002906C2">
      <w:pPr>
        <w:suppressAutoHyphens/>
        <w:overflowPunct/>
        <w:adjustRightInd/>
        <w:ind w:left="-567"/>
        <w:textAlignment w:val="auto"/>
      </w:pPr>
    </w:p>
    <w:p w:rsidR="00F10E32" w:rsidRPr="00B459FD" w:rsidRDefault="00F10E32" w:rsidP="002906C2">
      <w:pPr>
        <w:pStyle w:val="Heading2"/>
        <w:suppressAutoHyphens/>
        <w:overflowPunct/>
        <w:adjustRightInd/>
        <w:ind w:left="567" w:hanging="567"/>
        <w:textAlignment w:val="auto"/>
      </w:pPr>
      <w:r w:rsidRPr="00B459FD">
        <w:t>Komitet apeluje, by UE i państwa członkowskie uwzględniły perspektywę niepełnosprawności w swojej przyszłej strategii w zakresie równouprawnienia płci oraz w politykach i programach, a także włączyły kwestię płci do strategii dotyczących niepełnosprawności, w tym do przyszłej europejskiej strategii w sprawie niepełnosprawności na lata 2020–2030 oraz europejskiego filara praw socjalnych</w:t>
      </w:r>
      <w:r w:rsidR="009D5C72" w:rsidRPr="00B459FD">
        <w:rPr>
          <w:rStyle w:val="FootnoteReference"/>
        </w:rPr>
        <w:footnoteReference w:id="3"/>
      </w:r>
      <w:r w:rsidRPr="00B459FD">
        <w:t>. Program zastępujący strategię „Europa 2020” na rzecz inteligentnego, trwałego wzrostu gospodarczego sprzyjającego włączeniu społecznemu powinien również obejmować perspektywę kobiet z niepełnosprawnością, gdyż ich udział w życiu gospodarczym i</w:t>
      </w:r>
      <w:r w:rsidR="00A64B1E" w:rsidRPr="00B459FD">
        <w:t> </w:t>
      </w:r>
      <w:r w:rsidRPr="00B459FD">
        <w:t>społecznym jest niezbędny dla powodzenia ogólnej europejskiej strategii gospodarczej i</w:t>
      </w:r>
      <w:r w:rsidR="00A64B1E" w:rsidRPr="00B459FD">
        <w:t> </w:t>
      </w:r>
      <w:r w:rsidRPr="00B459FD">
        <w:t>społecznej</w:t>
      </w:r>
      <w:r w:rsidR="009D5C72" w:rsidRPr="00B459FD">
        <w:rPr>
          <w:rStyle w:val="FootnoteReference"/>
        </w:rPr>
        <w:footnoteReference w:id="4"/>
      </w:r>
      <w:r w:rsidRPr="00B459FD">
        <w:t>.</w:t>
      </w:r>
    </w:p>
    <w:p w:rsidR="00D9541B" w:rsidRPr="00B459FD" w:rsidRDefault="00D9541B" w:rsidP="002906C2">
      <w:pPr>
        <w:suppressAutoHyphens/>
        <w:overflowPunct/>
        <w:adjustRightInd/>
        <w:textAlignment w:val="auto"/>
      </w:pPr>
    </w:p>
    <w:p w:rsidR="00F10E32" w:rsidRPr="00B459FD" w:rsidRDefault="00F10E32" w:rsidP="002906C2">
      <w:pPr>
        <w:pStyle w:val="Heading2"/>
        <w:suppressAutoHyphens/>
        <w:overflowPunct/>
        <w:adjustRightInd/>
        <w:ind w:left="567" w:hanging="567"/>
        <w:textAlignment w:val="auto"/>
      </w:pPr>
      <w:r w:rsidRPr="00B459FD">
        <w:t>Zarówno na szczeblu europejskim, jak i krajowym niezbędne jest przedsięwzięcie niezbędnych środków w celu nawiązania zorganizowanego dialogu wraz z niezależną linią budżetową i</w:t>
      </w:r>
      <w:r w:rsidR="002A5EA4" w:rsidRPr="00B459FD">
        <w:t> </w:t>
      </w:r>
      <w:r w:rsidRPr="00B459FD">
        <w:t>zapewnienia rzetelnych konsultacji z osobami niepełnosprawnymi oraz ich udziału, w tym kobiet, dziewcząt i chłopców z niepełnosprawnością za pośrednictwem ich organizacji przedstawicielskich, we wdrażaniu i monitorowaniu Konwencji</w:t>
      </w:r>
      <w:r w:rsidR="009D5C72" w:rsidRPr="00B459FD">
        <w:rPr>
          <w:rStyle w:val="FootnoteReference"/>
        </w:rPr>
        <w:footnoteReference w:id="5"/>
      </w:r>
      <w:r w:rsidRPr="00B459FD">
        <w:t>.</w:t>
      </w:r>
    </w:p>
    <w:p w:rsidR="00C60F38" w:rsidRPr="00B459FD" w:rsidRDefault="00C60F38" w:rsidP="002906C2">
      <w:pPr>
        <w:suppressAutoHyphens/>
        <w:overflowPunct/>
        <w:adjustRightInd/>
        <w:textAlignment w:val="auto"/>
      </w:pPr>
    </w:p>
    <w:p w:rsidR="00F10E32" w:rsidRPr="00B459FD" w:rsidRDefault="00F10E32" w:rsidP="002906C2">
      <w:pPr>
        <w:pStyle w:val="Heading2"/>
        <w:suppressAutoHyphens/>
        <w:overflowPunct/>
        <w:adjustRightInd/>
        <w:ind w:left="567" w:hanging="567"/>
        <w:textAlignment w:val="auto"/>
      </w:pPr>
      <w:r w:rsidRPr="00B459FD">
        <w:t>Wykorzystanie obecnych i przyszłych instrumentów finansowych UE, szczególnie funduszy strukturalnych i Europejskiego Funduszu Społecznego, powinno być kluczowym instrumentem wspierającym państwa członkowskie w promowaniu dostępności dla kobiet i dziewcząt z</w:t>
      </w:r>
      <w:r w:rsidR="002A5EA4" w:rsidRPr="00B459FD">
        <w:t> </w:t>
      </w:r>
      <w:r w:rsidRPr="00B459FD">
        <w:t>niepełnosprawnością oraz ich niedyskryminacji</w:t>
      </w:r>
      <w:r w:rsidR="009D5C72" w:rsidRPr="00B459FD">
        <w:rPr>
          <w:rStyle w:val="FootnoteReference"/>
        </w:rPr>
        <w:footnoteReference w:id="6"/>
      </w:r>
      <w:r w:rsidRPr="00B459FD">
        <w:t>.</w:t>
      </w:r>
    </w:p>
    <w:p w:rsidR="00C60F38" w:rsidRPr="00B459FD" w:rsidRDefault="00C60F38" w:rsidP="002906C2">
      <w:pPr>
        <w:suppressAutoHyphens/>
        <w:overflowPunct/>
        <w:adjustRightInd/>
        <w:textAlignment w:val="auto"/>
      </w:pPr>
    </w:p>
    <w:p w:rsidR="00F10E32" w:rsidRPr="00B459FD" w:rsidRDefault="00F10E32" w:rsidP="002906C2">
      <w:pPr>
        <w:pStyle w:val="Heading2"/>
        <w:suppressAutoHyphens/>
        <w:overflowPunct/>
        <w:adjustRightInd/>
        <w:ind w:left="567" w:hanging="567"/>
        <w:textAlignment w:val="auto"/>
      </w:pPr>
      <w:r w:rsidRPr="00B459FD">
        <w:t>UE i państwa członkowskie powinny szybko przystąpić do Konwencji Rady Europy o</w:t>
      </w:r>
      <w:r w:rsidR="002A5EA4" w:rsidRPr="00B459FD">
        <w:t> </w:t>
      </w:r>
      <w:r w:rsidRPr="00B459FD">
        <w:t>zapobieganiu i zwalczaniu przemocy wobec kobiet i przemocy domowej (konwencji stambulskiej), co będzie kolejnym krokiem na drodze do zwalczania przemocy wobec kobiet i</w:t>
      </w:r>
      <w:r w:rsidR="002A5EA4" w:rsidRPr="00B459FD">
        <w:t> </w:t>
      </w:r>
      <w:r w:rsidRPr="00B459FD">
        <w:t>dziewcząt z niepełnosprawnością</w:t>
      </w:r>
      <w:r w:rsidR="009D5C72" w:rsidRPr="00B459FD">
        <w:rPr>
          <w:rStyle w:val="FootnoteReference"/>
        </w:rPr>
        <w:footnoteReference w:id="7"/>
      </w:r>
      <w:r w:rsidRPr="00B459FD">
        <w:t>. Środki te powinny obejmować kryminalizację przemocy seksualnej i innych form przemocy wobec kobiet i dziewcząt z niepełnosprawnością, w tym zniesienie przymusowej sterylizacji</w:t>
      </w:r>
      <w:r w:rsidR="009D5C72" w:rsidRPr="00B459FD">
        <w:rPr>
          <w:rStyle w:val="FootnoteReference"/>
        </w:rPr>
        <w:footnoteReference w:id="8"/>
      </w:r>
      <w:r w:rsidRPr="00B459FD">
        <w:t>.</w:t>
      </w:r>
    </w:p>
    <w:p w:rsidR="00C60F38" w:rsidRPr="00B459FD" w:rsidRDefault="00C60F38" w:rsidP="002906C2">
      <w:pPr>
        <w:suppressAutoHyphens/>
        <w:overflowPunct/>
        <w:adjustRightInd/>
        <w:textAlignment w:val="auto"/>
      </w:pPr>
    </w:p>
    <w:p w:rsidR="00F10E32" w:rsidRPr="00B459FD" w:rsidRDefault="00430C19" w:rsidP="002906C2">
      <w:pPr>
        <w:pStyle w:val="Heading2"/>
        <w:suppressAutoHyphens/>
        <w:overflowPunct/>
        <w:adjustRightInd/>
        <w:ind w:left="567" w:hanging="567"/>
        <w:textAlignment w:val="auto"/>
      </w:pPr>
      <w:r w:rsidRPr="00B459FD">
        <w:t>UE i państwa członkowskie powinny przedsięwziąć wszystkie środki w celu zadbania o to, by kobiety i dziewczęta z niepełnosprawnością miały równy dostęp do związanych z</w:t>
      </w:r>
      <w:r w:rsidR="002A5EA4" w:rsidRPr="00B459FD">
        <w:t> </w:t>
      </w:r>
      <w:r w:rsidRPr="00B459FD">
        <w:t>niepełnosprawnością usług zdrowotnych dla osób niepełnosprawnych, a także do przystępnych usług podstawowych. Wszystkie kobiety i dziewczęta z niepełnosprawnością muszą być w stanie korzystać ze swej zdolności prawnej, podejmując swoje własne decyzje, jeżeli to pożądane korzystając ze wsparcia innych, odnośnie do usług leczniczych i</w:t>
      </w:r>
      <w:r w:rsidR="002A5EA4" w:rsidRPr="00B459FD">
        <w:t> </w:t>
      </w:r>
      <w:r w:rsidRPr="00B459FD">
        <w:t>postępowania terapeutycznego, między innymi decyzje w sprawie zachowania płodności i</w:t>
      </w:r>
      <w:r w:rsidR="002A5EA4" w:rsidRPr="00B459FD">
        <w:t> </w:t>
      </w:r>
      <w:r w:rsidRPr="00B459FD">
        <w:t>niezależności prokreacyjnej</w:t>
      </w:r>
      <w:r w:rsidR="009D5C72" w:rsidRPr="00B459FD">
        <w:rPr>
          <w:rStyle w:val="FootnoteReference"/>
        </w:rPr>
        <w:footnoteReference w:id="9"/>
      </w:r>
      <w:r w:rsidRPr="00B459FD">
        <w:t>.</w:t>
      </w:r>
    </w:p>
    <w:p w:rsidR="00430C19" w:rsidRPr="00B459FD" w:rsidRDefault="00430C19" w:rsidP="002906C2">
      <w:pPr>
        <w:suppressAutoHyphens/>
        <w:overflowPunct/>
        <w:adjustRightInd/>
        <w:textAlignment w:val="auto"/>
      </w:pPr>
    </w:p>
    <w:p w:rsidR="00430C19" w:rsidRPr="00B459FD" w:rsidRDefault="002561CD" w:rsidP="002906C2">
      <w:pPr>
        <w:pStyle w:val="Heading1"/>
        <w:tabs>
          <w:tab w:val="left" w:pos="567"/>
        </w:tabs>
        <w:suppressAutoHyphens/>
        <w:overflowPunct/>
        <w:adjustRightInd/>
        <w:textAlignment w:val="auto"/>
      </w:pPr>
      <w:r w:rsidRPr="00B459FD">
        <w:tab/>
      </w:r>
      <w:r w:rsidRPr="00B459FD">
        <w:rPr>
          <w:b/>
        </w:rPr>
        <w:t>Wprowadzenie</w:t>
      </w:r>
    </w:p>
    <w:p w:rsidR="00B84EFE" w:rsidRPr="00B459FD" w:rsidRDefault="00B84EFE" w:rsidP="002906C2">
      <w:pPr>
        <w:suppressAutoHyphens/>
        <w:overflowPunct/>
        <w:adjustRightInd/>
        <w:textAlignment w:val="auto"/>
      </w:pPr>
    </w:p>
    <w:p w:rsidR="00430C19" w:rsidRPr="00B459FD" w:rsidRDefault="00430C19" w:rsidP="002906C2">
      <w:pPr>
        <w:pStyle w:val="Heading2"/>
        <w:suppressAutoHyphens/>
        <w:overflowPunct/>
        <w:adjustRightInd/>
        <w:ind w:left="567" w:hanging="567"/>
        <w:textAlignment w:val="auto"/>
      </w:pPr>
      <w:r w:rsidRPr="00B459FD">
        <w:t>Kobiety z niepełnosprawnością nadal znajdują się na marginesie społeczeństwa. Ich położenie jest nie tylko gorsze od sytuacji kobiet bez niepełnosprawności, lecz również od sytuacji mężczyzn z niepełnosprawnością</w:t>
      </w:r>
      <w:r w:rsidR="009D5C72" w:rsidRPr="00B459FD">
        <w:rPr>
          <w:rStyle w:val="FootnoteReference"/>
        </w:rPr>
        <w:footnoteReference w:id="10"/>
      </w:r>
      <w:r w:rsidRPr="00B459FD">
        <w:t>.</w:t>
      </w:r>
    </w:p>
    <w:p w:rsidR="00430C19" w:rsidRPr="00B459FD" w:rsidRDefault="00430C19" w:rsidP="002906C2">
      <w:pPr>
        <w:suppressAutoHyphens/>
        <w:overflowPunct/>
        <w:adjustRightInd/>
        <w:textAlignment w:val="auto"/>
      </w:pPr>
    </w:p>
    <w:p w:rsidR="00430C19" w:rsidRPr="00B459FD" w:rsidRDefault="00430C19" w:rsidP="002906C2">
      <w:pPr>
        <w:pStyle w:val="Heading2"/>
        <w:suppressAutoHyphens/>
        <w:overflowPunct/>
        <w:adjustRightInd/>
        <w:ind w:left="567" w:hanging="567"/>
        <w:textAlignment w:val="auto"/>
      </w:pPr>
      <w:r w:rsidRPr="00B459FD">
        <w:t>Kobiety z niepełnosprawnością stanowią 16 % ogółu populacji kobiet w Europie. Liczba ta szacowana jest na podstawie obecnej liczby kobiet i dziewcząt wynoszącej prawie 250 mln, z</w:t>
      </w:r>
      <w:r w:rsidR="002A5EA4" w:rsidRPr="00B459FD">
        <w:t> </w:t>
      </w:r>
      <w:r w:rsidRPr="00B459FD">
        <w:t>czego wynika, że w Unii Europejskiej (UE) żyje ok. 40 mln kobiet i dziewcząt z</w:t>
      </w:r>
      <w:r w:rsidR="002A5EA4" w:rsidRPr="00B459FD">
        <w:t> </w:t>
      </w:r>
      <w:r w:rsidRPr="00B459FD">
        <w:t>niepełnosprawnością</w:t>
      </w:r>
      <w:r w:rsidR="009D5C72" w:rsidRPr="00B459FD">
        <w:rPr>
          <w:rStyle w:val="FootnoteReference"/>
        </w:rPr>
        <w:footnoteReference w:id="11"/>
      </w:r>
      <w:r w:rsidRPr="00B459FD">
        <w:t>.</w:t>
      </w:r>
    </w:p>
    <w:p w:rsidR="00430C19" w:rsidRPr="00B459FD" w:rsidRDefault="00430C19" w:rsidP="002906C2">
      <w:pPr>
        <w:suppressAutoHyphens/>
        <w:overflowPunct/>
        <w:adjustRightInd/>
        <w:textAlignment w:val="auto"/>
      </w:pPr>
    </w:p>
    <w:p w:rsidR="00430C19" w:rsidRPr="00B459FD" w:rsidRDefault="00430C19" w:rsidP="002906C2">
      <w:pPr>
        <w:pStyle w:val="Heading2"/>
        <w:suppressAutoHyphens/>
        <w:overflowPunct/>
        <w:adjustRightInd/>
        <w:ind w:left="567" w:hanging="567"/>
        <w:textAlignment w:val="auto"/>
      </w:pPr>
      <w:r w:rsidRPr="00B459FD">
        <w:t>Wzrasta liczba osób starszych w Europie i na całym świecie, co oznacza, że w związku z tym wzrośnie również liczba osób z niepełnosprawnością. Ze względu na dłuższe średnie trwanie życia kobiet liczba kobiet z niepełnosprawnością wzrośnie w sposób nieproporcjonalny</w:t>
      </w:r>
      <w:r w:rsidR="009D5C72" w:rsidRPr="00B459FD">
        <w:rPr>
          <w:rStyle w:val="FootnoteReference"/>
        </w:rPr>
        <w:footnoteReference w:id="12"/>
      </w:r>
      <w:r w:rsidRPr="00B459FD">
        <w:t xml:space="preserve">. </w:t>
      </w:r>
    </w:p>
    <w:p w:rsidR="00430C19" w:rsidRPr="00B459FD" w:rsidRDefault="00430C19" w:rsidP="002906C2">
      <w:pPr>
        <w:suppressAutoHyphens/>
        <w:overflowPunct/>
        <w:adjustRightInd/>
        <w:textAlignment w:val="auto"/>
      </w:pPr>
    </w:p>
    <w:p w:rsidR="002561CD" w:rsidRPr="00B459FD" w:rsidRDefault="002561CD" w:rsidP="002906C2">
      <w:pPr>
        <w:pStyle w:val="Heading2"/>
        <w:suppressAutoHyphens/>
        <w:overflowPunct/>
        <w:adjustRightInd/>
        <w:ind w:left="567" w:hanging="567"/>
        <w:textAlignment w:val="auto"/>
      </w:pPr>
      <w:r w:rsidRPr="00B459FD">
        <w:t>W niniejszej opinii wzywa się UE i wszystkie państwa członkowskie do wdrożenia Konwencji ONZ o prawach osób niepełnosprawnych (UNCRPD)</w:t>
      </w:r>
      <w:r w:rsidRPr="00B459FD">
        <w:rPr>
          <w:rStyle w:val="FootnoteReference"/>
        </w:rPr>
        <w:footnoteReference w:id="13"/>
      </w:r>
      <w:r w:rsidRPr="00B459FD">
        <w:t xml:space="preserve">, zaleceń, jakie UE otrzymała od UNCRPD w odniesieniu do kobiet i dziewcząt z niepełnosprawnością w 2015 r. oraz uwagi </w:t>
      </w:r>
      <w:r w:rsidRPr="00B459FD">
        <w:lastRenderedPageBreak/>
        <w:t>ogólnej Komitetu ONZ nr 3 dotyczącej art. 6 Konwencji o prawach osób niepełnosprawnych. UE i państwa członkowskie powinny niezwłocznie uruchomić program działania, harmonogram i zasoby niezbędne do wdrożenia Konwencji o prawach osób niepełnosprawnych.</w:t>
      </w:r>
    </w:p>
    <w:p w:rsidR="002561CD" w:rsidRPr="00B459FD" w:rsidRDefault="002561CD" w:rsidP="002906C2">
      <w:pPr>
        <w:suppressAutoHyphens/>
        <w:overflowPunct/>
        <w:adjustRightInd/>
        <w:textAlignment w:val="auto"/>
      </w:pPr>
    </w:p>
    <w:p w:rsidR="00B84EFE" w:rsidRPr="00B459FD" w:rsidRDefault="00520E16" w:rsidP="002906C2">
      <w:pPr>
        <w:pStyle w:val="Heading1"/>
        <w:tabs>
          <w:tab w:val="left" w:pos="567"/>
        </w:tabs>
        <w:suppressAutoHyphens/>
        <w:overflowPunct/>
        <w:adjustRightInd/>
        <w:textAlignment w:val="auto"/>
      </w:pPr>
      <w:r w:rsidRPr="00B459FD">
        <w:rPr>
          <w:b/>
        </w:rPr>
        <w:tab/>
        <w:t>Uwagi ogólne</w:t>
      </w:r>
    </w:p>
    <w:p w:rsidR="00B84EFE" w:rsidRPr="00B459FD" w:rsidRDefault="00B84EFE" w:rsidP="002906C2">
      <w:pPr>
        <w:suppressAutoHyphens/>
        <w:overflowPunct/>
        <w:adjustRightInd/>
        <w:textAlignment w:val="auto"/>
      </w:pPr>
    </w:p>
    <w:p w:rsidR="00672670" w:rsidRPr="00B459FD" w:rsidRDefault="00672670" w:rsidP="002906C2">
      <w:pPr>
        <w:pStyle w:val="Heading2"/>
        <w:suppressAutoHyphens/>
        <w:ind w:left="567" w:hanging="567"/>
      </w:pPr>
      <w:r w:rsidRPr="00B459FD">
        <w:rPr>
          <w:b/>
        </w:rPr>
        <w:t>Międzynarodowe i europejskie ramy prawne</w:t>
      </w:r>
    </w:p>
    <w:p w:rsidR="00672670" w:rsidRPr="00B459FD" w:rsidRDefault="00672670" w:rsidP="002906C2">
      <w:pPr>
        <w:suppressAutoHyphens/>
        <w:overflowPunct/>
        <w:adjustRightInd/>
        <w:textAlignment w:val="auto"/>
      </w:pPr>
    </w:p>
    <w:p w:rsidR="00B84EFE" w:rsidRPr="00B459FD" w:rsidRDefault="0091779F" w:rsidP="002906C2">
      <w:pPr>
        <w:pStyle w:val="Heading2"/>
        <w:suppressAutoHyphens/>
        <w:overflowPunct/>
        <w:adjustRightInd/>
        <w:ind w:left="567" w:hanging="567"/>
        <w:textAlignment w:val="auto"/>
      </w:pPr>
      <w:r w:rsidRPr="00B459FD">
        <w:t>Wraz ze swoimi 28 państwami członkowskimi UE jest stroną Konwencji ONZ o prawach osób niepełnosprawnych. Strony te są prawnie zobowiązane do przestrzegania tej konwencji na mocy prawa międzynarodowego, co oznacza, że zobowiązały się one wspólnie do propagowania, ochrony i gwarantowania praw osób z niepełnosprawnością zapisanych w Konwencji o prawach osób niepełnosprawnych, w tym kobiet i dziewcząt z niepełnosprawnością. UE i państwa członkowskie powinny służyć przykładem, gdyż jest to jedyna organizacja integracji regionalnej na świecie będąca stroną Konwencji o prawach osób niepełnosprawnych i znajduje się w wyjątkowym położeniu, by zapewnić zharmonizowaną i równą ochronę kobiet i dziewcząt z niepełnosprawnością w całej Europie.</w:t>
      </w:r>
    </w:p>
    <w:p w:rsidR="00B84EFE" w:rsidRPr="00B459FD" w:rsidRDefault="00B84EFE" w:rsidP="002906C2">
      <w:pPr>
        <w:suppressAutoHyphens/>
        <w:overflowPunct/>
        <w:adjustRightInd/>
        <w:textAlignment w:val="auto"/>
      </w:pPr>
    </w:p>
    <w:p w:rsidR="0091779F" w:rsidRPr="00B459FD" w:rsidRDefault="0091779F" w:rsidP="002906C2">
      <w:pPr>
        <w:pStyle w:val="Heading2"/>
        <w:suppressAutoHyphens/>
        <w:overflowPunct/>
        <w:adjustRightInd/>
        <w:ind w:left="567" w:hanging="567"/>
        <w:textAlignment w:val="auto"/>
      </w:pPr>
      <w:r w:rsidRPr="00B459FD">
        <w:t>W art. 6 Konwencji uznaje się, że „niepełnosprawne kobiety i dziewczęta są narażone na wieloraką dyskryminację i, w związku z tym, [Państwa Strony] podejmują środki w celu zapewnienia pełnego i równego korzystania przez nie ze wszystkich praw człowieka i</w:t>
      </w:r>
      <w:r w:rsidR="002A5EA4" w:rsidRPr="00B459FD">
        <w:t> </w:t>
      </w:r>
      <w:r w:rsidRPr="00B459FD">
        <w:t>podstawowych wolności. Państwa Strony podejmują wszelkie odpowiednie środki, aby zapewnić pełen rozwój, awans i wzmocnienie pozycji kobiet, w celu zagwarantowania im możliwości wykonywania i korzystania z praw człowieka i podstawowych wolności ustanowionych w niniejszej konwencji”.</w:t>
      </w:r>
    </w:p>
    <w:p w:rsidR="0091779F" w:rsidRPr="00B459FD" w:rsidRDefault="0091779F" w:rsidP="002906C2">
      <w:pPr>
        <w:suppressAutoHyphens/>
        <w:overflowPunct/>
        <w:adjustRightInd/>
        <w:textAlignment w:val="auto"/>
      </w:pPr>
    </w:p>
    <w:p w:rsidR="0091779F" w:rsidRPr="00B459FD" w:rsidRDefault="0091779F" w:rsidP="002906C2">
      <w:pPr>
        <w:pStyle w:val="Heading2"/>
        <w:suppressAutoHyphens/>
        <w:overflowPunct/>
        <w:adjustRightInd/>
        <w:ind w:left="567" w:hanging="567"/>
        <w:textAlignment w:val="auto"/>
      </w:pPr>
      <w:r w:rsidRPr="00B459FD">
        <w:t>W 2015 r. Konwencję uzupełniły ważne zalecenia przekazane przez Komitet ONZ ds. Praw Osób Niepełnosprawnych dotyczące sposobu poprawienia sytuacji osób, w tym kobiet i</w:t>
      </w:r>
      <w:r w:rsidR="002A5EA4" w:rsidRPr="00B459FD">
        <w:t> </w:t>
      </w:r>
      <w:r w:rsidRPr="00B459FD">
        <w:t>dziewcząt z niepełnosprawnością w Unii Europejskiej.</w:t>
      </w:r>
    </w:p>
    <w:p w:rsidR="00B84EFE" w:rsidRPr="00B459FD" w:rsidRDefault="00B84EFE" w:rsidP="002906C2">
      <w:pPr>
        <w:suppressAutoHyphens/>
        <w:overflowPunct/>
        <w:adjustRightInd/>
        <w:textAlignment w:val="auto"/>
      </w:pPr>
    </w:p>
    <w:p w:rsidR="00B84EFE" w:rsidRPr="00B459FD" w:rsidRDefault="00D62030" w:rsidP="002906C2">
      <w:pPr>
        <w:pStyle w:val="Heading2"/>
        <w:suppressAutoHyphens/>
        <w:overflowPunct/>
        <w:adjustRightInd/>
        <w:ind w:left="567" w:hanging="567"/>
        <w:textAlignment w:val="auto"/>
      </w:pPr>
      <w:r w:rsidRPr="00B459FD">
        <w:t>W 2016 r. Komitet ONZ ds. Praw Osób Niepełnosprawnych przyjął swoją uwagę ogólną nr 3 dotyczącą art. 6 Konwencji, w której podkreśla się, że państwa będące stronami Konwencji, w</w:t>
      </w:r>
      <w:r w:rsidR="002A5EA4" w:rsidRPr="00B459FD">
        <w:t> </w:t>
      </w:r>
      <w:r w:rsidRPr="00B459FD">
        <w:t>tym UE, powinny podjąć wspomniane wcześniej środki na rzecz propagowania praw kobiet i</w:t>
      </w:r>
      <w:r w:rsidR="002A5EA4" w:rsidRPr="00B459FD">
        <w:t> </w:t>
      </w:r>
      <w:r w:rsidRPr="00B459FD">
        <w:t>dziewcząt z niepełnosprawnością.</w:t>
      </w:r>
    </w:p>
    <w:p w:rsidR="00011D33" w:rsidRPr="00B459FD" w:rsidRDefault="00011D33" w:rsidP="002906C2">
      <w:pPr>
        <w:suppressAutoHyphens/>
        <w:overflowPunct/>
        <w:adjustRightInd/>
        <w:textAlignment w:val="auto"/>
      </w:pPr>
    </w:p>
    <w:p w:rsidR="0045129C" w:rsidRPr="00B459FD" w:rsidRDefault="0045129C" w:rsidP="002906C2">
      <w:pPr>
        <w:pStyle w:val="Heading2"/>
        <w:suppressAutoHyphens/>
        <w:overflowPunct/>
        <w:adjustRightInd/>
        <w:ind w:left="567" w:hanging="567"/>
        <w:textAlignment w:val="auto"/>
      </w:pPr>
      <w:r w:rsidRPr="00B459FD">
        <w:t>Wszystkie państwa członkowskie UE są również stroną Konwencji ONZ w sprawie likwidacji wszelkich form dyskryminacji kobiet (CEDAW), najbardziej kompleksowego międzynarodowego narzędzia prawnego mającego na celu zapewnienie równego uznania wszystkich praw kobiet w kontekście praw człowieka w sferze politycznej, gospodarczej, społecznej, kulturalnej, obywatelskiej i domowej. Kobiety i dziewczęta</w:t>
      </w:r>
      <w:r w:rsidR="0096002D" w:rsidRPr="00B459FD">
        <w:t xml:space="preserve"> </w:t>
      </w:r>
      <w:r w:rsidRPr="00B459FD">
        <w:t>z niepełnosprawnością powinny również w pełni korzystać z Konwencji ONZ w sprawie likwidacji wszelkich form dyskryminacji kobiet (CEDAW), a także brać udział w wysiłkach krajowych mających na celu jej wdrożenie.</w:t>
      </w:r>
    </w:p>
    <w:p w:rsidR="0045129C" w:rsidRPr="00B459FD" w:rsidRDefault="0045129C" w:rsidP="002906C2">
      <w:pPr>
        <w:suppressAutoHyphens/>
        <w:overflowPunct/>
        <w:adjustRightInd/>
        <w:textAlignment w:val="auto"/>
      </w:pPr>
    </w:p>
    <w:p w:rsidR="0045129C" w:rsidRPr="00B459FD" w:rsidRDefault="0045129C" w:rsidP="003B15D2">
      <w:pPr>
        <w:pStyle w:val="Heading2"/>
        <w:keepLines/>
        <w:suppressAutoHyphens/>
        <w:overflowPunct/>
        <w:adjustRightInd/>
        <w:ind w:left="567" w:hanging="567"/>
        <w:textAlignment w:val="auto"/>
      </w:pPr>
      <w:r w:rsidRPr="00B459FD">
        <w:lastRenderedPageBreak/>
        <w:t>Artykuły 10 i 19 Traktatu o funkcjonowaniu Unii Europejskiej (TFUE) wymagają od UE zwalczania dyskryminacji ze względu na płeć, pochodzenie rasowe lub etniczne, religię lub światopogląd, niepełnosprawność, wiek lub orientację seksualną na etapie określania i</w:t>
      </w:r>
      <w:r w:rsidR="002A5EA4" w:rsidRPr="00B459FD">
        <w:t> </w:t>
      </w:r>
      <w:r w:rsidRPr="00B459FD">
        <w:t>wdrażania polityki i działalności oraz przyjmowania odpowiednich działań. W art. 8 TFUE stwierdza się, że „we wszystkich swoich działaniach Unia zmierza do zniesienia nierówności oraz wspierania równości mężczyzn i kobiet”.</w:t>
      </w:r>
    </w:p>
    <w:p w:rsidR="0045129C" w:rsidRPr="00B459FD" w:rsidRDefault="0045129C" w:rsidP="002906C2">
      <w:pPr>
        <w:suppressAutoHyphens/>
      </w:pPr>
    </w:p>
    <w:p w:rsidR="00E5793A" w:rsidRPr="00B459FD" w:rsidRDefault="0020532A" w:rsidP="002906C2">
      <w:pPr>
        <w:pStyle w:val="Heading2"/>
        <w:suppressAutoHyphens/>
        <w:overflowPunct/>
        <w:adjustRightInd/>
        <w:ind w:left="567" w:hanging="567"/>
        <w:textAlignment w:val="auto"/>
      </w:pPr>
      <w:r w:rsidRPr="00B459FD">
        <w:t>Artykuły 20 i 26 Karty praw podstawowych Unii Europejskiej zakazują dyskryminacji ze względu na niepełnosprawność i uznają prawo osób niepełnosprawnych do korzystania ze środków mających zapewnić im samodzielność, integrację społeczną i zawodową oraz udział w</w:t>
      </w:r>
      <w:r w:rsidR="002A5EA4" w:rsidRPr="00B459FD">
        <w:t> </w:t>
      </w:r>
      <w:r w:rsidRPr="00B459FD">
        <w:t>życiu społeczności. Karta dotyczy również równości kobiet i mężczyzn, a także niedyskryminacji z różnych powodów, w tym ze względu na płeć.</w:t>
      </w:r>
    </w:p>
    <w:p w:rsidR="00672670" w:rsidRPr="00B459FD" w:rsidRDefault="00672670" w:rsidP="002906C2">
      <w:pPr>
        <w:suppressAutoHyphens/>
        <w:overflowPunct/>
        <w:adjustRightInd/>
        <w:textAlignment w:val="auto"/>
      </w:pPr>
    </w:p>
    <w:p w:rsidR="00672670" w:rsidRPr="00B459FD" w:rsidRDefault="00520E16" w:rsidP="002906C2">
      <w:pPr>
        <w:pStyle w:val="Heading1"/>
        <w:tabs>
          <w:tab w:val="left" w:pos="567"/>
        </w:tabs>
        <w:suppressAutoHyphens/>
        <w:overflowPunct/>
        <w:adjustRightInd/>
        <w:textAlignment w:val="auto"/>
      </w:pPr>
      <w:r w:rsidRPr="00B459FD">
        <w:rPr>
          <w:b/>
        </w:rPr>
        <w:tab/>
        <w:t>Zalecenia ogólne</w:t>
      </w:r>
    </w:p>
    <w:p w:rsidR="00533DA9" w:rsidRPr="00B459FD" w:rsidRDefault="00533DA9" w:rsidP="002906C2">
      <w:pPr>
        <w:suppressAutoHyphens/>
        <w:overflowPunct/>
        <w:adjustRightInd/>
        <w:textAlignment w:val="auto"/>
      </w:pPr>
    </w:p>
    <w:p w:rsidR="00E5793A" w:rsidRPr="00B459FD" w:rsidRDefault="00E5793A" w:rsidP="002906C2">
      <w:pPr>
        <w:pStyle w:val="Heading2"/>
        <w:suppressAutoHyphens/>
        <w:overflowPunct/>
        <w:adjustRightInd/>
        <w:ind w:left="567" w:hanging="567"/>
        <w:textAlignment w:val="auto"/>
      </w:pPr>
      <w:r w:rsidRPr="00B459FD">
        <w:t>W przeciwieństwie do odniesień zawartych w Konwencji o prawach osób niepełnosprawnych, Konwencji w sprawie likwidacji wszelkich form dyskryminacji kobiet, TFUE i Karty, Unia Europejska ani nie uwzględniła aspektu niepełnosprawności we wszystkich swych politykach, programach i strategiach równości płci, ani nie przyjęła perspektywy płci w swych strategiach dotyczących niepełnosprawności. UE i jej państwa członkowskie nie posiadają obecnie skutecznych ram prawnych umożliwiających ochronę, promowanie i zapewnienie wszystkich praw kobiet i dziewcząt z niepełnosprawnością w kontekście praw człowieka. Komitet apeluje, by UE i państwa członkowskie uwzględniły perspektywę niepełnosprawności w swojej przyszłej strategii w zakresie równouprawnienia płci oraz w politykach i programach, a także włączyły kwestię płci do strategii dotyczących niepełnosprawności, w tym do przyszłej europejskiej strategii w sprawie niepełnosprawności na lata 2020–2030 oraz europejskiego filara praw socjalnych. Program zastępujący strategię „Europa 2020” na rzecz inteligentnego, trwałego wzrostu gospodarczego sprzyjającego włączeniu społecznemu powinien również obejmować perspektywę kobiet z niepełnosprawnością, gdyż ich udział w życiu gospodarczym i</w:t>
      </w:r>
      <w:r w:rsidR="002A5EA4" w:rsidRPr="00B459FD">
        <w:t> </w:t>
      </w:r>
      <w:r w:rsidRPr="00B459FD">
        <w:t>społecznym jest niezbędny dla powodzenia ogólnej europejskiej strategii gospodarczej i</w:t>
      </w:r>
      <w:r w:rsidR="002A5EA4" w:rsidRPr="00B459FD">
        <w:t> </w:t>
      </w:r>
      <w:r w:rsidRPr="00B459FD">
        <w:t>społecznej</w:t>
      </w:r>
      <w:r w:rsidR="009D5C72" w:rsidRPr="00B459FD">
        <w:rPr>
          <w:rStyle w:val="FootnoteReference"/>
        </w:rPr>
        <w:footnoteReference w:id="14"/>
      </w:r>
      <w:r w:rsidRPr="00B459FD">
        <w:t>.</w:t>
      </w:r>
    </w:p>
    <w:p w:rsidR="004A3BFD" w:rsidRPr="00B459FD" w:rsidRDefault="004A3BFD" w:rsidP="002906C2">
      <w:pPr>
        <w:suppressAutoHyphens/>
        <w:overflowPunct/>
        <w:adjustRightInd/>
        <w:textAlignment w:val="auto"/>
      </w:pPr>
    </w:p>
    <w:p w:rsidR="0045129C" w:rsidRPr="00B459FD" w:rsidRDefault="00E5793A" w:rsidP="002906C2">
      <w:pPr>
        <w:pStyle w:val="Heading2"/>
        <w:suppressAutoHyphens/>
        <w:overflowPunct/>
        <w:adjustRightInd/>
        <w:ind w:left="567" w:hanging="567"/>
        <w:textAlignment w:val="auto"/>
      </w:pPr>
      <w:r w:rsidRPr="00B459FD">
        <w:t>UE i państwa członkowskie nie prowadzą wystarczających konsultacji z organizacjami przedstawicielskimi kobiet i dziewcząt z niepełnosprawnością, a także wystarczająco ich nie finansują. Zarówno na szczeblu europejskim, jak i krajowym niezbędne jest przedsięwzięcie niezbędnych środków w celu nawiązania zorganizowanego dialogu wraz z niezależną linią budżetową i zapewnienia rzetelnych konsultacji z osobami niepełnosprawnymi oraz ich udziału, w tym kobiet, dziewcząt i chłopców z niepełnosprawnością, za pośrednictwem ich organizacji przedstawicielskich, we wdrażaniu i monitorowaniu Konwencji</w:t>
      </w:r>
      <w:r w:rsidR="009D5C72" w:rsidRPr="00B459FD">
        <w:rPr>
          <w:rStyle w:val="FootnoteReference"/>
        </w:rPr>
        <w:footnoteReference w:id="15"/>
      </w:r>
      <w:r w:rsidRPr="00B459FD">
        <w:t>.</w:t>
      </w:r>
    </w:p>
    <w:p w:rsidR="00E5793A" w:rsidRPr="00B459FD" w:rsidRDefault="00E5793A" w:rsidP="002906C2">
      <w:pPr>
        <w:suppressAutoHyphens/>
      </w:pPr>
    </w:p>
    <w:p w:rsidR="00E5793A" w:rsidRPr="00B459FD" w:rsidRDefault="00E5793A" w:rsidP="003B15D2">
      <w:pPr>
        <w:pStyle w:val="Heading2"/>
        <w:keepLines/>
        <w:suppressAutoHyphens/>
        <w:overflowPunct/>
        <w:adjustRightInd/>
        <w:ind w:left="567" w:hanging="567"/>
        <w:textAlignment w:val="auto"/>
      </w:pPr>
      <w:r w:rsidRPr="00B459FD">
        <w:lastRenderedPageBreak/>
        <w:t>Kobiety i dziewczęta z niepełnosprawnością znajdują się nadal na marginesie wszystkich organizacji praw człowieka. Sprawozdania okresowe sporządzane przez odpowiednie ciała traktatowe Unii Europejskiej i państw członkowskich ds. praw człowieka muszą automatycznie zawierać informacje o kobietach z niepełnosprawnością. Praktyka ta powinna obejmować wszystkie instytucje zaangażowane w rzecznictwo praw człowieka zarówno na szczeblu europejskim, jak i krajowym, w tym organizacje przedstawicielskie osób niepełnosprawnych i</w:t>
      </w:r>
      <w:r w:rsidR="002A5EA4" w:rsidRPr="00B459FD">
        <w:t> </w:t>
      </w:r>
      <w:r w:rsidRPr="00B459FD">
        <w:t>ich rodziny, ogół kobiet oraz kobiety z niepełnosprawnością</w:t>
      </w:r>
      <w:r w:rsidR="009D5C72" w:rsidRPr="00B459FD">
        <w:rPr>
          <w:rStyle w:val="FootnoteReference"/>
        </w:rPr>
        <w:footnoteReference w:id="16"/>
      </w:r>
      <w:r w:rsidRPr="00B459FD">
        <w:t>.</w:t>
      </w:r>
    </w:p>
    <w:p w:rsidR="00E5793A" w:rsidRPr="00B459FD" w:rsidRDefault="00E5793A" w:rsidP="002906C2">
      <w:pPr>
        <w:suppressAutoHyphens/>
      </w:pPr>
    </w:p>
    <w:p w:rsidR="00E5793A" w:rsidRPr="00B459FD" w:rsidRDefault="00E5793A" w:rsidP="002906C2">
      <w:pPr>
        <w:pStyle w:val="Heading2"/>
        <w:suppressAutoHyphens/>
        <w:ind w:left="567" w:hanging="567"/>
      </w:pPr>
      <w:r w:rsidRPr="00B459FD">
        <w:t>UE i jej państwa członkowskie nie mają spójnych i porównywalnych danych oraz wskaźników praw człowieka dotyczących kobiet i dziewcząt z niepełnosprawnością, a także badań na temat sytuacji kobiet i dziewcząt z niepełnosprawnością w UE</w:t>
      </w:r>
      <w:r w:rsidR="009D5C72" w:rsidRPr="00B459FD">
        <w:rPr>
          <w:rStyle w:val="FootnoteReference"/>
        </w:rPr>
        <w:footnoteReference w:id="17"/>
      </w:r>
      <w:r w:rsidRPr="00B459FD">
        <w:t>. Zarówno na szczeblu UE, jak i</w:t>
      </w:r>
      <w:r w:rsidR="002A5EA4" w:rsidRPr="00B459FD">
        <w:t> </w:t>
      </w:r>
      <w:r w:rsidRPr="00B459FD">
        <w:t>krajowym problemy kobiet i dziewcząt z niepełnosprawnością powinny zostać uwzględnione na etapie gromadzenia danych i statystyk z uwzględnieniem aspektu płci oraz wieku oraz w</w:t>
      </w:r>
      <w:r w:rsidR="002A5EA4" w:rsidRPr="00B459FD">
        <w:t> </w:t>
      </w:r>
      <w:r w:rsidRPr="00B459FD">
        <w:t>istniejących szeregach i badaniach statystycznych zgodnie z zasadami Konwencji ONZ o</w:t>
      </w:r>
      <w:r w:rsidR="002A5EA4" w:rsidRPr="00B459FD">
        <w:t> </w:t>
      </w:r>
      <w:r w:rsidRPr="00B459FD">
        <w:t>prawach osób niepełnosprawnych. Niezbędne jest ustanowienie mechanizmu monitorowania postępów i finansowania gromadzenia danych, analiz i badań na temat kobiet i dziewcząt z</w:t>
      </w:r>
      <w:r w:rsidR="002A5EA4" w:rsidRPr="00B459FD">
        <w:t> </w:t>
      </w:r>
      <w:r w:rsidRPr="00B459FD">
        <w:t>niepełnosprawnością oraz dyskryminacji intersekcjonalnej, z którą się zmagają, uwzględniającego najbardziej zmarginalizowane grupy społeczne takie jak mniejszości etniczne i religijne, w celu ukierunkowania planowania polityki. Wszystkie badania na temat praw osób niepełnosprawnych powinny uwzględniać perspektywę płci, a badania dotyczące kobiet i</w:t>
      </w:r>
      <w:r w:rsidR="002A5EA4" w:rsidRPr="00B459FD">
        <w:t> </w:t>
      </w:r>
      <w:r w:rsidRPr="00B459FD">
        <w:t>dziewcząt powinny brać pod uwagę perspektywę osób z niepełnosprawnością.</w:t>
      </w:r>
    </w:p>
    <w:p w:rsidR="00E5793A" w:rsidRPr="00B459FD" w:rsidRDefault="00E5793A" w:rsidP="002906C2">
      <w:pPr>
        <w:suppressAutoHyphens/>
      </w:pPr>
    </w:p>
    <w:p w:rsidR="00E5793A" w:rsidRPr="00B459FD" w:rsidRDefault="00E5793A" w:rsidP="002906C2">
      <w:pPr>
        <w:pStyle w:val="Heading2"/>
        <w:suppressAutoHyphens/>
        <w:overflowPunct/>
        <w:adjustRightInd/>
        <w:ind w:left="567" w:hanging="567"/>
        <w:textAlignment w:val="auto"/>
      </w:pPr>
      <w:r w:rsidRPr="00B459FD">
        <w:t>Wykorzystanie obecnych i przyszłych instrumentów finansowych UE, szczególnie funduszy strukturalnych i Europejskiego Funduszu Społecznego, powinno być kluczowym instrumentem wspierającym państwa członkowskie w promowaniu dostępności dla kobiet i dziewcząt z</w:t>
      </w:r>
      <w:r w:rsidR="002A5EA4" w:rsidRPr="00B459FD">
        <w:t> </w:t>
      </w:r>
      <w:r w:rsidRPr="00B459FD">
        <w:t>niepełnosprawnością</w:t>
      </w:r>
      <w:r w:rsidR="009D5C72" w:rsidRPr="00B459FD">
        <w:rPr>
          <w:rStyle w:val="FootnoteReference"/>
        </w:rPr>
        <w:footnoteReference w:id="18"/>
      </w:r>
      <w:r w:rsidRPr="00B459FD">
        <w:t xml:space="preserve"> oraz ich niedyskryminacji, a także podnoszeniu świadomości i</w:t>
      </w:r>
      <w:r w:rsidR="002A5EA4" w:rsidRPr="00B459FD">
        <w:t> </w:t>
      </w:r>
      <w:r w:rsidRPr="00B459FD">
        <w:t>zwiększeniu widoczności możliwości finansowania środków tego rodzaju w programach po 2020 r. Organizacje osób z niepełnosprawnością powinny otrzymywać dostępne informacje i</w:t>
      </w:r>
      <w:r w:rsidR="002A5EA4" w:rsidRPr="00B459FD">
        <w:t> </w:t>
      </w:r>
      <w:r w:rsidRPr="00B459FD">
        <w:t>wsparcie w zakresie dostępu do możliwości finansowania.</w:t>
      </w:r>
    </w:p>
    <w:p w:rsidR="00E5793A" w:rsidRPr="00B459FD" w:rsidRDefault="00E5793A" w:rsidP="002906C2">
      <w:pPr>
        <w:suppressAutoHyphens/>
        <w:overflowPunct/>
        <w:adjustRightInd/>
        <w:textAlignment w:val="auto"/>
      </w:pPr>
    </w:p>
    <w:p w:rsidR="00E5793A" w:rsidRPr="00B459FD" w:rsidRDefault="00E5793A" w:rsidP="002906C2">
      <w:pPr>
        <w:pStyle w:val="Heading2"/>
        <w:suppressAutoHyphens/>
        <w:overflowPunct/>
        <w:adjustRightInd/>
        <w:ind w:left="567" w:hanging="567"/>
        <w:textAlignment w:val="auto"/>
      </w:pPr>
      <w:r w:rsidRPr="00B459FD">
        <w:t>Kobiety i dziewczęta z niepełnosprawnościami są bardziej zagrożone dyskryminacją z wielu przyczyn jednocześnie i dyskryminacją intersekcjonalną w Europie. Połączenie rasy, pochodzenia etnicznego, klasy społecznej, wieku, orientacji seksualnej, narodowości, religii, płci, niepełnosprawności, statusu uchodźcy lub migranta itp. ma efekt mnożnikowy, który pogłębia dyskryminację kobiet i dziewcząt z niepełnosprawnością</w:t>
      </w:r>
      <w:r w:rsidR="009D5C72" w:rsidRPr="00B459FD">
        <w:rPr>
          <w:rStyle w:val="FootnoteReference"/>
        </w:rPr>
        <w:footnoteReference w:id="19"/>
      </w:r>
      <w:r w:rsidRPr="00B459FD">
        <w:t>. Dyskryminacja wynika ze sposobu budowania tożsamości, braku uznania różnorodności kobiet z niepełnosprawnością i</w:t>
      </w:r>
      <w:r w:rsidR="002A5EA4" w:rsidRPr="00B459FD">
        <w:t> </w:t>
      </w:r>
      <w:r w:rsidRPr="00B459FD">
        <w:t>tendencji do traktowania kobiet z niepełnosprawnością we wszystkich sferach społecznych jako jednorodnej grupy, a także postrzegania ich realiów z perspektywy wykluczenia</w:t>
      </w:r>
      <w:r w:rsidR="009D5C72" w:rsidRPr="00B459FD">
        <w:rPr>
          <w:rStyle w:val="FootnoteReference"/>
        </w:rPr>
        <w:footnoteReference w:id="20"/>
      </w:r>
      <w:r w:rsidR="00B459FD" w:rsidRPr="00B459FD">
        <w:t>. UE </w:t>
      </w:r>
      <w:r w:rsidRPr="00B459FD">
        <w:t>i</w:t>
      </w:r>
      <w:r w:rsidR="002A5EA4" w:rsidRPr="00B459FD">
        <w:t> </w:t>
      </w:r>
      <w:r w:rsidRPr="00B459FD">
        <w:t xml:space="preserve">państwa członkowskie powinny uchylić całe dyskryminujące prawodawstwo, politykę </w:t>
      </w:r>
      <w:r w:rsidRPr="00B459FD">
        <w:lastRenderedPageBreak/>
        <w:t>i</w:t>
      </w:r>
      <w:r w:rsidR="002A5EA4" w:rsidRPr="00B459FD">
        <w:t> </w:t>
      </w:r>
      <w:r w:rsidRPr="00B459FD">
        <w:t>praktyki, a także zakazać wszelkiej dyskryminacji ze względu na płeć i niepełnosprawność oraz jej form krzyżowych, między innymi poprzez przyjęcie skutecznych i obszernych przepisów UE chroniących kobiety z niepełnosprawnością przed dyskryminacją intersekcjonalną we wszystkich dziedzinach życia</w:t>
      </w:r>
      <w:r w:rsidR="009D5C72" w:rsidRPr="00B459FD">
        <w:rPr>
          <w:rStyle w:val="FootnoteReference"/>
        </w:rPr>
        <w:footnoteReference w:id="21"/>
      </w:r>
      <w:r w:rsidRPr="00B459FD">
        <w:t>.</w:t>
      </w:r>
    </w:p>
    <w:p w:rsidR="004A3BFD" w:rsidRPr="00B459FD" w:rsidRDefault="004A3BFD" w:rsidP="002906C2">
      <w:pPr>
        <w:suppressAutoHyphens/>
        <w:overflowPunct/>
        <w:adjustRightInd/>
        <w:textAlignment w:val="auto"/>
      </w:pPr>
    </w:p>
    <w:p w:rsidR="00E5793A" w:rsidRPr="00B459FD" w:rsidRDefault="00E5793A" w:rsidP="002906C2">
      <w:pPr>
        <w:pStyle w:val="Heading2"/>
        <w:suppressAutoHyphens/>
        <w:overflowPunct/>
        <w:adjustRightInd/>
        <w:ind w:left="567" w:hanging="567"/>
        <w:textAlignment w:val="auto"/>
      </w:pPr>
      <w:r w:rsidRPr="00B459FD">
        <w:t>Historia, postawa i uprzedzenia danej społeczności, w tym kręgu rodzinnego, doprowadziły do powstania negatywnego stereotypu kobiet i dziewcząt z niepełnosprawnością, tym samym przyczyniając się do ich izolacji społecznej i wykluczenia społecznego. Są one prawie całkowicie pomijane przez media, a kiedy już się pojawiają, są traktowane z aseksualnej perspektywy medycznej i pomija się ich zdolności i wkład w otaczające środowisko</w:t>
      </w:r>
      <w:r w:rsidR="009D5C72" w:rsidRPr="00B459FD">
        <w:rPr>
          <w:rStyle w:val="FootnoteReference"/>
        </w:rPr>
        <w:footnoteReference w:id="22"/>
      </w:r>
      <w:r w:rsidRPr="00B459FD">
        <w:t>. Kobiety i</w:t>
      </w:r>
      <w:r w:rsidR="002A5EA4" w:rsidRPr="00B459FD">
        <w:t> </w:t>
      </w:r>
      <w:r w:rsidRPr="00B459FD">
        <w:t>dziewczęta z niepełnosprawnością nie są wystarczająco świadome swych praw wynikających z</w:t>
      </w:r>
      <w:r w:rsidR="002A5EA4" w:rsidRPr="00B459FD">
        <w:t> </w:t>
      </w:r>
      <w:r w:rsidRPr="00B459FD">
        <w:t>Konwencji o prawach osób niepełnosprawnych, Konwencji w sprawie likwidacji wszelkich form dyskryminacji kobiet oraz prawa UE. UE i państwa członkowskie powinny opracować kompleksową kampanię na rzecz podnoszenia świadomości na temat Konwencji o prawach osób niepełnosprawnych i Konwencji w sprawie likwidacji wszelkich form dyskryminacji kobiet, podnosić widoczność sytuacji kobiet z niepełnosprawnością, a także walczyć z</w:t>
      </w:r>
      <w:r w:rsidR="002A5EA4" w:rsidRPr="00B459FD">
        <w:t> </w:t>
      </w:r>
      <w:r w:rsidRPr="00B459FD">
        <w:t>uprzedzeniami w stosunku do kobiet i dziewcząt z niepełnosprawnością</w:t>
      </w:r>
      <w:r w:rsidR="009D5C72" w:rsidRPr="00B459FD">
        <w:rPr>
          <w:rStyle w:val="FootnoteReference"/>
        </w:rPr>
        <w:footnoteReference w:id="23"/>
      </w:r>
      <w:r w:rsidRPr="00B459FD">
        <w:t>. W mediach należy promować konsultacje z kobietami z niepełnosprawnością i angażowanie ich. Jeżeli to możliwe, powinny one być mianowane przez swoje organizacje, które powinny również brać udział w</w:t>
      </w:r>
      <w:r w:rsidR="002A5EA4" w:rsidRPr="00B459FD">
        <w:t> </w:t>
      </w:r>
      <w:r w:rsidRPr="00B459FD">
        <w:t>prezentacjach i monitorować programy. Organizacje osób z niepełnosprawnością powinny otrzymać niezbędne środki finansowe na informowanie i szkolenie kobiet i dziewcząt z</w:t>
      </w:r>
      <w:r w:rsidR="002A5EA4" w:rsidRPr="00B459FD">
        <w:t> </w:t>
      </w:r>
      <w:r w:rsidRPr="00B459FD">
        <w:t>niepełnosprawnością i ich rodzin na temat ich praw wynikających z Konwencji o prawach osób niepełnosprawnych.</w:t>
      </w:r>
    </w:p>
    <w:p w:rsidR="00E5793A" w:rsidRPr="00B459FD" w:rsidRDefault="00E5793A" w:rsidP="002906C2">
      <w:pPr>
        <w:suppressAutoHyphens/>
        <w:overflowPunct/>
        <w:adjustRightInd/>
        <w:textAlignment w:val="auto"/>
      </w:pPr>
    </w:p>
    <w:p w:rsidR="00E5793A" w:rsidRPr="00B459FD" w:rsidRDefault="00E5793A" w:rsidP="002906C2">
      <w:pPr>
        <w:pStyle w:val="Heading2"/>
        <w:suppressAutoHyphens/>
        <w:overflowPunct/>
        <w:adjustRightInd/>
        <w:ind w:left="567" w:hanging="567"/>
        <w:textAlignment w:val="auto"/>
      </w:pPr>
      <w:r w:rsidRPr="00B459FD">
        <w:t>Jako organ administracji publicznej UE ma obowiązek wdrażania Konwencji o prawach osób niepełnosprawnych w obrębie swych instytucji. Ponadto powinna zadbać o to, by problemy kobiet i dziewcząt z niepełnosprawnością były w pełni uwzględnione podczas jej wydarzeń i</w:t>
      </w:r>
      <w:r w:rsidR="002A5EA4" w:rsidRPr="00B459FD">
        <w:t> </w:t>
      </w:r>
      <w:r w:rsidRPr="00B459FD">
        <w:t>posiedzeń, działań komunikacyjnych, informacyjnych i konsultacyjnych, a także polityki zabezpieczenia społecznego i polityki zatrudnienia, i podjąć starania w celu uwzględnienia problematyki płci w swych budżetach. Należy podjąć działania pozytywne w celu zapewnienia kobietom z niepełnosprawnością udziału, na równych zasadach z innymi osobami, w</w:t>
      </w:r>
      <w:r w:rsidR="002A5EA4" w:rsidRPr="00B459FD">
        <w:t> </w:t>
      </w:r>
      <w:r w:rsidRPr="00B459FD">
        <w:t>działalności i funkcjonowania instytucji UE.</w:t>
      </w:r>
    </w:p>
    <w:p w:rsidR="00E5793A" w:rsidRPr="00B459FD" w:rsidRDefault="00E5793A" w:rsidP="002906C2">
      <w:pPr>
        <w:suppressAutoHyphens/>
        <w:overflowPunct/>
        <w:adjustRightInd/>
        <w:textAlignment w:val="auto"/>
      </w:pPr>
    </w:p>
    <w:p w:rsidR="00E5793A" w:rsidRPr="00B459FD" w:rsidRDefault="00520E16" w:rsidP="002906C2">
      <w:pPr>
        <w:pStyle w:val="Heading1"/>
        <w:tabs>
          <w:tab w:val="left" w:pos="567"/>
        </w:tabs>
        <w:suppressAutoHyphens/>
        <w:overflowPunct/>
        <w:adjustRightInd/>
        <w:textAlignment w:val="auto"/>
      </w:pPr>
      <w:r w:rsidRPr="00B459FD">
        <w:rPr>
          <w:b/>
        </w:rPr>
        <w:tab/>
        <w:t>Uwagi szczegółowe</w:t>
      </w:r>
    </w:p>
    <w:p w:rsidR="00F51EAD" w:rsidRPr="00B459FD" w:rsidRDefault="00F51EAD" w:rsidP="002906C2">
      <w:pPr>
        <w:suppressAutoHyphens/>
        <w:overflowPunct/>
        <w:adjustRightInd/>
        <w:textAlignment w:val="auto"/>
      </w:pPr>
    </w:p>
    <w:p w:rsidR="00F51EAD" w:rsidRPr="00B459FD" w:rsidRDefault="00F51EAD" w:rsidP="002906C2">
      <w:pPr>
        <w:pStyle w:val="Heading2"/>
        <w:suppressAutoHyphens/>
        <w:ind w:left="567" w:hanging="567"/>
      </w:pPr>
      <w:r w:rsidRPr="00B459FD">
        <w:rPr>
          <w:b/>
        </w:rPr>
        <w:t>Przemoc</w:t>
      </w:r>
    </w:p>
    <w:p w:rsidR="00B317F8" w:rsidRPr="00B459FD" w:rsidRDefault="00B317F8" w:rsidP="002906C2">
      <w:pPr>
        <w:suppressAutoHyphens/>
        <w:overflowPunct/>
        <w:adjustRightInd/>
        <w:textAlignment w:val="auto"/>
      </w:pPr>
    </w:p>
    <w:p w:rsidR="00F51EAD" w:rsidRPr="00B459FD" w:rsidRDefault="00F51EAD" w:rsidP="002906C2">
      <w:pPr>
        <w:pStyle w:val="Heading3"/>
        <w:suppressAutoHyphens/>
        <w:overflowPunct/>
        <w:adjustRightInd/>
        <w:ind w:left="567" w:hanging="567"/>
        <w:textAlignment w:val="auto"/>
      </w:pPr>
      <w:r w:rsidRPr="00B459FD">
        <w:t xml:space="preserve">Kobietom z niepełnosprawnością w porównaniu z innymi kobietami w większym stopniu grożą przemoc, wykorzystywanie i nadużycia. Przemoc może mieć charakter interpersonalny, instytucjonalny i strukturalny. Przemoc instytucjonalna i strukturalna jest wszelką formą nierówności strukturalnej lub dyskryminacji instytucjonalnej, która utrzymuje kobietę </w:t>
      </w:r>
      <w:r w:rsidRPr="00B459FD">
        <w:lastRenderedPageBreak/>
        <w:t>w</w:t>
      </w:r>
      <w:r w:rsidR="002A5EA4" w:rsidRPr="00B459FD">
        <w:t> </w:t>
      </w:r>
      <w:r w:rsidRPr="00B459FD">
        <w:t>podrzędnej pozycji, czy to pod względem fizycznym, czy ideologicznym, w porównaniu z</w:t>
      </w:r>
      <w:r w:rsidR="002A5EA4" w:rsidRPr="00B459FD">
        <w:t> </w:t>
      </w:r>
      <w:r w:rsidRPr="00B459FD">
        <w:t>innymi osobami w jej rodzinie, domu rodzinnym czy społeczności</w:t>
      </w:r>
      <w:r w:rsidR="009D5C72" w:rsidRPr="00B459FD">
        <w:rPr>
          <w:rStyle w:val="FootnoteReference"/>
        </w:rPr>
        <w:footnoteReference w:id="24"/>
      </w:r>
      <w:r w:rsidRPr="00B459FD">
        <w:t>. W badaniu Agencji Praw Podstawowych Unii Europejskiej z 2014 r. oszacowano, że kobiety i dziewczęta z</w:t>
      </w:r>
      <w:r w:rsidR="002A5EA4" w:rsidRPr="00B459FD">
        <w:t> </w:t>
      </w:r>
      <w:r w:rsidRPr="00B459FD">
        <w:t>niepełnosprawnością są 3–5 razy bardziej narażone na przemoc, zwłaszcza domową</w:t>
      </w:r>
      <w:r w:rsidR="009D5C72" w:rsidRPr="00B459FD">
        <w:rPr>
          <w:rStyle w:val="FootnoteReference"/>
        </w:rPr>
        <w:footnoteReference w:id="25"/>
      </w:r>
      <w:r w:rsidR="00B459FD" w:rsidRPr="00B459FD">
        <w:t>.</w:t>
      </w:r>
    </w:p>
    <w:p w:rsidR="00B317F8" w:rsidRPr="00B459FD" w:rsidRDefault="00B317F8" w:rsidP="002906C2">
      <w:pPr>
        <w:suppressAutoHyphens/>
        <w:overflowPunct/>
        <w:adjustRightInd/>
        <w:textAlignment w:val="auto"/>
      </w:pPr>
    </w:p>
    <w:p w:rsidR="00F51EAD" w:rsidRPr="00B459FD" w:rsidRDefault="00F51EAD" w:rsidP="002906C2">
      <w:pPr>
        <w:pStyle w:val="Heading3"/>
        <w:suppressAutoHyphens/>
        <w:overflowPunct/>
        <w:adjustRightInd/>
        <w:ind w:left="567" w:hanging="567"/>
        <w:textAlignment w:val="auto"/>
      </w:pPr>
      <w:r w:rsidRPr="00B459FD">
        <w:t>Europejskie i krajowe przepisy dotyczące zapobiegania wykorzystywaniu, przemocy i</w:t>
      </w:r>
      <w:r w:rsidR="002A5EA4" w:rsidRPr="00B459FD">
        <w:t> </w:t>
      </w:r>
      <w:r w:rsidRPr="00B459FD">
        <w:t>nadużyciom często nie uwzględniają kobiet i dziewcząt z niepełnosprawnością. UE powinna przedsięwziąć niezbędne środki w celu uwzględnienia niepełnosprawności we wszystkich przepisach, politykach i strategiach w celu rozwiązania problemu przemocy, nadużywania i</w:t>
      </w:r>
      <w:r w:rsidR="002A5EA4" w:rsidRPr="00B459FD">
        <w:t> </w:t>
      </w:r>
      <w:r w:rsidRPr="00B459FD">
        <w:t>wykorzystywania</w:t>
      </w:r>
      <w:r w:rsidR="009D5C72" w:rsidRPr="00B459FD">
        <w:rPr>
          <w:rStyle w:val="FootnoteReference"/>
        </w:rPr>
        <w:footnoteReference w:id="26"/>
      </w:r>
      <w:r w:rsidRPr="00B459FD">
        <w:t>. Przemoc wobec kobiet powinna być uznawana za przestępstwo. Należy przedsięwziąć wszelkie odpowiednie działania ustawodawcze, administracyjne, społeczne i</w:t>
      </w:r>
      <w:r w:rsidR="002A5EA4" w:rsidRPr="00B459FD">
        <w:t> </w:t>
      </w:r>
      <w:r w:rsidRPr="00B459FD">
        <w:t>edukacyjne w celu ochrony kobiet i dziewcząt z niepełnosprawnością zarówno w warunkach domowych, jak i poza domem przed wszelkimi rodzajami wykorzystywania, przemocy i</w:t>
      </w:r>
      <w:r w:rsidR="002A5EA4" w:rsidRPr="00B459FD">
        <w:t> </w:t>
      </w:r>
      <w:r w:rsidRPr="00B459FD">
        <w:t>nadużyć oraz ułatwienia im dostępu do wymiaru sprawiedliwości poprzez zapewnianie odpowiedniego wsparcia i pomocy w ramach społeczności przy uwzględnieniu ich specyficznych potrzeb, w tym odpowiednich urządzeń, aby uniknąć izolacji i zamknięcia w</w:t>
      </w:r>
      <w:r w:rsidR="002A5EA4" w:rsidRPr="00B459FD">
        <w:t> </w:t>
      </w:r>
      <w:r w:rsidRPr="00B459FD">
        <w:t>domu</w:t>
      </w:r>
      <w:r w:rsidR="009D5C72" w:rsidRPr="00B459FD">
        <w:rPr>
          <w:rStyle w:val="FootnoteReference"/>
        </w:rPr>
        <w:footnoteReference w:id="27"/>
      </w:r>
      <w:r w:rsidRPr="00B459FD">
        <w:t>.</w:t>
      </w:r>
    </w:p>
    <w:p w:rsidR="00B317F8" w:rsidRPr="00B459FD" w:rsidRDefault="00B317F8" w:rsidP="002906C2">
      <w:pPr>
        <w:suppressAutoHyphens/>
        <w:overflowPunct/>
        <w:adjustRightInd/>
        <w:textAlignment w:val="auto"/>
      </w:pPr>
    </w:p>
    <w:p w:rsidR="00F51EAD" w:rsidRPr="00B459FD" w:rsidRDefault="00F51EAD" w:rsidP="002906C2">
      <w:pPr>
        <w:pStyle w:val="Heading3"/>
        <w:suppressAutoHyphens/>
        <w:overflowPunct/>
        <w:adjustRightInd/>
        <w:ind w:left="567" w:hanging="567"/>
        <w:textAlignment w:val="auto"/>
      </w:pPr>
      <w:r w:rsidRPr="00B459FD">
        <w:t>UE i państwa członkowskie powinny szybko przystąpić do Konwencji Rady Europy o</w:t>
      </w:r>
      <w:r w:rsidR="002A5EA4" w:rsidRPr="00B459FD">
        <w:t> </w:t>
      </w:r>
      <w:r w:rsidRPr="00B459FD">
        <w:t>zapobieganiu i zwalczaniu przemocy wobec kobiet i przemocy domowej (konwencji stambulskiej), co będzie kolejnym krokiem na drodze do zwalczania przemocy wobec kobiet i</w:t>
      </w:r>
      <w:r w:rsidR="002A5EA4" w:rsidRPr="00B459FD">
        <w:t> </w:t>
      </w:r>
      <w:r w:rsidRPr="00B459FD">
        <w:t>dziewcząt z niepełnosprawnością. Środki te powinny obejmować kryminalizację przemocy seksualnej i innych form przemocy wobec kobiet i dziewcząt z niepełnosprawnością, w tym zniesienie przymusowej sterylizacji</w:t>
      </w:r>
      <w:r w:rsidR="009E7548" w:rsidRPr="00B459FD">
        <w:rPr>
          <w:rStyle w:val="FootnoteReference"/>
        </w:rPr>
        <w:footnoteReference w:id="28"/>
      </w:r>
      <w:r w:rsidRPr="00B459FD">
        <w:t>.</w:t>
      </w:r>
    </w:p>
    <w:p w:rsidR="00180FFC" w:rsidRPr="00B459FD" w:rsidRDefault="00180FFC" w:rsidP="002906C2">
      <w:pPr>
        <w:suppressAutoHyphens/>
        <w:overflowPunct/>
        <w:adjustRightInd/>
        <w:textAlignment w:val="auto"/>
      </w:pPr>
    </w:p>
    <w:p w:rsidR="00180FFC" w:rsidRPr="00B459FD" w:rsidRDefault="00180FFC" w:rsidP="002906C2">
      <w:pPr>
        <w:pStyle w:val="Heading2"/>
        <w:suppressAutoHyphens/>
        <w:ind w:left="567" w:hanging="567"/>
      </w:pPr>
      <w:r w:rsidRPr="00B459FD">
        <w:rPr>
          <w:b/>
        </w:rPr>
        <w:t>Zdrowie seksualne i prokreacyjne oraz prawa, w tym poszanowanie domu i rodziny</w:t>
      </w:r>
    </w:p>
    <w:p w:rsidR="00B317F8" w:rsidRPr="00B459FD" w:rsidRDefault="00B317F8" w:rsidP="002906C2">
      <w:pPr>
        <w:suppressAutoHyphens/>
        <w:overflowPunct/>
        <w:adjustRightInd/>
        <w:textAlignment w:val="auto"/>
      </w:pPr>
    </w:p>
    <w:p w:rsidR="00180FFC" w:rsidRPr="00B459FD" w:rsidRDefault="00180FFC" w:rsidP="002906C2">
      <w:pPr>
        <w:pStyle w:val="Heading3"/>
        <w:suppressAutoHyphens/>
        <w:overflowPunct/>
        <w:adjustRightInd/>
        <w:ind w:left="567" w:hanging="567"/>
        <w:textAlignment w:val="auto"/>
      </w:pPr>
      <w:r w:rsidRPr="00B459FD">
        <w:t>Bezprawna stereotypizacja związana z niepełnosprawnością oraz płcią jest formą dyskryminacji, która ma szczególnie poważny wpływ na korzystanie ze zdrowia seksualnego i</w:t>
      </w:r>
      <w:r w:rsidR="002A5EA4" w:rsidRPr="00B459FD">
        <w:t> </w:t>
      </w:r>
      <w:r w:rsidRPr="00B459FD">
        <w:t>prokreacyjnego oraz praw w tym względzie, a także z prawa do założenia rodziny. Do szkodliwych stereotypów dotyczących kobiet z niepełnosprawnością należy przekonanie, że są one aseksualne, niekompetentne, irracjonalne lub nadmiernie pobudzone seksualnie</w:t>
      </w:r>
      <w:r w:rsidR="009E7548" w:rsidRPr="00B459FD">
        <w:rPr>
          <w:rStyle w:val="FootnoteReference"/>
        </w:rPr>
        <w:footnoteReference w:id="29"/>
      </w:r>
      <w:r w:rsidR="00B459FD" w:rsidRPr="00B459FD">
        <w:t>.</w:t>
      </w:r>
    </w:p>
    <w:p w:rsidR="002D1719" w:rsidRPr="00B459FD" w:rsidRDefault="002D1719" w:rsidP="002906C2">
      <w:pPr>
        <w:suppressAutoHyphens/>
        <w:overflowPunct/>
        <w:adjustRightInd/>
        <w:textAlignment w:val="auto"/>
      </w:pPr>
    </w:p>
    <w:p w:rsidR="00180FFC" w:rsidRPr="00B459FD" w:rsidRDefault="00180FFC" w:rsidP="002906C2">
      <w:pPr>
        <w:pStyle w:val="Heading3"/>
        <w:suppressAutoHyphens/>
        <w:overflowPunct/>
        <w:adjustRightInd/>
        <w:ind w:left="567" w:hanging="567"/>
        <w:textAlignment w:val="auto"/>
      </w:pPr>
      <w:r w:rsidRPr="00B459FD">
        <w:t>Wybory kobiet z niepełnosprawnością, szczególnie kobiet z zaburzeniami psychospołecznymi i</w:t>
      </w:r>
      <w:r w:rsidR="002A5EA4" w:rsidRPr="00B459FD">
        <w:t> </w:t>
      </w:r>
      <w:r w:rsidRPr="00B459FD">
        <w:t>niepełnosprawnością intelektualną, są często ignorowane, a decyzje w ich imieniu podejmują osoby trzecie, w tym przedstawiciele ustawowi, dostawcy usług, opiekunowie i członkowie rodzin, łamiąc ich prawa wynikające z art. 12 Konwencji o prawach osób niepełnosprawnych</w:t>
      </w:r>
      <w:r w:rsidR="009E7548" w:rsidRPr="00B459FD">
        <w:rPr>
          <w:rStyle w:val="FootnoteReference"/>
        </w:rPr>
        <w:footnoteReference w:id="30"/>
      </w:r>
      <w:r w:rsidRPr="00B459FD">
        <w:t xml:space="preserve">. </w:t>
      </w:r>
      <w:r w:rsidRPr="00B459FD">
        <w:lastRenderedPageBreak/>
        <w:t>Zbyt często zdarza się, że kobiety i dziewczęta z niepełnosprawnością są poddawane sterylizacji i aborcji lub innym formom kontrolowania płodności. UE i państwa członkowskie powinny przedsięwziąć wszystkie środki w celu zadbania o to, by wszystkie kobiety z</w:t>
      </w:r>
      <w:r w:rsidR="002A5EA4" w:rsidRPr="00B459FD">
        <w:t> </w:t>
      </w:r>
      <w:r w:rsidRPr="00B459FD">
        <w:t>niepełnosprawnością były w stanie korzystać ze swej zdolności prawnej, podejmując swoje własne decyzje, jeżeli to pożądane korzystając ze wsparcia innych, odnośnie do usług leczniczych i postępowania terapeutycznego, między innymi decyzje w sprawie zachowania płodności i niezależności prokreacyjnej, korzystając z prawa do decyzji o liczbie dzieci i</w:t>
      </w:r>
      <w:r w:rsidR="002A5EA4" w:rsidRPr="00B459FD">
        <w:t> </w:t>
      </w:r>
      <w:r w:rsidRPr="00B459FD">
        <w:t>odstępach między ich narodzinami oraz kwestiach dotyczących swej seksualności i z prawa do tworzenia związków. Powinno się to odbywać bez przymusu, dyskryminacji i przemocy. Przymusowa sterylizacja i przymusowa aborcja stanowią formy przemocy wobec kobiet i</w:t>
      </w:r>
      <w:r w:rsidR="002A5EA4" w:rsidRPr="00B459FD">
        <w:t> </w:t>
      </w:r>
      <w:r w:rsidRPr="00B459FD">
        <w:t>należy je traktować jako przestępstwo, zgodnie z definicją zawartą w art. 39 Konwencji Rady Europy w sprawie zapobiegania i zwalczania przemocy wobec kobiet i przemocy domowej</w:t>
      </w:r>
      <w:r w:rsidR="00A65B7B" w:rsidRPr="00B459FD">
        <w:rPr>
          <w:rStyle w:val="FootnoteReference"/>
        </w:rPr>
        <w:footnoteReference w:id="31"/>
      </w:r>
      <w:r w:rsidRPr="00B459FD">
        <w:t>.</w:t>
      </w:r>
    </w:p>
    <w:p w:rsidR="002D1719" w:rsidRPr="00B459FD" w:rsidRDefault="002D1719" w:rsidP="002906C2">
      <w:pPr>
        <w:suppressAutoHyphens/>
        <w:overflowPunct/>
        <w:adjustRightInd/>
        <w:textAlignment w:val="auto"/>
      </w:pPr>
    </w:p>
    <w:p w:rsidR="00180FFC" w:rsidRPr="00B459FD" w:rsidRDefault="00180FFC" w:rsidP="002906C2">
      <w:pPr>
        <w:pStyle w:val="Heading3"/>
        <w:suppressAutoHyphens/>
        <w:overflowPunct/>
        <w:adjustRightInd/>
        <w:ind w:left="567" w:hanging="567"/>
        <w:textAlignment w:val="auto"/>
      </w:pPr>
      <w:r w:rsidRPr="00B459FD">
        <w:t>Czasami kobietom z niepełnosprawnością odmawia się również dostępu do informacji i</w:t>
      </w:r>
      <w:r w:rsidR="002A5EA4" w:rsidRPr="00B459FD">
        <w:t> </w:t>
      </w:r>
      <w:r w:rsidRPr="00B459FD">
        <w:t>komunikacji, w tym do kompleksowego zdrowia seksualnego i reprodukcyjnego w oparciu o</w:t>
      </w:r>
      <w:r w:rsidR="002A5EA4" w:rsidRPr="00B459FD">
        <w:t> </w:t>
      </w:r>
      <w:r w:rsidRPr="00B459FD">
        <w:t>szkodliwe stereotypy zakładające ich aseksualność i tym samym ich brak zapotrzebowania na takie informacje na równych prawach z innymi. Informacje mogą być również niedostępne w</w:t>
      </w:r>
      <w:r w:rsidR="002A5EA4" w:rsidRPr="00B459FD">
        <w:t> </w:t>
      </w:r>
      <w:r w:rsidRPr="00B459FD">
        <w:t>przystępnym formacie. Placówki opieki zdrowotnej oraz sprzęt, w tym mammografy i łóżka do badań ginekologicznych, są często fizycznie niedostępne dla kobiet z niepełnosprawnością</w:t>
      </w:r>
      <w:r w:rsidR="009E7548" w:rsidRPr="00B459FD">
        <w:rPr>
          <w:rStyle w:val="FootnoteReference"/>
        </w:rPr>
        <w:footnoteReference w:id="32"/>
      </w:r>
      <w:r w:rsidRPr="00B459FD">
        <w:t>. UE i państwa członkowskie powinny przedsięwziąć wszystkie środki w celu zadbania o to, by kobiety i dziewczęta z niepełnosprawnością miały równy dostęp do związanych z</w:t>
      </w:r>
      <w:r w:rsidR="002A5EA4" w:rsidRPr="00B459FD">
        <w:t> </w:t>
      </w:r>
      <w:r w:rsidRPr="00B459FD">
        <w:t>niepełnosprawnością usług zdrowotnych dla osób niepełnosprawnych, a także do przystępnych usług podstawowych, takich jak opieka dentystyczna i okulistyczna, usługi w</w:t>
      </w:r>
      <w:r w:rsidR="002A5EA4" w:rsidRPr="00B459FD">
        <w:t> </w:t>
      </w:r>
      <w:r w:rsidRPr="00B459FD">
        <w:t>zakresie zdrowia seksualnego i prokreacyjnego oraz usługi profilaktyczne w tym zakresie, w</w:t>
      </w:r>
      <w:r w:rsidR="002A5EA4" w:rsidRPr="00B459FD">
        <w:t> </w:t>
      </w:r>
      <w:r w:rsidRPr="00B459FD">
        <w:t>tym konsultacje ginekologiczne, badania medyczne, planowanie rodziny i odpowiednio dost</w:t>
      </w:r>
      <w:r w:rsidR="00B459FD" w:rsidRPr="00B459FD">
        <w:t>osowane wsparcie podczas ciąży.</w:t>
      </w:r>
    </w:p>
    <w:p w:rsidR="00F51EAD" w:rsidRPr="00B459FD" w:rsidRDefault="00F51EAD" w:rsidP="002906C2">
      <w:pPr>
        <w:suppressAutoHyphens/>
      </w:pPr>
    </w:p>
    <w:p w:rsidR="00180FFC" w:rsidRPr="00B459FD" w:rsidRDefault="00883A48" w:rsidP="002906C2">
      <w:pPr>
        <w:pStyle w:val="Heading3"/>
        <w:suppressAutoHyphens/>
        <w:overflowPunct/>
        <w:adjustRightInd/>
        <w:ind w:left="567" w:hanging="567"/>
        <w:textAlignment w:val="auto"/>
      </w:pPr>
      <w:r w:rsidRPr="00B459FD">
        <w:t>Należy podjąć niezbędne środki w zakresie szkolenia specjalistów, przede wszystkim pracowników służby zdrowia i osób działających w dziedzinie prawa, w celu zapewnienia, że w</w:t>
      </w:r>
      <w:r w:rsidR="002A5EA4" w:rsidRPr="00B459FD">
        <w:t> </w:t>
      </w:r>
      <w:r w:rsidRPr="00B459FD">
        <w:t>trakcie dochodzeń i postępowań będzie wysłuchany głos kobiet i dziewcząt z</w:t>
      </w:r>
      <w:r w:rsidR="002A5EA4" w:rsidRPr="00B459FD">
        <w:t> </w:t>
      </w:r>
      <w:r w:rsidRPr="00B459FD">
        <w:t>niepełnosprawnością. Działania te powinny być podejmowane w ścisłej współpracy z</w:t>
      </w:r>
      <w:r w:rsidR="002A5EA4" w:rsidRPr="00B459FD">
        <w:t> </w:t>
      </w:r>
      <w:r w:rsidRPr="00B459FD">
        <w:t>organizacjami reprezentującymi osoby niepełnosprawne.</w:t>
      </w:r>
    </w:p>
    <w:p w:rsidR="002D1719" w:rsidRPr="00B459FD" w:rsidRDefault="002D1719" w:rsidP="002906C2">
      <w:pPr>
        <w:suppressAutoHyphens/>
      </w:pPr>
    </w:p>
    <w:p w:rsidR="00E5793A" w:rsidRPr="00B459FD" w:rsidRDefault="00E5793A" w:rsidP="002906C2">
      <w:pPr>
        <w:pStyle w:val="Heading2"/>
        <w:suppressAutoHyphens/>
        <w:ind w:left="567" w:hanging="567"/>
      </w:pPr>
      <w:r w:rsidRPr="00B459FD">
        <w:rPr>
          <w:b/>
        </w:rPr>
        <w:t>Kształcenie i szkolenie</w:t>
      </w:r>
    </w:p>
    <w:p w:rsidR="00E5793A" w:rsidRPr="00B459FD" w:rsidRDefault="00E5793A" w:rsidP="002906C2">
      <w:pPr>
        <w:suppressAutoHyphens/>
        <w:overflowPunct/>
        <w:adjustRightInd/>
        <w:textAlignment w:val="auto"/>
      </w:pPr>
    </w:p>
    <w:p w:rsidR="00E5793A" w:rsidRPr="00B459FD" w:rsidRDefault="00E5793A" w:rsidP="002906C2">
      <w:pPr>
        <w:pStyle w:val="Heading3"/>
        <w:suppressAutoHyphens/>
        <w:overflowPunct/>
        <w:adjustRightInd/>
        <w:ind w:left="567" w:hanging="567"/>
        <w:textAlignment w:val="auto"/>
      </w:pPr>
      <w:r w:rsidRPr="00B459FD">
        <w:t>Krzywdzące stereotypy dotyczące płci i niepełnosprawności zaogniają dyskryminujące postawy, polityki i praktyki takie jak: przypisywanie większej wartości kształceniu chłopców niż dziewcząt, stosowanie materiałów edukacyjnych szerzących błędne stereotypy dotyczące płci i niepełnosprawności, zachęcanie do małżeństw z dziewczynkami z niepełnosprawnością, udział w opartym na płci życiu rodzinnym, przydzielanie roli opiekunek kobietom i</w:t>
      </w:r>
      <w:r w:rsidR="002A5EA4" w:rsidRPr="00B459FD">
        <w:t> </w:t>
      </w:r>
      <w:r w:rsidRPr="00B459FD">
        <w:t xml:space="preserve">dziewczynkom, a także brak dostępnych instalacji sanitarnych w szkołach. Z kolei zjawiska te </w:t>
      </w:r>
      <w:r w:rsidRPr="00B459FD">
        <w:lastRenderedPageBreak/>
        <w:t>prowadzą do wyższego poziomu analfabetyzmu, niepowodzeń w szkole, nierównej codziennej frekwencji szkolnej, absencji i wczesnego kończenia szkoły</w:t>
      </w:r>
      <w:r w:rsidR="009E7548" w:rsidRPr="00B459FD">
        <w:rPr>
          <w:rStyle w:val="FootnoteReference"/>
        </w:rPr>
        <w:footnoteReference w:id="33"/>
      </w:r>
      <w:r w:rsidRPr="00B459FD">
        <w:t>.</w:t>
      </w:r>
    </w:p>
    <w:p w:rsidR="00E5793A" w:rsidRPr="00B459FD" w:rsidRDefault="00E5793A" w:rsidP="002906C2">
      <w:pPr>
        <w:suppressAutoHyphens/>
        <w:overflowPunct/>
        <w:adjustRightInd/>
        <w:textAlignment w:val="auto"/>
      </w:pPr>
    </w:p>
    <w:p w:rsidR="00E5793A" w:rsidRPr="00B459FD" w:rsidRDefault="00E5793A" w:rsidP="002906C2">
      <w:pPr>
        <w:pStyle w:val="Heading3"/>
        <w:suppressAutoHyphens/>
        <w:overflowPunct/>
        <w:adjustRightInd/>
        <w:ind w:left="567" w:hanging="567"/>
        <w:textAlignment w:val="auto"/>
      </w:pPr>
      <w:r w:rsidRPr="00B459FD">
        <w:t>Analiza porównawcza UE pokazała, że w 2011 r. jedynie 27 % osób z niepełnosprawnością w</w:t>
      </w:r>
      <w:r w:rsidR="002A5EA4" w:rsidRPr="00B459FD">
        <w:t> </w:t>
      </w:r>
      <w:r w:rsidRPr="00B459FD">
        <w:t>wieku 30–34 lat ukończyło uczelnię wyższą lub równoważną w UE</w:t>
      </w:r>
      <w:r w:rsidR="009E7548" w:rsidRPr="00B459FD">
        <w:rPr>
          <w:rStyle w:val="FootnoteReference"/>
        </w:rPr>
        <w:footnoteReference w:id="34"/>
      </w:r>
      <w:r w:rsidRPr="00B459FD">
        <w:t>. Brakuje jednak danych na temat kobiet i dziewcząt z niepełnosprawnością. W europejskich szkołach i różnych państwach członkowskich UE wiele dziewcząt i kobiet z niepełnosprawnością nie może uzyskać dostępu do włączającej, wysokiej jakości edukacji zgodnej z Konwencją o prawach osób niepełnosprawnych. Dowiedziono, że kryzys finansowy wpłynął negatywnie na wysiłki zmierzające do edukacji włączającej.</w:t>
      </w:r>
    </w:p>
    <w:p w:rsidR="00E5793A" w:rsidRPr="00B459FD" w:rsidRDefault="00E5793A" w:rsidP="002906C2">
      <w:pPr>
        <w:suppressAutoHyphens/>
        <w:overflowPunct/>
        <w:adjustRightInd/>
        <w:textAlignment w:val="auto"/>
      </w:pPr>
    </w:p>
    <w:p w:rsidR="00E5793A" w:rsidRPr="00B459FD" w:rsidRDefault="00E5793A" w:rsidP="002906C2">
      <w:pPr>
        <w:pStyle w:val="Heading3"/>
        <w:suppressAutoHyphens/>
        <w:overflowPunct/>
        <w:adjustRightInd/>
        <w:ind w:left="567" w:hanging="567"/>
        <w:textAlignment w:val="auto"/>
      </w:pPr>
      <w:r w:rsidRPr="00B459FD">
        <w:t>Podstawową edukację włączającą dla kobiet i dziewcząt z niepełnosprawnością trzeba postrzegać przez pryzmat wysokiej jakości, równych szans, wsparcia i odpowiedniego zakwaterowania</w:t>
      </w:r>
      <w:r w:rsidR="009E7548" w:rsidRPr="00B459FD">
        <w:rPr>
          <w:rStyle w:val="FootnoteReference"/>
        </w:rPr>
        <w:footnoteReference w:id="35"/>
      </w:r>
      <w:r w:rsidRPr="00B459FD">
        <w:t xml:space="preserve"> i powszechnej dostępności przez cały cykl życia, dbając o to, by kobiety z</w:t>
      </w:r>
      <w:r w:rsidR="002A5EA4" w:rsidRPr="00B459FD">
        <w:t> </w:t>
      </w:r>
      <w:r w:rsidRPr="00B459FD">
        <w:t>niepełnosprawnością mogły uzyskać dostęp do kształcenia dorosłych jako sposobu zwiększenia niezależności osobistej, rozwoju osobistego i włączenia społecznego przy jednoczesnym stałym korzystaniu z prawa do samodzielnego podejmowania decyzji oraz wyboru sposobu życia. Rodzice uczniów z niepełnosprawnością powinni być wyposażeni w</w:t>
      </w:r>
      <w:r w:rsidR="002A5EA4" w:rsidRPr="00B459FD">
        <w:t> </w:t>
      </w:r>
      <w:r w:rsidRPr="00B459FD">
        <w:t>odpowiednie informacje na temat korzyści płynących z powszechnej edukacji sprzyjającej włączeniu społecznemu.</w:t>
      </w:r>
    </w:p>
    <w:p w:rsidR="00E5793A" w:rsidRPr="00B459FD" w:rsidRDefault="00E5793A" w:rsidP="002906C2">
      <w:pPr>
        <w:suppressAutoHyphens/>
        <w:overflowPunct/>
        <w:adjustRightInd/>
        <w:textAlignment w:val="auto"/>
        <w:rPr>
          <w:i/>
        </w:rPr>
      </w:pPr>
    </w:p>
    <w:p w:rsidR="00E5793A" w:rsidRPr="00B459FD" w:rsidRDefault="00E5793A" w:rsidP="002906C2">
      <w:pPr>
        <w:pStyle w:val="Heading3"/>
        <w:suppressAutoHyphens/>
        <w:overflowPunct/>
        <w:adjustRightInd/>
        <w:ind w:left="567" w:hanging="567"/>
        <w:textAlignment w:val="auto"/>
      </w:pPr>
      <w:r w:rsidRPr="00B459FD">
        <w:t>UE i państwa członkowskie powinny ocenić obecną sytuację i przedsięwziąć środki ułatwiające dostęp do włączającej, wysokiej jakości edukacji dla wszystkich uczniów z</w:t>
      </w:r>
      <w:r w:rsidR="002A5EA4" w:rsidRPr="00B459FD">
        <w:t> </w:t>
      </w:r>
      <w:r w:rsidRPr="00B459FD">
        <w:t>niepełnosprawnością zgodnie z Konwencją o prawach osób niepełnosprawnych i korzystanie z</w:t>
      </w:r>
      <w:r w:rsidR="002A5EA4" w:rsidRPr="00B459FD">
        <w:t> </w:t>
      </w:r>
      <w:r w:rsidRPr="00B459FD">
        <w:t>niej, promując zastosowanie europejskich instrumentów finansowych, i uwzględnić wskaźniki związane z niepełnosprawnością w strategii „Europa 2020” na etap</w:t>
      </w:r>
      <w:r w:rsidR="00B459FD" w:rsidRPr="00B459FD">
        <w:t>ie realizacji celu kształcenia.</w:t>
      </w:r>
    </w:p>
    <w:p w:rsidR="00E5793A" w:rsidRPr="00B459FD" w:rsidRDefault="00E5793A" w:rsidP="002906C2">
      <w:pPr>
        <w:suppressAutoHyphens/>
        <w:overflowPunct/>
        <w:adjustRightInd/>
        <w:textAlignment w:val="auto"/>
        <w:rPr>
          <w:i/>
        </w:rPr>
      </w:pPr>
    </w:p>
    <w:p w:rsidR="00E5793A" w:rsidRPr="00B459FD" w:rsidRDefault="00177E82" w:rsidP="002906C2">
      <w:pPr>
        <w:pStyle w:val="Heading3"/>
        <w:suppressAutoHyphens/>
        <w:overflowPunct/>
        <w:adjustRightInd/>
        <w:ind w:left="567" w:hanging="567"/>
        <w:textAlignment w:val="auto"/>
      </w:pPr>
      <w:r w:rsidRPr="00B459FD">
        <w:t>W ostatnich latach poprawiono odpowiednie rozporządzenia i programy wymiany studentów (takie jak Erasmus+), włączając wsparcie finansowe mobilności studentów niepełnosprawnych. Jednak w praktyce studenci z niepełnosprawnością napotykają wiele przeszkód w dostępie do krajowych usług edukacyjnych kraju przeznaczenia (podejście, przeszkody fizyczne, komunikacyjne i informacyjne, brak elastyczności programu nauczania)</w:t>
      </w:r>
      <w:r w:rsidR="009E7548" w:rsidRPr="00B459FD">
        <w:rPr>
          <w:rStyle w:val="FootnoteReference"/>
        </w:rPr>
        <w:footnoteReference w:id="36"/>
      </w:r>
      <w:r w:rsidRPr="00B459FD">
        <w:t>. Programy UE dotyczące szkolnictwa wyższego, szkolenia i uczenia się przez całe życie powinny obejmować wsparcie dla kobiet z niepełnosprawnością. Europejski program wymiany w dziedzinie przedsiębiorczości powinien obejmować wsparcie finansowe dla młodych osób z</w:t>
      </w:r>
      <w:r w:rsidR="002A5EA4" w:rsidRPr="00B459FD">
        <w:t> </w:t>
      </w:r>
      <w:r w:rsidRPr="00B459FD">
        <w:t>niepełnosprawnością, co obecnie nie jest możliwe. Należy rozpowszechniać dobre praktyki i</w:t>
      </w:r>
      <w:r w:rsidR="002A5EA4" w:rsidRPr="00B459FD">
        <w:t> </w:t>
      </w:r>
      <w:r w:rsidRPr="00B459FD">
        <w:t>zadania w ramach programu wymiany studentów i młodych przedsiębiorców oraz zapewnić szkolenia dla specjalistów w zakresie edukacji, partnerów społecznych i mediów.</w:t>
      </w:r>
    </w:p>
    <w:p w:rsidR="00E5793A" w:rsidRPr="00B459FD" w:rsidRDefault="00E5793A" w:rsidP="002906C2">
      <w:pPr>
        <w:suppressAutoHyphens/>
      </w:pPr>
    </w:p>
    <w:p w:rsidR="00167A3D" w:rsidRPr="00B459FD" w:rsidRDefault="00167A3D" w:rsidP="002906C2">
      <w:pPr>
        <w:pStyle w:val="Heading3"/>
        <w:suppressAutoHyphens/>
        <w:overflowPunct/>
        <w:adjustRightInd/>
        <w:ind w:left="567" w:hanging="567"/>
        <w:textAlignment w:val="auto"/>
      </w:pPr>
      <w:r w:rsidRPr="00B459FD">
        <w:lastRenderedPageBreak/>
        <w:t>Kobietom i dziewczętom z niepełnosprawnością należy zapewnić równy dostęp do różnych elementów systemów ICT i społeczeństwa informacyjnego. Przy opracowywaniu technologii informacyjnych i komunikacyjnych konieczne jest uwzględnienie czynników ekonomicznych, zapotrzebowania na szkolenia oraz równych szans niezależnie od wieku, tak aby zapewnić dostęp do nich niepełnosprawnym kobietom i dziewczętom narażonym na ryzyko ubóstwa lub wykluczenia społecznego.</w:t>
      </w:r>
    </w:p>
    <w:p w:rsidR="00B510BE" w:rsidRPr="00B459FD" w:rsidRDefault="00B510BE" w:rsidP="00B459FD">
      <w:pPr>
        <w:suppressAutoHyphens/>
      </w:pPr>
    </w:p>
    <w:p w:rsidR="00E5793A" w:rsidRPr="00B459FD" w:rsidRDefault="00E5793A" w:rsidP="002906C2">
      <w:pPr>
        <w:pStyle w:val="Heading2"/>
        <w:suppressAutoHyphens/>
        <w:ind w:left="567" w:hanging="567"/>
      </w:pPr>
      <w:r w:rsidRPr="00B459FD">
        <w:rPr>
          <w:b/>
        </w:rPr>
        <w:t>Zatrudnienie</w:t>
      </w:r>
    </w:p>
    <w:p w:rsidR="00E5793A" w:rsidRPr="00B459FD" w:rsidRDefault="00E5793A" w:rsidP="002906C2">
      <w:pPr>
        <w:suppressAutoHyphens/>
      </w:pPr>
    </w:p>
    <w:p w:rsidR="00E5793A" w:rsidRPr="00B459FD" w:rsidRDefault="00E5793A" w:rsidP="002906C2">
      <w:pPr>
        <w:pStyle w:val="Heading3"/>
        <w:suppressAutoHyphens/>
        <w:overflowPunct/>
        <w:adjustRightInd/>
        <w:ind w:left="567" w:hanging="567"/>
        <w:textAlignment w:val="auto"/>
      </w:pPr>
      <w:r w:rsidRPr="00B459FD">
        <w:t>Ogółem udział kobiet w rynku pracy jest znacznie niższy niż mężczyzn (46,6 % w porównaniu z 61,9 %). Rynki pracy we wszystkich państwach członkowskich wskazują na stałą i znaczną segregację płciową. Kobiety z niepełnosprawnością są jednak znacznie bardziej wykluczone z</w:t>
      </w:r>
      <w:r w:rsidR="002A5EA4" w:rsidRPr="00B459FD">
        <w:t> </w:t>
      </w:r>
      <w:r w:rsidRPr="00B459FD">
        <w:t>rynku pracy. Zgodnie ze wskaźnikiem równouprawnienia płci Europejskiego Instytutu ds.</w:t>
      </w:r>
      <w:r w:rsidR="002A5EA4" w:rsidRPr="00B459FD">
        <w:t> </w:t>
      </w:r>
      <w:r w:rsidRPr="00B459FD">
        <w:t>Równości Kobiet i Mężczyzn z 2015 r. jedynie 18,8 % kobiet z niepełnosprawnością jest zatrudnionych w UE. 28,1 % mężczyzn z niepełnosprawnością posiada zatrudnienie. Wysoki wskaźnik bezrobocia kobiet z niepełnosprawnością jest niedopuszczalny i zwiększa prawdopodobieństwo, że będą one żyły w ubóstwie i wykluczeniu społecznym. Kobiety i</w:t>
      </w:r>
      <w:r w:rsidR="002A5EA4" w:rsidRPr="00B459FD">
        <w:t> </w:t>
      </w:r>
      <w:r w:rsidRPr="00B459FD">
        <w:t>dziewczęta z niepełnosprawnością mają większe trudności w dostępie do rynku pracy, co utrudnia im prowadzenie samodzielnego trybu życia. Otrzymują często niedostateczne wynagrodzenie. Przeszkody w mobilności oraz większa zależność od członków rodziny i</w:t>
      </w:r>
      <w:r w:rsidR="002A5EA4" w:rsidRPr="00B459FD">
        <w:t> </w:t>
      </w:r>
      <w:r w:rsidRPr="00B459FD">
        <w:t>opiekunów utrudniają im czynny udział w kształceniu, rynku pracy oraz życiu społecznym i</w:t>
      </w:r>
      <w:r w:rsidR="002A5EA4" w:rsidRPr="00B459FD">
        <w:t> </w:t>
      </w:r>
      <w:r w:rsidRPr="00B459FD">
        <w:t>gospodarczym społeczności</w:t>
      </w:r>
      <w:r w:rsidR="009E7548" w:rsidRPr="00B459FD">
        <w:rPr>
          <w:rStyle w:val="FootnoteReference"/>
        </w:rPr>
        <w:footnoteReference w:id="37"/>
      </w:r>
      <w:r w:rsidRPr="00B459FD">
        <w:t>.</w:t>
      </w:r>
    </w:p>
    <w:p w:rsidR="00E5793A" w:rsidRPr="00B459FD" w:rsidRDefault="00E5793A" w:rsidP="002906C2">
      <w:pPr>
        <w:suppressAutoHyphens/>
        <w:overflowPunct/>
        <w:adjustRightInd/>
        <w:textAlignment w:val="auto"/>
      </w:pPr>
    </w:p>
    <w:p w:rsidR="00E5793A" w:rsidRPr="00B459FD" w:rsidRDefault="00E5793A" w:rsidP="002906C2">
      <w:pPr>
        <w:pStyle w:val="Heading3"/>
        <w:suppressAutoHyphens/>
        <w:overflowPunct/>
        <w:adjustRightInd/>
        <w:ind w:left="567" w:hanging="567"/>
        <w:textAlignment w:val="auto"/>
      </w:pPr>
      <w:r w:rsidRPr="00B459FD">
        <w:t>Biorąc pod uwagę wysoki wskaźnik bezrobocia i bierności zawodowej kobiet z</w:t>
      </w:r>
      <w:r w:rsidR="002A5EA4" w:rsidRPr="00B459FD">
        <w:t> </w:t>
      </w:r>
      <w:r w:rsidRPr="00B459FD">
        <w:t>niepełnosprawnością, UE i państwa członkowskie muszą opracować podstawowe i szczególne działania ukierunkowane na kobiety niepełnosprawne w celu promowania szkoleń, pośrednictwa pracy, dostępu do zatrudnienia, utrzymania miejsca pracy, równego wynagrodzenia za tą samą pracę, równej ścieżki kariery, dostosowań w miejscu pracy i</w:t>
      </w:r>
      <w:r w:rsidR="002A5EA4" w:rsidRPr="00B459FD">
        <w:t> </w:t>
      </w:r>
      <w:r w:rsidRPr="00B459FD">
        <w:t>równowagi między życiem zawodowym a prywatnym. Kobiety z niepełnosprawnością muszą mieć równe prawo do sprawiedliwych i korzystnych warunków pracy, w tym do równych szans i równego wynagrodzenia za pracę o tej samej wartości</w:t>
      </w:r>
      <w:r w:rsidR="009E7548" w:rsidRPr="00B459FD">
        <w:rPr>
          <w:rStyle w:val="FootnoteReference"/>
        </w:rPr>
        <w:footnoteReference w:id="38"/>
      </w:r>
      <w:r w:rsidRPr="00B459FD">
        <w:t>.</w:t>
      </w:r>
    </w:p>
    <w:p w:rsidR="00E5793A" w:rsidRPr="00B459FD" w:rsidRDefault="00E5793A" w:rsidP="002906C2">
      <w:pPr>
        <w:suppressAutoHyphens/>
        <w:overflowPunct/>
        <w:adjustRightInd/>
        <w:textAlignment w:val="auto"/>
        <w:rPr>
          <w:i/>
        </w:rPr>
      </w:pPr>
    </w:p>
    <w:p w:rsidR="00E5793A" w:rsidRPr="00B459FD" w:rsidRDefault="00E5793A" w:rsidP="002906C2">
      <w:pPr>
        <w:pStyle w:val="Heading3"/>
        <w:suppressAutoHyphens/>
        <w:overflowPunct/>
        <w:adjustRightInd/>
        <w:ind w:left="567" w:hanging="567"/>
        <w:textAlignment w:val="auto"/>
      </w:pPr>
      <w:r w:rsidRPr="00B459FD">
        <w:t>Biorąc pod uwagę instrument mikrofinansowania UE i Europejski Fundusz Socjalny w celu zwiększenia zatrudnienia i promowania włączenia społecznego, należy propagować możliwości samozatrudnienia, przedsiębiorczość kobiet z niepełnosprawnością, równą reprezentację w</w:t>
      </w:r>
      <w:r w:rsidR="002A5EA4" w:rsidRPr="00B459FD">
        <w:t> </w:t>
      </w:r>
      <w:r w:rsidRPr="00B459FD">
        <w:t>zarządach przedsiębiorstw, rozwój przedsiębiorstw społecznych czy też rozpoczynanie własnej działalności. Kobiety z niepełnosprawnością powinny mieć równe prawa do pomocy finansowej w ciągu działalności przedsiębiorstwa i powinny być postrzegane jako kompetentni przedsiębiorcy. Należy zapewnić pozytywne działania wobec kobiet z niepełnosprawnością, które są przedsiębiorczyniami, za pomocą pożyczek uprzywilejowanych, mikrokredytów i</w:t>
      </w:r>
      <w:r w:rsidR="002A5EA4" w:rsidRPr="00B459FD">
        <w:t> </w:t>
      </w:r>
      <w:r w:rsidRPr="00B459FD">
        <w:t>pożyczek niezwrotnych, z uwzględnieniem kobiet na obszarach wiejskich.</w:t>
      </w:r>
    </w:p>
    <w:p w:rsidR="00E5793A" w:rsidRPr="00B459FD" w:rsidRDefault="00E5793A" w:rsidP="002906C2">
      <w:pPr>
        <w:suppressAutoHyphens/>
        <w:overflowPunct/>
        <w:adjustRightInd/>
        <w:textAlignment w:val="auto"/>
      </w:pPr>
    </w:p>
    <w:p w:rsidR="00E5793A" w:rsidRPr="00B459FD" w:rsidRDefault="00E5793A" w:rsidP="002906C2">
      <w:pPr>
        <w:pStyle w:val="Heading3"/>
        <w:suppressAutoHyphens/>
        <w:overflowPunct/>
        <w:adjustRightInd/>
        <w:ind w:left="567" w:hanging="567"/>
        <w:textAlignment w:val="auto"/>
      </w:pPr>
      <w:r w:rsidRPr="00B459FD">
        <w:lastRenderedPageBreak/>
        <w:t>Wzrost liczby osób z niepełnosprawnością spotęguje obciążenia dla opiekunów, zwłaszcza opiekunów rodzin, którymi najczęściej są kobiety zmuszone do ograniczenia wymiaru pracy, a</w:t>
      </w:r>
      <w:r w:rsidR="002A5EA4" w:rsidRPr="00B459FD">
        <w:t> </w:t>
      </w:r>
      <w:r w:rsidRPr="00B459FD">
        <w:t>nawet opuszczenia rynku pracy w celu zapewnienia opieki zależnym członkom swoich rodzin</w:t>
      </w:r>
      <w:r w:rsidR="009E7548" w:rsidRPr="00B459FD">
        <w:rPr>
          <w:rStyle w:val="FootnoteReference"/>
        </w:rPr>
        <w:footnoteReference w:id="39"/>
      </w:r>
      <w:r w:rsidR="00B459FD" w:rsidRPr="00B459FD">
        <w:t>.</w:t>
      </w:r>
    </w:p>
    <w:p w:rsidR="00E5793A" w:rsidRPr="00B459FD" w:rsidRDefault="00E5793A" w:rsidP="002906C2">
      <w:pPr>
        <w:suppressAutoHyphens/>
        <w:overflowPunct/>
        <w:adjustRightInd/>
        <w:textAlignment w:val="auto"/>
      </w:pPr>
    </w:p>
    <w:p w:rsidR="00E5793A" w:rsidRPr="00B459FD" w:rsidRDefault="00E5793A" w:rsidP="002906C2">
      <w:pPr>
        <w:pStyle w:val="Heading3"/>
        <w:suppressAutoHyphens/>
        <w:overflowPunct/>
        <w:adjustRightInd/>
        <w:ind w:left="567" w:hanging="567"/>
        <w:textAlignment w:val="auto"/>
      </w:pPr>
      <w:r w:rsidRPr="00B459FD">
        <w:t>UE i państwa członkowskie powinny promować lepsze pogodzenie życia prywatnego i</w:t>
      </w:r>
      <w:r w:rsidR="002A5EA4" w:rsidRPr="00B459FD">
        <w:t> </w:t>
      </w:r>
      <w:r w:rsidRPr="00B459FD">
        <w:t>zawodowego kobiet niepełnosprawnych i opiekunów osób z niepełnosprawnością za pomocą skutecznych środków opartych na ich konkretnych potrzebach. Ewentualne środki realizacji tego celu to przejrzystość wynagrodzenia, procedury rekrutacji i świadczenia społeczne, elastyczne godziny pracy czy też telepraca w niepełnym wymiarze godzin, równowaga wydatków związanych z niepełnosprawnością w okresie macierzyństwa i opieki nad innymi osobami potrzebującymi dużego wsparcia, promowanie powszechnego dostępu do wysokiej jakości, przystępnych cenowo usług wsparcia o różnych porach dnia takich jak przedszkola czy też usługi opiekuńcze dla starszych i innych osób mających dużą potrzebę wsparcia. Wszystkie te środki mogą pomóc w realizacji tego celu</w:t>
      </w:r>
      <w:r w:rsidR="009E7548" w:rsidRPr="00B459FD">
        <w:rPr>
          <w:rStyle w:val="FootnoteReference"/>
        </w:rPr>
        <w:footnoteReference w:id="40"/>
      </w:r>
      <w:r w:rsidR="00B459FD" w:rsidRPr="00B459FD">
        <w:t>.</w:t>
      </w:r>
    </w:p>
    <w:p w:rsidR="00E5793A" w:rsidRPr="00B459FD" w:rsidRDefault="00E5793A" w:rsidP="002906C2">
      <w:pPr>
        <w:suppressAutoHyphens/>
        <w:overflowPunct/>
        <w:adjustRightInd/>
        <w:textAlignment w:val="auto"/>
      </w:pPr>
    </w:p>
    <w:p w:rsidR="00E5793A" w:rsidRPr="00B459FD" w:rsidRDefault="00E5793A" w:rsidP="002906C2">
      <w:pPr>
        <w:pStyle w:val="Heading3"/>
        <w:suppressAutoHyphens/>
        <w:overflowPunct/>
        <w:adjustRightInd/>
        <w:ind w:left="567" w:hanging="567"/>
        <w:textAlignment w:val="auto"/>
      </w:pPr>
      <w:r w:rsidRPr="00B459FD">
        <w:t>UE i państwa członkowskie powinny uwzględnić kobiety z niepełnosprawnością i ich rodziny w proponowanej dyrektywie w sprawie równowagi między życiem zawodowym a prywatnym rodziców i opiekunów i innych środkach politycznych poprawiających równowagę między życiem zawodowym a prywatnym pracowników i opiekunów</w:t>
      </w:r>
      <w:r w:rsidR="009E7548" w:rsidRPr="00B459FD">
        <w:rPr>
          <w:rStyle w:val="FootnoteReference"/>
        </w:rPr>
        <w:footnoteReference w:id="41"/>
      </w:r>
      <w:r w:rsidRPr="00B459FD">
        <w:t>.</w:t>
      </w:r>
    </w:p>
    <w:p w:rsidR="00E5793A" w:rsidRPr="00B459FD" w:rsidRDefault="00E5793A" w:rsidP="002906C2">
      <w:pPr>
        <w:suppressAutoHyphens/>
        <w:overflowPunct/>
        <w:adjustRightInd/>
        <w:textAlignment w:val="auto"/>
      </w:pPr>
    </w:p>
    <w:p w:rsidR="00E5793A" w:rsidRPr="00B459FD" w:rsidRDefault="00E5793A" w:rsidP="002906C2">
      <w:pPr>
        <w:pStyle w:val="Heading3"/>
        <w:suppressAutoHyphens/>
        <w:overflowPunct/>
        <w:adjustRightInd/>
        <w:ind w:left="567" w:hanging="567"/>
        <w:textAlignment w:val="auto"/>
      </w:pPr>
      <w:r w:rsidRPr="00B459FD">
        <w:t>Osoby z niepełnosprawnością borykają się również z wyjątkowymi przeszkodami w równym udziale w miejscu pracy, w tym z molestowaniem seksualnym, nierównym wynagrodzeniem i</w:t>
      </w:r>
      <w:r w:rsidR="002A5EA4" w:rsidRPr="00B459FD">
        <w:t> </w:t>
      </w:r>
      <w:r w:rsidRPr="00B459FD">
        <w:t>brakiem dostępu do dochodzenia roszczeń z powodu dyskryminacyjnej postawy skutkującej odrzuceniem roszczeń. UE i państwa członkowskie powinny również zadbać o bezpieczne i</w:t>
      </w:r>
      <w:r w:rsidR="002A5EA4" w:rsidRPr="00B459FD">
        <w:t> </w:t>
      </w:r>
      <w:r w:rsidRPr="00B459FD">
        <w:t>zdrowe warunki pracy dla kobiet z niepełnosprawnością i opiekunów osób z</w:t>
      </w:r>
      <w:r w:rsidR="002A5EA4" w:rsidRPr="00B459FD">
        <w:t> </w:t>
      </w:r>
      <w:r w:rsidRPr="00B459FD">
        <w:t>niepełnosprawnością, w tym o ochronę przed molestowaniem i uzyskanie odszkodowania. Należy zapobiegać nękaniu w miejscu pracy, przyjmując skuteczne procedury postępowania w</w:t>
      </w:r>
      <w:r w:rsidR="002A5EA4" w:rsidRPr="00B459FD">
        <w:t> </w:t>
      </w:r>
      <w:r w:rsidRPr="00B459FD">
        <w:t>przypadku nękania zgodnie z zastosowaniem dyrektywy UE 2000/78</w:t>
      </w:r>
      <w:r w:rsidR="009E7548" w:rsidRPr="00B459FD">
        <w:rPr>
          <w:rStyle w:val="FootnoteReference"/>
        </w:rPr>
        <w:footnoteReference w:id="42"/>
      </w:r>
      <w:r w:rsidRPr="00B459FD">
        <w:t>.</w:t>
      </w:r>
    </w:p>
    <w:p w:rsidR="002D1719" w:rsidRPr="00B459FD" w:rsidRDefault="002D1719" w:rsidP="002906C2">
      <w:pPr>
        <w:suppressAutoHyphens/>
        <w:overflowPunct/>
        <w:adjustRightInd/>
        <w:textAlignment w:val="auto"/>
      </w:pPr>
    </w:p>
    <w:p w:rsidR="00594261" w:rsidRPr="00B459FD" w:rsidRDefault="00594261" w:rsidP="002906C2">
      <w:pPr>
        <w:pStyle w:val="Heading2"/>
        <w:suppressAutoHyphens/>
        <w:ind w:left="567" w:hanging="567"/>
      </w:pPr>
      <w:r w:rsidRPr="00B459FD">
        <w:rPr>
          <w:b/>
        </w:rPr>
        <w:t>Uczestnictwo w życiu politycznym i publicznym</w:t>
      </w:r>
    </w:p>
    <w:p w:rsidR="004A3BFD" w:rsidRPr="00B459FD" w:rsidRDefault="004A3BFD" w:rsidP="002906C2">
      <w:pPr>
        <w:suppressAutoHyphens/>
        <w:overflowPunct/>
        <w:adjustRightInd/>
        <w:textAlignment w:val="auto"/>
      </w:pPr>
    </w:p>
    <w:p w:rsidR="00594261" w:rsidRPr="00B459FD" w:rsidRDefault="00594261" w:rsidP="002906C2">
      <w:pPr>
        <w:pStyle w:val="Heading3"/>
        <w:suppressAutoHyphens/>
        <w:overflowPunct/>
        <w:adjustRightInd/>
        <w:ind w:left="567" w:hanging="567"/>
        <w:textAlignment w:val="auto"/>
      </w:pPr>
      <w:r w:rsidRPr="00B459FD">
        <w:t>Na przestrzeni wieków głosy kobiet i dziewcząt z niepełnosprawnością nie były słyszane, w</w:t>
      </w:r>
      <w:r w:rsidR="002A5EA4" w:rsidRPr="00B459FD">
        <w:t> </w:t>
      </w:r>
      <w:r w:rsidRPr="00B459FD">
        <w:t>związku z czym ich udział w podejmowaniu decyzji publicznych jest nieproporcjonalnie niski. W większości państw członkowskich UE pozbawienie obywateli z niepełnosprawnością zdolności prawnej prowadzi do utraty prawa do głosowania. Przeszkody w prawie do głosowania przyjmują również formę niedostępnych procedur głosowania, w tym niedostępnych punktów wyborczych</w:t>
      </w:r>
      <w:r w:rsidR="009E7548" w:rsidRPr="00B459FD">
        <w:rPr>
          <w:rStyle w:val="FootnoteReference"/>
        </w:rPr>
        <w:footnoteReference w:id="43"/>
      </w:r>
      <w:r w:rsidRPr="00B459FD">
        <w:t xml:space="preserve">. UE powinna zadbać o to, by kobiety z niepełnosprawnością mogły </w:t>
      </w:r>
      <w:r w:rsidRPr="00B459FD">
        <w:lastRenderedPageBreak/>
        <w:t>w</w:t>
      </w:r>
      <w:r w:rsidR="002A5EA4" w:rsidRPr="00B459FD">
        <w:t> </w:t>
      </w:r>
      <w:r w:rsidRPr="00B459FD">
        <w:t>pełni uczestniczyć w życiu publicznym i politycznym, a zwłaszcza w wyborach do Parlamentu Europejskiego w 2019 r.</w:t>
      </w:r>
    </w:p>
    <w:p w:rsidR="004A3BFD" w:rsidRPr="00B459FD" w:rsidRDefault="004A3BFD" w:rsidP="002906C2">
      <w:pPr>
        <w:suppressAutoHyphens/>
        <w:overflowPunct/>
        <w:adjustRightInd/>
        <w:textAlignment w:val="auto"/>
      </w:pPr>
    </w:p>
    <w:p w:rsidR="00594261" w:rsidRPr="00B459FD" w:rsidRDefault="00594261" w:rsidP="002906C2">
      <w:pPr>
        <w:pStyle w:val="Heading3"/>
        <w:suppressAutoHyphens/>
      </w:pPr>
      <w:r w:rsidRPr="00B459FD">
        <w:t>Ze względu na brak równowagi sił i dyskryminację z wielu przyczyn jednocześnie mają one mniej możliwości założenia organizacji reprezentujących ich potrzeby jako kobiet, dzieci i</w:t>
      </w:r>
      <w:r w:rsidR="002A5EA4" w:rsidRPr="00B459FD">
        <w:t> </w:t>
      </w:r>
      <w:r w:rsidRPr="00B459FD">
        <w:t>osób z niepełnosprawnością, a także mniej możliwości przystąpienia do nich. Unia powinna przedsięwziąć środki zachęcające kobiety z niepełnosprawnością do przyjęcia roli przywódczej w publicznych organach decyzyjnych na wszystkich szczeblach i umożliwić im tworzenie organizacji i sieci kobiet z niepełnosprawnością, a także przyłączanie się do nich</w:t>
      </w:r>
      <w:r w:rsidR="009E7548" w:rsidRPr="00B459FD">
        <w:rPr>
          <w:rStyle w:val="FootnoteReference"/>
        </w:rPr>
        <w:footnoteReference w:id="44"/>
      </w:r>
      <w:r w:rsidRPr="00B459FD">
        <w:t>. Należy zapewnić programy szkoleń i opieki mentorskiej dla kobiet z niepełnosprawnością, tak aby mogły wkroczyć do życia politycznego i publicznego.</w:t>
      </w:r>
    </w:p>
    <w:p w:rsidR="002D1719" w:rsidRPr="00B459FD" w:rsidRDefault="002D1719" w:rsidP="002906C2">
      <w:pPr>
        <w:suppressAutoHyphens/>
        <w:overflowPunct/>
        <w:adjustRightInd/>
        <w:textAlignment w:val="auto"/>
      </w:pPr>
    </w:p>
    <w:p w:rsidR="00646AC2" w:rsidRPr="00B459FD" w:rsidRDefault="00646AC2" w:rsidP="002906C2">
      <w:pPr>
        <w:suppressAutoHyphens/>
        <w:overflowPunct/>
        <w:adjustRightInd/>
        <w:jc w:val="center"/>
        <w:textAlignment w:val="auto"/>
      </w:pPr>
      <w:r w:rsidRPr="00B459FD">
        <w:t>_____________</w:t>
      </w:r>
    </w:p>
    <w:sectPr w:rsidR="00646AC2" w:rsidRPr="00B459FD" w:rsidSect="002906C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 w:code="9"/>
      <w:pgMar w:top="1417" w:right="1417" w:bottom="1417" w:left="1417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5AE" w:rsidRDefault="00A325AE">
      <w:r>
        <w:separator/>
      </w:r>
    </w:p>
  </w:endnote>
  <w:endnote w:type="continuationSeparator" w:id="0">
    <w:p w:rsidR="00A325AE" w:rsidRDefault="00A32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1E5" w:rsidRPr="002906C2" w:rsidRDefault="001511E5" w:rsidP="00290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AE" w:rsidRPr="002906C2" w:rsidRDefault="002906C2" w:rsidP="002906C2">
    <w:pPr>
      <w:pStyle w:val="Footer"/>
    </w:pPr>
    <w:r>
      <w:t xml:space="preserve">SOC/579 – EESC-2018-01639-00-02-PA-TRA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917BC8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r w:rsidR="00917BC8">
      <w:fldChar w:fldCharType="begin"/>
    </w:r>
    <w:r w:rsidR="00917BC8">
      <w:instrText xml:space="preserve"> NUMPAGES </w:instrText>
    </w:r>
    <w:r w:rsidR="00917BC8">
      <w:fldChar w:fldCharType="separate"/>
    </w:r>
    <w:r w:rsidR="00917BC8">
      <w:rPr>
        <w:noProof/>
      </w:rPr>
      <w:instrText>14</w:instrText>
    </w:r>
    <w:r w:rsidR="00917BC8">
      <w:rPr>
        <w:noProof/>
      </w:rPr>
      <w:fldChar w:fldCharType="end"/>
    </w:r>
    <w:r>
      <w:instrText xml:space="preserve"> -0 </w:instrText>
    </w:r>
    <w:r>
      <w:fldChar w:fldCharType="separate"/>
    </w:r>
    <w:r w:rsidR="00917BC8">
      <w:rPr>
        <w:noProof/>
      </w:rPr>
      <w:t>14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1E5" w:rsidRPr="002906C2" w:rsidRDefault="001511E5" w:rsidP="002906C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AE" w:rsidRPr="002906C2" w:rsidRDefault="00A325AE" w:rsidP="002906C2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AE" w:rsidRPr="002906C2" w:rsidRDefault="002906C2" w:rsidP="002906C2">
    <w:pPr>
      <w:pStyle w:val="Footer"/>
    </w:pPr>
    <w:r>
      <w:t xml:space="preserve">SOC/579 – EESC-2018-01639-00-02-PA-TRA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917BC8">
      <w:rPr>
        <w:noProof/>
      </w:rPr>
      <w:t>14</w:t>
    </w:r>
    <w:r>
      <w:fldChar w:fldCharType="end"/>
    </w:r>
    <w:r>
      <w:t>/</w:t>
    </w:r>
    <w:r>
      <w:fldChar w:fldCharType="begin"/>
    </w:r>
    <w:r>
      <w:instrText xml:space="preserve"> = </w:instrText>
    </w:r>
    <w:r w:rsidR="00917BC8">
      <w:fldChar w:fldCharType="begin"/>
    </w:r>
    <w:r w:rsidR="00917BC8">
      <w:instrText xml:space="preserve"> NUMPAGES </w:instrText>
    </w:r>
    <w:r w:rsidR="00917BC8">
      <w:fldChar w:fldCharType="separate"/>
    </w:r>
    <w:r w:rsidR="00917BC8">
      <w:rPr>
        <w:noProof/>
      </w:rPr>
      <w:instrText>14</w:instrText>
    </w:r>
    <w:r w:rsidR="00917BC8">
      <w:rPr>
        <w:noProof/>
      </w:rPr>
      <w:fldChar w:fldCharType="end"/>
    </w:r>
    <w:r>
      <w:instrText xml:space="preserve"> -0 </w:instrText>
    </w:r>
    <w:r>
      <w:fldChar w:fldCharType="separate"/>
    </w:r>
    <w:r w:rsidR="00917BC8">
      <w:rPr>
        <w:noProof/>
      </w:rPr>
      <w:t>14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AE" w:rsidRPr="002906C2" w:rsidRDefault="00A325AE" w:rsidP="00290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5AE" w:rsidRDefault="00A325AE">
      <w:r>
        <w:separator/>
      </w:r>
    </w:p>
  </w:footnote>
  <w:footnote w:type="continuationSeparator" w:id="0">
    <w:p w:rsidR="00A325AE" w:rsidRDefault="00A325AE">
      <w:r>
        <w:continuationSeparator/>
      </w:r>
    </w:p>
  </w:footnote>
  <w:footnote w:id="1">
    <w:p w:rsidR="00A325AE" w:rsidRPr="002906C2" w:rsidRDefault="00A325AE" w:rsidP="005F425A">
      <w:pPr>
        <w:pStyle w:val="FootnoteText"/>
        <w:ind w:left="567" w:hanging="567"/>
      </w:pPr>
      <w:r w:rsidRPr="002906C2">
        <w:rPr>
          <w:rStyle w:val="FootnoteReference"/>
        </w:rPr>
        <w:footnoteRef/>
      </w:r>
      <w:r w:rsidRPr="002906C2">
        <w:tab/>
      </w:r>
      <w:hyperlink r:id="rId1" w:history="1">
        <w:r w:rsidRPr="002906C2">
          <w:rPr>
            <w:rStyle w:val="Hyperlink"/>
          </w:rPr>
          <w:t>Konwencja ONZ o prawach osób niepełnosprawnych (UNCRPD), uwaga ogólna nr 3 (CRPD/C/GC/3), s. 1</w:t>
        </w:r>
      </w:hyperlink>
      <w:r w:rsidRPr="002906C2">
        <w:t xml:space="preserve">; EDF </w:t>
      </w:r>
      <w:hyperlink r:id="rId2" w:history="1">
        <w:r w:rsidRPr="002906C2">
          <w:rPr>
            <w:rStyle w:val="Hyperlink"/>
          </w:rPr>
          <w:t>Alternatywne sprawozdanie dla UNCRPD, s. 57</w:t>
        </w:r>
      </w:hyperlink>
      <w:r w:rsidRPr="002906C2">
        <w:t xml:space="preserve">. </w:t>
      </w:r>
    </w:p>
  </w:footnote>
  <w:footnote w:id="2">
    <w:p w:rsidR="00A325AE" w:rsidRPr="002906C2" w:rsidRDefault="00A325AE" w:rsidP="005F425A">
      <w:pPr>
        <w:pStyle w:val="FootnoteText"/>
        <w:ind w:left="567" w:hanging="567"/>
      </w:pPr>
      <w:r w:rsidRPr="002906C2">
        <w:rPr>
          <w:rStyle w:val="FootnoteReference"/>
        </w:rPr>
        <w:footnoteRef/>
      </w:r>
      <w:r w:rsidRPr="002906C2">
        <w:tab/>
      </w:r>
      <w:hyperlink r:id="rId3" w:history="1">
        <w:r w:rsidRPr="002906C2">
          <w:rPr>
            <w:rStyle w:val="Hyperlink"/>
          </w:rPr>
          <w:t>Konwencja ONZ o prawach osób niepełnosprawnych</w:t>
        </w:r>
      </w:hyperlink>
      <w:r w:rsidRPr="002906C2">
        <w:t>.</w:t>
      </w:r>
    </w:p>
  </w:footnote>
  <w:footnote w:id="3">
    <w:p w:rsidR="00A325AE" w:rsidRPr="002906C2" w:rsidRDefault="00A325AE" w:rsidP="005F425A">
      <w:pPr>
        <w:pStyle w:val="FootnoteText"/>
        <w:ind w:left="567" w:hanging="567"/>
      </w:pPr>
      <w:r w:rsidRPr="002906C2">
        <w:rPr>
          <w:rStyle w:val="FootnoteReference"/>
        </w:rPr>
        <w:footnoteRef/>
      </w:r>
      <w:r w:rsidRPr="002906C2">
        <w:tab/>
      </w:r>
      <w:hyperlink r:id="rId4" w:history="1">
        <w:r w:rsidRPr="002906C2">
          <w:rPr>
            <w:rStyle w:val="Hyperlink"/>
          </w:rPr>
          <w:t>Konwencja ONZ o prawach osób niepełnosprawnych, Końcowe uwagi na temat sprawozdania wstępnego Unii Europejskiej, Organizacja Narodów Zjednoczonych (art. 6 CRPD/C/EU/CO/1)</w:t>
        </w:r>
      </w:hyperlink>
      <w:r w:rsidRPr="002906C2">
        <w:t>.</w:t>
      </w:r>
    </w:p>
  </w:footnote>
  <w:footnote w:id="4">
    <w:p w:rsidR="00A325AE" w:rsidRPr="002906C2" w:rsidRDefault="00A325AE" w:rsidP="005F425A">
      <w:pPr>
        <w:pStyle w:val="FootnoteText"/>
        <w:ind w:left="567" w:hanging="567"/>
      </w:pPr>
      <w:r w:rsidRPr="002906C2">
        <w:rPr>
          <w:rStyle w:val="FootnoteReference"/>
        </w:rPr>
        <w:footnoteRef/>
      </w:r>
      <w:r w:rsidRPr="002906C2">
        <w:tab/>
      </w:r>
      <w:hyperlink r:id="rId5" w:history="1">
        <w:r w:rsidRPr="002906C2">
          <w:rPr>
            <w:rStyle w:val="Hyperlink"/>
          </w:rPr>
          <w:t>Sprawozdanie w sprawie kobiet niepełnosprawnych, Parlament Europejski, 14 października 2013 r., s. 6</w:t>
        </w:r>
      </w:hyperlink>
      <w:r w:rsidRPr="002906C2">
        <w:t>.</w:t>
      </w:r>
    </w:p>
  </w:footnote>
  <w:footnote w:id="5">
    <w:p w:rsidR="00A325AE" w:rsidRPr="002906C2" w:rsidRDefault="00A325AE" w:rsidP="005F425A">
      <w:pPr>
        <w:pStyle w:val="FootnoteText"/>
        <w:ind w:left="567" w:hanging="567"/>
      </w:pPr>
      <w:r w:rsidRPr="002906C2">
        <w:rPr>
          <w:rStyle w:val="FootnoteReference"/>
        </w:rPr>
        <w:footnoteRef/>
      </w:r>
      <w:r w:rsidRPr="002906C2">
        <w:tab/>
      </w:r>
      <w:hyperlink r:id="rId6" w:history="1">
        <w:r w:rsidRPr="002906C2">
          <w:rPr>
            <w:rStyle w:val="Hyperlink"/>
          </w:rPr>
          <w:t>Zob. przyp. 3, art.</w:t>
        </w:r>
      </w:hyperlink>
      <w:hyperlink r:id="rId7" w:history="1">
        <w:r w:rsidRPr="002906C2">
          <w:rPr>
            <w:rStyle w:val="Hyperlink"/>
          </w:rPr>
          <w:t>4 ust. 3.</w:t>
        </w:r>
      </w:hyperlink>
      <w:r w:rsidRPr="002906C2">
        <w:t xml:space="preserve">; </w:t>
      </w:r>
      <w:hyperlink r:id="rId8" w:history="1">
        <w:r w:rsidRPr="002906C2">
          <w:rPr>
            <w:rStyle w:val="Hyperlink"/>
          </w:rPr>
          <w:t>Zob. przyp. 1, s. 17</w:t>
        </w:r>
      </w:hyperlink>
      <w:r w:rsidRPr="002906C2">
        <w:t>.</w:t>
      </w:r>
    </w:p>
  </w:footnote>
  <w:footnote w:id="6">
    <w:p w:rsidR="00A325AE" w:rsidRPr="002906C2" w:rsidRDefault="00A325AE" w:rsidP="005F425A">
      <w:pPr>
        <w:pStyle w:val="FootnoteText"/>
        <w:ind w:left="567" w:hanging="567"/>
      </w:pPr>
      <w:r w:rsidRPr="002906C2">
        <w:rPr>
          <w:rStyle w:val="FootnoteReference"/>
        </w:rPr>
        <w:footnoteRef/>
      </w:r>
      <w:r w:rsidRPr="002906C2">
        <w:tab/>
      </w:r>
      <w:hyperlink r:id="rId9" w:history="1">
        <w:r w:rsidRPr="002906C2">
          <w:rPr>
            <w:rStyle w:val="Hyperlink"/>
          </w:rPr>
          <w:t>Zob. przyp. 4, s. 9</w:t>
        </w:r>
      </w:hyperlink>
      <w:r w:rsidRPr="002906C2">
        <w:t>.</w:t>
      </w:r>
    </w:p>
  </w:footnote>
  <w:footnote w:id="7">
    <w:p w:rsidR="00A325AE" w:rsidRPr="002906C2" w:rsidRDefault="00A325AE" w:rsidP="005F425A">
      <w:pPr>
        <w:pStyle w:val="FootnoteText"/>
        <w:ind w:left="567" w:hanging="567"/>
      </w:pPr>
      <w:r w:rsidRPr="002906C2">
        <w:rPr>
          <w:rStyle w:val="FootnoteReference"/>
        </w:rPr>
        <w:footnoteRef/>
      </w:r>
      <w:r w:rsidRPr="002906C2">
        <w:tab/>
      </w:r>
      <w:hyperlink r:id="rId10" w:history="1">
        <w:r w:rsidRPr="002906C2">
          <w:rPr>
            <w:rStyle w:val="Hyperlink"/>
          </w:rPr>
          <w:t>Zob. przyp. 3, art.16</w:t>
        </w:r>
      </w:hyperlink>
      <w:r w:rsidRPr="002906C2">
        <w:t>.</w:t>
      </w:r>
    </w:p>
  </w:footnote>
  <w:footnote w:id="8">
    <w:p w:rsidR="00A325AE" w:rsidRPr="002906C2" w:rsidRDefault="00A325AE" w:rsidP="005F425A">
      <w:pPr>
        <w:pStyle w:val="FootnoteText"/>
        <w:ind w:left="567" w:hanging="567"/>
      </w:pPr>
      <w:r w:rsidRPr="002906C2">
        <w:rPr>
          <w:rStyle w:val="FootnoteReference"/>
        </w:rPr>
        <w:footnoteRef/>
      </w:r>
      <w:r w:rsidRPr="002906C2">
        <w:tab/>
      </w:r>
      <w:hyperlink r:id="rId11" w:history="1">
        <w:r w:rsidRPr="002906C2">
          <w:rPr>
            <w:rStyle w:val="Hyperlink"/>
          </w:rPr>
          <w:t>Sprawozdanie w sprawie położenia kresu przymusowej sterylizacji kobiet i dziewcząt niepełnosprawnych, Europejskie Forum Niepełnosprawności, 2018, s. 49</w:t>
        </w:r>
      </w:hyperlink>
      <w:r w:rsidRPr="002906C2">
        <w:t>.</w:t>
      </w:r>
    </w:p>
  </w:footnote>
  <w:footnote w:id="9">
    <w:p w:rsidR="00A325AE" w:rsidRPr="002906C2" w:rsidRDefault="00A325AE" w:rsidP="005F425A">
      <w:pPr>
        <w:pStyle w:val="FootnoteText"/>
        <w:ind w:left="567" w:hanging="567"/>
      </w:pPr>
      <w:r w:rsidRPr="002906C2">
        <w:rPr>
          <w:rStyle w:val="FootnoteReference"/>
        </w:rPr>
        <w:footnoteRef/>
      </w:r>
      <w:r w:rsidRPr="002906C2">
        <w:tab/>
      </w:r>
      <w:hyperlink r:id="rId12" w:history="1">
        <w:r w:rsidRPr="002906C2">
          <w:rPr>
            <w:rStyle w:val="Hyperlink"/>
          </w:rPr>
          <w:t>2. manifest praw kobiet i dziewcząt niepełnosprawnych w Unii Europejskiej, Europejskie Forum N</w:t>
        </w:r>
        <w:r w:rsidR="005F425A">
          <w:rPr>
            <w:rStyle w:val="Hyperlink"/>
          </w:rPr>
          <w:t>iepełnosprawności 2011, s. 18 i </w:t>
        </w:r>
        <w:r w:rsidRPr="002906C2">
          <w:rPr>
            <w:rStyle w:val="Hyperlink"/>
          </w:rPr>
          <w:t>34</w:t>
        </w:r>
      </w:hyperlink>
      <w:r w:rsidRPr="002906C2">
        <w:t>.</w:t>
      </w:r>
    </w:p>
  </w:footnote>
  <w:footnote w:id="10">
    <w:p w:rsidR="00A325AE" w:rsidRPr="002906C2" w:rsidRDefault="00A325AE" w:rsidP="005F425A">
      <w:pPr>
        <w:pStyle w:val="FootnoteText"/>
        <w:ind w:left="567" w:hanging="567"/>
      </w:pPr>
      <w:r w:rsidRPr="002906C2">
        <w:rPr>
          <w:rStyle w:val="FootnoteReference"/>
        </w:rPr>
        <w:footnoteRef/>
      </w:r>
      <w:r w:rsidRPr="002906C2">
        <w:tab/>
      </w:r>
      <w:hyperlink r:id="rId13" w:history="1">
        <w:r w:rsidRPr="002906C2">
          <w:rPr>
            <w:rStyle w:val="Hyperlink"/>
          </w:rPr>
          <w:t>Zob. przypis 9, s. 4</w:t>
        </w:r>
      </w:hyperlink>
      <w:r w:rsidRPr="002906C2">
        <w:t>.</w:t>
      </w:r>
    </w:p>
  </w:footnote>
  <w:footnote w:id="11">
    <w:p w:rsidR="00A325AE" w:rsidRPr="002906C2" w:rsidRDefault="00A325AE" w:rsidP="005F425A">
      <w:pPr>
        <w:pStyle w:val="FootnoteText"/>
        <w:ind w:left="567" w:hanging="567"/>
      </w:pPr>
      <w:r w:rsidRPr="002906C2">
        <w:rPr>
          <w:rStyle w:val="FootnoteReference"/>
        </w:rPr>
        <w:footnoteRef/>
      </w:r>
      <w:r w:rsidRPr="002906C2">
        <w:tab/>
        <w:t>Moduł ad hoc badania aktywności ekonomicznej ludności UE (BAEL) na temat osób niepełnosprawnych i długoterminowych problemów zdrowotnych, 2002.</w:t>
      </w:r>
    </w:p>
  </w:footnote>
  <w:footnote w:id="12">
    <w:p w:rsidR="00A325AE" w:rsidRPr="002906C2" w:rsidRDefault="00A325AE" w:rsidP="005F425A">
      <w:pPr>
        <w:pStyle w:val="FootnoteText"/>
        <w:ind w:left="567" w:hanging="567"/>
      </w:pPr>
      <w:r w:rsidRPr="002906C2">
        <w:rPr>
          <w:rStyle w:val="FootnoteReference"/>
        </w:rPr>
        <w:footnoteRef/>
      </w:r>
      <w:r w:rsidRPr="002906C2">
        <w:tab/>
      </w:r>
      <w:hyperlink r:id="rId14" w:history="1">
        <w:r w:rsidRPr="002906C2">
          <w:rPr>
            <w:rStyle w:val="Hyperlink"/>
          </w:rPr>
          <w:t>Zob. przyp. 4, s. 24</w:t>
        </w:r>
      </w:hyperlink>
      <w:r w:rsidRPr="002906C2">
        <w:t>.</w:t>
      </w:r>
    </w:p>
  </w:footnote>
  <w:footnote w:id="13">
    <w:p w:rsidR="00A325AE" w:rsidRPr="002906C2" w:rsidRDefault="00A325AE" w:rsidP="005F425A">
      <w:pPr>
        <w:pStyle w:val="FootnoteText"/>
        <w:ind w:left="567" w:hanging="567"/>
      </w:pPr>
      <w:r w:rsidRPr="002906C2">
        <w:rPr>
          <w:rStyle w:val="FootnoteReference"/>
        </w:rPr>
        <w:footnoteRef/>
      </w:r>
      <w:r w:rsidRPr="002906C2">
        <w:tab/>
      </w:r>
      <w:hyperlink r:id="rId15" w:history="1">
        <w:r w:rsidRPr="002906C2">
          <w:rPr>
            <w:rStyle w:val="Hyperlink"/>
          </w:rPr>
          <w:t>Konwencja ONZ o prawach osób niepełnosprawnych</w:t>
        </w:r>
      </w:hyperlink>
      <w:r w:rsidRPr="002906C2">
        <w:t>.</w:t>
      </w:r>
    </w:p>
  </w:footnote>
  <w:footnote w:id="14">
    <w:p w:rsidR="00A325AE" w:rsidRPr="002906C2" w:rsidRDefault="00A325AE" w:rsidP="005F425A">
      <w:pPr>
        <w:pStyle w:val="FootnoteText"/>
        <w:ind w:left="567" w:hanging="567"/>
      </w:pPr>
      <w:r w:rsidRPr="002906C2">
        <w:rPr>
          <w:rStyle w:val="FootnoteReference"/>
        </w:rPr>
        <w:footnoteRef/>
      </w:r>
      <w:r w:rsidRPr="002906C2">
        <w:tab/>
      </w:r>
      <w:hyperlink r:id="rId16" w:history="1">
        <w:r w:rsidRPr="002906C2">
          <w:rPr>
            <w:rStyle w:val="Hyperlink"/>
          </w:rPr>
          <w:t>Zob. przyp. 3, art. 6</w:t>
        </w:r>
      </w:hyperlink>
      <w:r w:rsidRPr="002906C2">
        <w:t xml:space="preserve">; </w:t>
      </w:r>
      <w:hyperlink r:id="rId17" w:history="1">
        <w:r w:rsidRPr="002906C2">
          <w:rPr>
            <w:rStyle w:val="Hyperlink"/>
          </w:rPr>
          <w:t>Zob. przyp. 4, s. 6</w:t>
        </w:r>
      </w:hyperlink>
      <w:r w:rsidRPr="002906C2">
        <w:t>.</w:t>
      </w:r>
    </w:p>
  </w:footnote>
  <w:footnote w:id="15">
    <w:p w:rsidR="00A325AE" w:rsidRPr="002906C2" w:rsidRDefault="00A325AE" w:rsidP="005F425A">
      <w:pPr>
        <w:pStyle w:val="FootnoteText"/>
        <w:ind w:left="567" w:hanging="567"/>
      </w:pPr>
      <w:r w:rsidRPr="002906C2">
        <w:rPr>
          <w:rStyle w:val="FootnoteReference"/>
        </w:rPr>
        <w:footnoteRef/>
      </w:r>
      <w:r w:rsidRPr="002906C2">
        <w:tab/>
      </w:r>
      <w:hyperlink r:id="rId18" w:history="1">
        <w:r w:rsidRPr="002906C2">
          <w:rPr>
            <w:rStyle w:val="Hyperlink"/>
          </w:rPr>
          <w:t>Zob. przyp. 3, art. 4. ust. 3</w:t>
        </w:r>
      </w:hyperlink>
      <w:r w:rsidRPr="002906C2">
        <w:t xml:space="preserve">; </w:t>
      </w:r>
      <w:hyperlink r:id="rId19" w:history="1">
        <w:r w:rsidRPr="002906C2">
          <w:rPr>
            <w:rStyle w:val="Hyperlink"/>
          </w:rPr>
          <w:t>Zob. przyp. 1, s. 17</w:t>
        </w:r>
      </w:hyperlink>
      <w:r w:rsidRPr="002906C2">
        <w:t>.</w:t>
      </w:r>
    </w:p>
  </w:footnote>
  <w:footnote w:id="16">
    <w:p w:rsidR="00A325AE" w:rsidRPr="002906C2" w:rsidRDefault="00A325AE" w:rsidP="005F425A">
      <w:pPr>
        <w:pStyle w:val="FootnoteText"/>
        <w:ind w:left="567" w:hanging="567"/>
      </w:pPr>
      <w:r w:rsidRPr="002906C2">
        <w:rPr>
          <w:rStyle w:val="FootnoteReference"/>
        </w:rPr>
        <w:footnoteRef/>
      </w:r>
      <w:r w:rsidRPr="002906C2">
        <w:tab/>
      </w:r>
      <w:hyperlink r:id="rId20" w:history="1">
        <w:r w:rsidRPr="002906C2">
          <w:rPr>
            <w:rStyle w:val="Hyperlink"/>
          </w:rPr>
          <w:t>Zob. przyp. 9, s. 47</w:t>
        </w:r>
      </w:hyperlink>
      <w:r w:rsidRPr="002906C2">
        <w:t>.</w:t>
      </w:r>
    </w:p>
  </w:footnote>
  <w:footnote w:id="17">
    <w:p w:rsidR="00A325AE" w:rsidRPr="002906C2" w:rsidRDefault="00A325AE" w:rsidP="005F425A">
      <w:pPr>
        <w:pStyle w:val="FootnoteText"/>
        <w:ind w:left="567" w:hanging="567"/>
      </w:pPr>
      <w:r w:rsidRPr="002906C2">
        <w:rPr>
          <w:rStyle w:val="FootnoteReference"/>
        </w:rPr>
        <w:footnoteRef/>
      </w:r>
      <w:r w:rsidRPr="002906C2">
        <w:tab/>
      </w:r>
      <w:hyperlink r:id="rId21" w:history="1">
        <w:r w:rsidRPr="002906C2">
          <w:rPr>
            <w:rStyle w:val="Hyperlink"/>
          </w:rPr>
          <w:t>Zob. przyp. 4, s. 16</w:t>
        </w:r>
      </w:hyperlink>
      <w:r w:rsidRPr="002906C2">
        <w:t>.</w:t>
      </w:r>
    </w:p>
  </w:footnote>
  <w:footnote w:id="18">
    <w:p w:rsidR="00A325AE" w:rsidRPr="002906C2" w:rsidRDefault="00A325AE" w:rsidP="005F425A">
      <w:pPr>
        <w:pStyle w:val="FootnoteText"/>
        <w:ind w:left="567" w:hanging="567"/>
      </w:pPr>
      <w:r w:rsidRPr="002906C2">
        <w:rPr>
          <w:rStyle w:val="FootnoteReference"/>
        </w:rPr>
        <w:footnoteRef/>
      </w:r>
      <w:r w:rsidRPr="002906C2">
        <w:tab/>
      </w:r>
      <w:hyperlink r:id="rId22" w:history="1">
        <w:r w:rsidRPr="002906C2">
          <w:rPr>
            <w:rStyle w:val="Hyperlink"/>
          </w:rPr>
          <w:t>Zob. przyp. 4, s. 9</w:t>
        </w:r>
      </w:hyperlink>
      <w:r w:rsidRPr="002906C2">
        <w:t>.</w:t>
      </w:r>
    </w:p>
  </w:footnote>
  <w:footnote w:id="19">
    <w:p w:rsidR="00A325AE" w:rsidRPr="002906C2" w:rsidRDefault="00A325AE" w:rsidP="005F425A">
      <w:pPr>
        <w:pStyle w:val="FootnoteText"/>
        <w:ind w:left="567" w:hanging="567"/>
      </w:pPr>
      <w:r w:rsidRPr="002906C2">
        <w:rPr>
          <w:rStyle w:val="FootnoteReference"/>
        </w:rPr>
        <w:footnoteRef/>
      </w:r>
      <w:r w:rsidRPr="002906C2">
        <w:tab/>
      </w:r>
      <w:hyperlink r:id="rId23" w:history="1">
        <w:r w:rsidRPr="002906C2">
          <w:rPr>
            <w:rStyle w:val="Hyperlink"/>
          </w:rPr>
          <w:t>Zob. przyp. 1, s. 2</w:t>
        </w:r>
      </w:hyperlink>
      <w:r w:rsidRPr="002906C2">
        <w:t>.</w:t>
      </w:r>
    </w:p>
  </w:footnote>
  <w:footnote w:id="20">
    <w:p w:rsidR="00A325AE" w:rsidRPr="002906C2" w:rsidRDefault="00A325AE" w:rsidP="005F425A">
      <w:pPr>
        <w:pStyle w:val="FootnoteText"/>
        <w:ind w:left="567" w:hanging="567"/>
      </w:pPr>
      <w:r w:rsidRPr="002906C2">
        <w:rPr>
          <w:rStyle w:val="FootnoteReference"/>
        </w:rPr>
        <w:footnoteRef/>
      </w:r>
      <w:r w:rsidRPr="002906C2">
        <w:tab/>
      </w:r>
      <w:hyperlink r:id="rId24" w:history="1">
        <w:r w:rsidRPr="002906C2">
          <w:rPr>
            <w:rStyle w:val="Hyperlink"/>
          </w:rPr>
          <w:t>Zob. przyp. 9, s. 52</w:t>
        </w:r>
      </w:hyperlink>
      <w:r w:rsidRPr="002906C2">
        <w:t>.</w:t>
      </w:r>
    </w:p>
  </w:footnote>
  <w:footnote w:id="21">
    <w:p w:rsidR="00A325AE" w:rsidRPr="002906C2" w:rsidRDefault="00A325AE" w:rsidP="005F425A">
      <w:pPr>
        <w:pStyle w:val="FootnoteText"/>
        <w:ind w:left="567" w:hanging="567"/>
      </w:pPr>
      <w:r w:rsidRPr="002906C2">
        <w:rPr>
          <w:rStyle w:val="FootnoteReference"/>
        </w:rPr>
        <w:footnoteRef/>
      </w:r>
      <w:r w:rsidRPr="002906C2">
        <w:tab/>
      </w:r>
      <w:hyperlink r:id="rId25" w:history="1">
        <w:r w:rsidRPr="002906C2">
          <w:rPr>
            <w:rStyle w:val="Hyperlink"/>
          </w:rPr>
          <w:t>Zob. przyp. 1, s. 15</w:t>
        </w:r>
      </w:hyperlink>
      <w:r w:rsidRPr="002906C2">
        <w:t>.</w:t>
      </w:r>
    </w:p>
  </w:footnote>
  <w:footnote w:id="22">
    <w:p w:rsidR="00A325AE" w:rsidRPr="002906C2" w:rsidRDefault="00A325AE" w:rsidP="005F425A">
      <w:pPr>
        <w:pStyle w:val="FootnoteText"/>
        <w:ind w:left="567" w:hanging="567"/>
      </w:pPr>
      <w:r w:rsidRPr="002906C2">
        <w:rPr>
          <w:rStyle w:val="FootnoteReference"/>
        </w:rPr>
        <w:footnoteRef/>
      </w:r>
      <w:r w:rsidRPr="002906C2">
        <w:tab/>
      </w:r>
      <w:hyperlink r:id="rId26" w:history="1">
        <w:r w:rsidRPr="002906C2">
          <w:rPr>
            <w:rStyle w:val="Hyperlink"/>
          </w:rPr>
          <w:t>Zob. przyp. 9, s. 11</w:t>
        </w:r>
      </w:hyperlink>
      <w:r w:rsidRPr="002906C2">
        <w:t>.</w:t>
      </w:r>
    </w:p>
  </w:footnote>
  <w:footnote w:id="23">
    <w:p w:rsidR="00A325AE" w:rsidRPr="002906C2" w:rsidRDefault="00A325AE" w:rsidP="005F425A">
      <w:pPr>
        <w:pStyle w:val="FootnoteText"/>
        <w:ind w:left="567" w:hanging="567"/>
      </w:pPr>
      <w:r w:rsidRPr="002906C2">
        <w:rPr>
          <w:rStyle w:val="FootnoteReference"/>
        </w:rPr>
        <w:footnoteRef/>
      </w:r>
      <w:r w:rsidRPr="002906C2">
        <w:tab/>
      </w:r>
      <w:hyperlink r:id="rId27" w:history="1">
        <w:r w:rsidRPr="002906C2">
          <w:rPr>
            <w:rStyle w:val="Hyperlink"/>
          </w:rPr>
          <w:t>Zob. przyp. 3, art. 8</w:t>
        </w:r>
      </w:hyperlink>
      <w:r w:rsidRPr="002906C2">
        <w:t>.</w:t>
      </w:r>
    </w:p>
  </w:footnote>
  <w:footnote w:id="24">
    <w:p w:rsidR="00A325AE" w:rsidRPr="002906C2" w:rsidRDefault="00A325AE" w:rsidP="005F425A">
      <w:pPr>
        <w:pStyle w:val="FootnoteText"/>
        <w:ind w:left="567" w:hanging="567"/>
      </w:pPr>
      <w:r w:rsidRPr="002906C2">
        <w:rPr>
          <w:rStyle w:val="FootnoteReference"/>
        </w:rPr>
        <w:footnoteRef/>
      </w:r>
      <w:r w:rsidRPr="002906C2">
        <w:tab/>
      </w:r>
      <w:hyperlink r:id="rId28" w:history="1">
        <w:r w:rsidRPr="002906C2">
          <w:rPr>
            <w:rStyle w:val="Hyperlink"/>
          </w:rPr>
          <w:t>Zob. przyp. 1, s. 8</w:t>
        </w:r>
      </w:hyperlink>
      <w:r w:rsidRPr="002906C2">
        <w:t>.</w:t>
      </w:r>
    </w:p>
  </w:footnote>
  <w:footnote w:id="25">
    <w:p w:rsidR="00A325AE" w:rsidRPr="002906C2" w:rsidRDefault="00A325AE" w:rsidP="005F425A">
      <w:pPr>
        <w:pStyle w:val="FootnoteText"/>
        <w:ind w:left="567" w:hanging="567"/>
      </w:pPr>
      <w:r w:rsidRPr="002906C2">
        <w:rPr>
          <w:rStyle w:val="FootnoteReference"/>
        </w:rPr>
        <w:footnoteRef/>
      </w:r>
      <w:r w:rsidRPr="002906C2">
        <w:tab/>
      </w:r>
      <w:hyperlink r:id="rId29" w:history="1">
        <w:r w:rsidRPr="002906C2">
          <w:rPr>
            <w:rStyle w:val="Hyperlink"/>
          </w:rPr>
          <w:t>Badanie w sprawie przemocy wobec kobiet, Agencja Praw Podstawowych Unii Europejskiej, 2014, s. 186</w:t>
        </w:r>
      </w:hyperlink>
      <w:r w:rsidRPr="002906C2">
        <w:t>.</w:t>
      </w:r>
    </w:p>
  </w:footnote>
  <w:footnote w:id="26">
    <w:p w:rsidR="00A325AE" w:rsidRPr="002906C2" w:rsidRDefault="00A325AE" w:rsidP="005F425A">
      <w:pPr>
        <w:pStyle w:val="FootnoteText"/>
        <w:ind w:left="567" w:hanging="567"/>
      </w:pPr>
      <w:r w:rsidRPr="002906C2">
        <w:rPr>
          <w:rStyle w:val="FootnoteReference"/>
        </w:rPr>
        <w:footnoteRef/>
      </w:r>
      <w:r w:rsidRPr="002906C2">
        <w:tab/>
      </w:r>
      <w:hyperlink r:id="rId30" w:history="1">
        <w:r w:rsidRPr="002906C2">
          <w:rPr>
            <w:rStyle w:val="Hyperlink"/>
          </w:rPr>
          <w:t>Zob. przyp. 3, art.16</w:t>
        </w:r>
      </w:hyperlink>
      <w:r w:rsidRPr="002906C2">
        <w:t>.</w:t>
      </w:r>
    </w:p>
  </w:footnote>
  <w:footnote w:id="27">
    <w:p w:rsidR="00A325AE" w:rsidRPr="002906C2" w:rsidRDefault="00A325AE" w:rsidP="005F425A">
      <w:pPr>
        <w:pStyle w:val="FootnoteText"/>
        <w:ind w:left="567" w:hanging="567"/>
      </w:pPr>
      <w:r w:rsidRPr="002906C2">
        <w:rPr>
          <w:rStyle w:val="FootnoteReference"/>
        </w:rPr>
        <w:footnoteRef/>
      </w:r>
      <w:r w:rsidRPr="002906C2">
        <w:tab/>
      </w:r>
      <w:hyperlink r:id="rId31" w:history="1">
        <w:r w:rsidRPr="002906C2">
          <w:rPr>
            <w:rStyle w:val="Hyperlink"/>
          </w:rPr>
          <w:t>Zob. przyp. 9, s. 21</w:t>
        </w:r>
      </w:hyperlink>
      <w:r w:rsidRPr="002906C2">
        <w:t>.</w:t>
      </w:r>
    </w:p>
  </w:footnote>
  <w:footnote w:id="28">
    <w:p w:rsidR="00A325AE" w:rsidRPr="002906C2" w:rsidRDefault="00A325AE" w:rsidP="005F425A">
      <w:pPr>
        <w:pStyle w:val="FootnoteText"/>
        <w:ind w:left="567" w:hanging="567"/>
      </w:pPr>
      <w:r w:rsidRPr="002906C2">
        <w:rPr>
          <w:rStyle w:val="FootnoteReference"/>
        </w:rPr>
        <w:footnoteRef/>
      </w:r>
      <w:r w:rsidRPr="002906C2">
        <w:tab/>
      </w:r>
      <w:hyperlink r:id="rId32" w:history="1">
        <w:r w:rsidRPr="002906C2">
          <w:rPr>
            <w:rStyle w:val="Hyperlink"/>
          </w:rPr>
          <w:t>Zob. przyp. 3, art. 16</w:t>
        </w:r>
      </w:hyperlink>
      <w:r w:rsidRPr="002906C2">
        <w:t xml:space="preserve">; </w:t>
      </w:r>
      <w:hyperlink r:id="rId33" w:history="1">
        <w:r w:rsidRPr="002906C2">
          <w:rPr>
            <w:rStyle w:val="Hyperlink"/>
          </w:rPr>
          <w:t>Zob. przyp. 8, s. 49</w:t>
        </w:r>
      </w:hyperlink>
      <w:r w:rsidRPr="002906C2">
        <w:t>.</w:t>
      </w:r>
    </w:p>
  </w:footnote>
  <w:footnote w:id="29">
    <w:p w:rsidR="00A325AE" w:rsidRPr="002906C2" w:rsidRDefault="00A325AE" w:rsidP="005F425A">
      <w:pPr>
        <w:pStyle w:val="FootnoteText"/>
        <w:ind w:left="567" w:hanging="567"/>
      </w:pPr>
      <w:r w:rsidRPr="002906C2">
        <w:rPr>
          <w:rStyle w:val="FootnoteReference"/>
        </w:rPr>
        <w:footnoteRef/>
      </w:r>
      <w:r w:rsidRPr="002906C2">
        <w:tab/>
      </w:r>
      <w:hyperlink r:id="rId34" w:history="1">
        <w:r w:rsidRPr="002906C2">
          <w:rPr>
            <w:rStyle w:val="Hyperlink"/>
          </w:rPr>
          <w:t>Zob. przyp. 1, s. 10</w:t>
        </w:r>
      </w:hyperlink>
      <w:r w:rsidRPr="002906C2">
        <w:t>.</w:t>
      </w:r>
    </w:p>
  </w:footnote>
  <w:footnote w:id="30">
    <w:p w:rsidR="00A325AE" w:rsidRPr="002906C2" w:rsidRDefault="00A325AE" w:rsidP="005F425A">
      <w:pPr>
        <w:pStyle w:val="FootnoteText"/>
        <w:ind w:left="567" w:hanging="567"/>
      </w:pPr>
      <w:r w:rsidRPr="002906C2">
        <w:rPr>
          <w:rStyle w:val="FootnoteReference"/>
        </w:rPr>
        <w:footnoteRef/>
      </w:r>
      <w:r w:rsidRPr="002906C2">
        <w:tab/>
      </w:r>
      <w:hyperlink r:id="rId35" w:history="1">
        <w:r w:rsidRPr="002906C2">
          <w:rPr>
            <w:rStyle w:val="Hyperlink"/>
          </w:rPr>
          <w:t>Zob. przyp. 1, s. 11</w:t>
        </w:r>
      </w:hyperlink>
      <w:r w:rsidRPr="002906C2">
        <w:t>.</w:t>
      </w:r>
    </w:p>
  </w:footnote>
  <w:footnote w:id="31">
    <w:p w:rsidR="00A325AE" w:rsidRPr="002906C2" w:rsidRDefault="00A325AE" w:rsidP="005F425A">
      <w:pPr>
        <w:pStyle w:val="FootnoteText"/>
        <w:ind w:left="567" w:hanging="567"/>
      </w:pPr>
      <w:r w:rsidRPr="002906C2">
        <w:rPr>
          <w:rStyle w:val="FootnoteReference"/>
        </w:rPr>
        <w:footnoteRef/>
      </w:r>
      <w:r w:rsidRPr="002906C2">
        <w:tab/>
      </w:r>
      <w:hyperlink r:id="rId36" w:history="1">
        <w:r w:rsidRPr="002906C2">
          <w:rPr>
            <w:rStyle w:val="Hyperlink"/>
          </w:rPr>
          <w:t>Sprawozdanie w sprawie położenia kresu przymusowej sterylizacji kobiet i dziewcząt niepełnosprawnych, Europejskie Forum Niepełnosprawności, 2018, s. 49 i 50</w:t>
        </w:r>
      </w:hyperlink>
      <w:r w:rsidRPr="002906C2">
        <w:t>.</w:t>
      </w:r>
    </w:p>
  </w:footnote>
  <w:footnote w:id="32">
    <w:p w:rsidR="00A325AE" w:rsidRPr="002906C2" w:rsidRDefault="00A325AE" w:rsidP="005F425A">
      <w:pPr>
        <w:pStyle w:val="FootnoteText"/>
        <w:ind w:left="567" w:hanging="567"/>
      </w:pPr>
      <w:r w:rsidRPr="002906C2">
        <w:rPr>
          <w:rStyle w:val="FootnoteReference"/>
        </w:rPr>
        <w:footnoteRef/>
      </w:r>
      <w:r w:rsidRPr="002906C2">
        <w:tab/>
      </w:r>
      <w:hyperlink r:id="rId37" w:history="1">
        <w:r w:rsidRPr="002906C2">
          <w:rPr>
            <w:rStyle w:val="Hyperlink"/>
          </w:rPr>
          <w:t>Zob. przyp. 1, s. 10</w:t>
        </w:r>
      </w:hyperlink>
      <w:r w:rsidRPr="002906C2">
        <w:t xml:space="preserve">; </w:t>
      </w:r>
      <w:hyperlink r:id="rId38" w:history="1">
        <w:r w:rsidRPr="002906C2">
          <w:rPr>
            <w:rStyle w:val="Hyperlink"/>
          </w:rPr>
          <w:t>Zob. przyp. 9, s. 34</w:t>
        </w:r>
      </w:hyperlink>
      <w:r w:rsidRPr="002906C2">
        <w:t>.</w:t>
      </w:r>
    </w:p>
  </w:footnote>
  <w:footnote w:id="33">
    <w:p w:rsidR="00A325AE" w:rsidRPr="002906C2" w:rsidRDefault="00A325AE" w:rsidP="005F425A">
      <w:pPr>
        <w:pStyle w:val="FootnoteText"/>
        <w:ind w:left="567" w:hanging="567"/>
      </w:pPr>
      <w:r w:rsidRPr="002906C2">
        <w:rPr>
          <w:rStyle w:val="FootnoteReference"/>
        </w:rPr>
        <w:footnoteRef/>
      </w:r>
      <w:r w:rsidRPr="002906C2">
        <w:tab/>
      </w:r>
      <w:hyperlink r:id="rId39" w:history="1">
        <w:r w:rsidRPr="002906C2">
          <w:rPr>
            <w:rStyle w:val="Hyperlink"/>
          </w:rPr>
          <w:t>Zob. przyp. 1, s. 14</w:t>
        </w:r>
      </w:hyperlink>
      <w:r w:rsidRPr="002906C2">
        <w:t>.</w:t>
      </w:r>
    </w:p>
  </w:footnote>
  <w:footnote w:id="34">
    <w:p w:rsidR="00A325AE" w:rsidRPr="002906C2" w:rsidRDefault="00A325AE" w:rsidP="005F425A">
      <w:pPr>
        <w:pStyle w:val="FootnoteText"/>
        <w:ind w:left="567" w:hanging="567"/>
      </w:pPr>
      <w:r w:rsidRPr="002906C2">
        <w:rPr>
          <w:rStyle w:val="FootnoteReference"/>
        </w:rPr>
        <w:footnoteRef/>
      </w:r>
      <w:r w:rsidRPr="002906C2">
        <w:tab/>
        <w:t>Dane EU-SILC z 2011 r.</w:t>
      </w:r>
    </w:p>
  </w:footnote>
  <w:footnote w:id="35">
    <w:p w:rsidR="00A325AE" w:rsidRPr="002906C2" w:rsidRDefault="00A325AE" w:rsidP="005F425A">
      <w:pPr>
        <w:pStyle w:val="FootnoteText"/>
        <w:ind w:left="567" w:hanging="567"/>
      </w:pPr>
      <w:r w:rsidRPr="002906C2">
        <w:rPr>
          <w:rStyle w:val="FootnoteReference"/>
        </w:rPr>
        <w:footnoteRef/>
      </w:r>
      <w:r w:rsidRPr="002906C2">
        <w:tab/>
      </w:r>
      <w:hyperlink r:id="rId40" w:history="1">
        <w:r w:rsidRPr="002906C2">
          <w:rPr>
            <w:rStyle w:val="Hyperlink"/>
          </w:rPr>
          <w:t>Zob. przyp. 9, s. 32</w:t>
        </w:r>
      </w:hyperlink>
      <w:r w:rsidRPr="002906C2">
        <w:t>.</w:t>
      </w:r>
    </w:p>
  </w:footnote>
  <w:footnote w:id="36">
    <w:p w:rsidR="00A325AE" w:rsidRPr="002906C2" w:rsidRDefault="00A325AE" w:rsidP="005F425A">
      <w:pPr>
        <w:pStyle w:val="FootnoteText"/>
        <w:ind w:left="567" w:hanging="567"/>
      </w:pPr>
      <w:r w:rsidRPr="002906C2">
        <w:rPr>
          <w:rStyle w:val="FootnoteReference"/>
        </w:rPr>
        <w:footnoteRef/>
      </w:r>
      <w:r w:rsidRPr="002906C2">
        <w:tab/>
      </w:r>
      <w:hyperlink r:id="rId41" w:history="1">
        <w:r w:rsidRPr="002906C2">
          <w:rPr>
            <w:rStyle w:val="Hyperlink"/>
          </w:rPr>
          <w:t>Alternatywne sprawozdanie Konwencji ONZ o prawach osób niepełnosprawnych, s. 43</w:t>
        </w:r>
      </w:hyperlink>
      <w:r w:rsidRPr="002906C2">
        <w:t>.</w:t>
      </w:r>
    </w:p>
  </w:footnote>
  <w:footnote w:id="37">
    <w:p w:rsidR="00A325AE" w:rsidRPr="002906C2" w:rsidRDefault="00A325AE" w:rsidP="005F425A">
      <w:pPr>
        <w:pStyle w:val="FootnoteText"/>
        <w:ind w:left="567" w:hanging="567"/>
      </w:pPr>
      <w:r w:rsidRPr="002906C2">
        <w:rPr>
          <w:rStyle w:val="FootnoteReference"/>
        </w:rPr>
        <w:footnoteRef/>
      </w:r>
      <w:r w:rsidRPr="002906C2">
        <w:tab/>
      </w:r>
      <w:hyperlink r:id="rId42" w:history="1">
        <w:r w:rsidRPr="002906C2">
          <w:rPr>
            <w:rStyle w:val="Hyperlink"/>
          </w:rPr>
          <w:t>Zob. przyp. 4, s. 7</w:t>
        </w:r>
      </w:hyperlink>
      <w:r w:rsidRPr="002906C2">
        <w:t>.</w:t>
      </w:r>
    </w:p>
  </w:footnote>
  <w:footnote w:id="38">
    <w:p w:rsidR="00A325AE" w:rsidRPr="002906C2" w:rsidRDefault="00A325AE" w:rsidP="005F425A">
      <w:pPr>
        <w:pStyle w:val="FootnoteText"/>
        <w:ind w:left="567" w:hanging="567"/>
      </w:pPr>
      <w:r w:rsidRPr="002906C2">
        <w:rPr>
          <w:rStyle w:val="FootnoteReference"/>
        </w:rPr>
        <w:footnoteRef/>
      </w:r>
      <w:r w:rsidRPr="002906C2">
        <w:tab/>
      </w:r>
      <w:hyperlink r:id="rId43" w:history="1">
        <w:r w:rsidRPr="002906C2">
          <w:rPr>
            <w:rStyle w:val="Hyperlink"/>
          </w:rPr>
          <w:t>Zob. przyp. 9, s. 41</w:t>
        </w:r>
      </w:hyperlink>
      <w:r w:rsidRPr="002906C2">
        <w:t>.</w:t>
      </w:r>
    </w:p>
  </w:footnote>
  <w:footnote w:id="39">
    <w:p w:rsidR="00A325AE" w:rsidRPr="002906C2" w:rsidRDefault="00A325AE" w:rsidP="005F425A">
      <w:pPr>
        <w:pStyle w:val="FootnoteText"/>
        <w:ind w:left="567" w:hanging="567"/>
      </w:pPr>
      <w:r w:rsidRPr="002906C2">
        <w:rPr>
          <w:rStyle w:val="FootnoteReference"/>
        </w:rPr>
        <w:footnoteRef/>
      </w:r>
      <w:r w:rsidRPr="002906C2">
        <w:tab/>
      </w:r>
      <w:hyperlink r:id="rId44" w:history="1">
        <w:r w:rsidRPr="002906C2">
          <w:rPr>
            <w:rStyle w:val="Hyperlink"/>
          </w:rPr>
          <w:t>Zob. przyp. 9, s. 45</w:t>
        </w:r>
      </w:hyperlink>
      <w:r w:rsidRPr="002906C2">
        <w:t xml:space="preserve">; </w:t>
      </w:r>
      <w:hyperlink r:id="rId45" w:history="1">
        <w:r w:rsidRPr="002906C2">
          <w:rPr>
            <w:rStyle w:val="Hyperlink"/>
          </w:rPr>
          <w:t>Zob. przyp. 4, s. 16</w:t>
        </w:r>
      </w:hyperlink>
      <w:r w:rsidRPr="002906C2">
        <w:t>.</w:t>
      </w:r>
    </w:p>
  </w:footnote>
  <w:footnote w:id="40">
    <w:p w:rsidR="00A325AE" w:rsidRPr="002906C2" w:rsidRDefault="00A325AE" w:rsidP="005F425A">
      <w:pPr>
        <w:pStyle w:val="FootnoteText"/>
        <w:ind w:left="567" w:hanging="567"/>
      </w:pPr>
      <w:r w:rsidRPr="002906C2">
        <w:rPr>
          <w:rStyle w:val="FootnoteReference"/>
        </w:rPr>
        <w:footnoteRef/>
      </w:r>
      <w:r w:rsidRPr="002906C2">
        <w:tab/>
      </w:r>
      <w:hyperlink r:id="rId46" w:history="1">
        <w:r w:rsidRPr="002906C2">
          <w:rPr>
            <w:rStyle w:val="Hyperlink"/>
          </w:rPr>
          <w:t>Zob. przyp. 4, art. 14</w:t>
        </w:r>
      </w:hyperlink>
      <w:r w:rsidRPr="002906C2">
        <w:t xml:space="preserve">; </w:t>
      </w:r>
      <w:hyperlink r:id="rId47" w:history="1">
        <w:r w:rsidRPr="002906C2">
          <w:rPr>
            <w:rStyle w:val="Hyperlink"/>
          </w:rPr>
          <w:t>Zob. przyp. 9, s. 43</w:t>
        </w:r>
      </w:hyperlink>
      <w:r w:rsidRPr="002906C2">
        <w:t>.</w:t>
      </w:r>
    </w:p>
  </w:footnote>
  <w:footnote w:id="41">
    <w:p w:rsidR="00A325AE" w:rsidRPr="002906C2" w:rsidRDefault="00A325AE" w:rsidP="005F425A">
      <w:pPr>
        <w:pStyle w:val="FootnoteText"/>
        <w:ind w:left="567" w:hanging="567"/>
      </w:pPr>
      <w:r w:rsidRPr="002906C2">
        <w:rPr>
          <w:rStyle w:val="FootnoteReference"/>
        </w:rPr>
        <w:footnoteRef/>
      </w:r>
      <w:r w:rsidRPr="002906C2">
        <w:tab/>
      </w:r>
      <w:hyperlink r:id="rId48" w:history="1">
        <w:r w:rsidRPr="002906C2">
          <w:rPr>
            <w:rStyle w:val="Hyperlink"/>
          </w:rPr>
          <w:t>Zob. przyp. 3, art. 23</w:t>
        </w:r>
      </w:hyperlink>
      <w:r w:rsidRPr="002906C2">
        <w:t>.</w:t>
      </w:r>
    </w:p>
  </w:footnote>
  <w:footnote w:id="42">
    <w:p w:rsidR="00A325AE" w:rsidRPr="002906C2" w:rsidRDefault="00A325AE" w:rsidP="005F425A">
      <w:pPr>
        <w:pStyle w:val="FootnoteText"/>
        <w:ind w:left="567" w:hanging="567"/>
      </w:pPr>
      <w:r w:rsidRPr="002906C2">
        <w:rPr>
          <w:rStyle w:val="FootnoteReference"/>
        </w:rPr>
        <w:footnoteRef/>
      </w:r>
      <w:r w:rsidRPr="002906C2">
        <w:tab/>
      </w:r>
      <w:hyperlink r:id="rId49" w:history="1">
        <w:r w:rsidRPr="002906C2">
          <w:rPr>
            <w:rStyle w:val="Hyperlink"/>
          </w:rPr>
          <w:t>Zob. przyp. 4, s. 25</w:t>
        </w:r>
      </w:hyperlink>
      <w:r w:rsidRPr="002906C2">
        <w:t>.</w:t>
      </w:r>
    </w:p>
  </w:footnote>
  <w:footnote w:id="43">
    <w:p w:rsidR="00A325AE" w:rsidRPr="002906C2" w:rsidRDefault="00A325AE" w:rsidP="005F425A">
      <w:pPr>
        <w:pStyle w:val="FootnoteText"/>
        <w:ind w:left="567" w:hanging="567"/>
      </w:pPr>
      <w:r w:rsidRPr="002906C2">
        <w:rPr>
          <w:rStyle w:val="FootnoteReference"/>
        </w:rPr>
        <w:footnoteRef/>
      </w:r>
      <w:r w:rsidRPr="002906C2">
        <w:tab/>
      </w:r>
      <w:hyperlink r:id="rId50" w:history="1">
        <w:r w:rsidRPr="002906C2">
          <w:rPr>
            <w:rStyle w:val="Hyperlink"/>
          </w:rPr>
          <w:t>Alternatywne sprawozdanie dla Konwencji ONZ o prawach osób niepełnosprawnych</w:t>
        </w:r>
      </w:hyperlink>
      <w:r w:rsidRPr="002906C2">
        <w:t>.</w:t>
      </w:r>
    </w:p>
  </w:footnote>
  <w:footnote w:id="44">
    <w:p w:rsidR="00A325AE" w:rsidRPr="002906C2" w:rsidRDefault="00A325AE" w:rsidP="005F425A">
      <w:pPr>
        <w:pStyle w:val="FootnoteText"/>
        <w:ind w:left="567" w:hanging="567"/>
      </w:pPr>
      <w:r w:rsidRPr="002906C2">
        <w:rPr>
          <w:rStyle w:val="FootnoteReference"/>
        </w:rPr>
        <w:footnoteRef/>
      </w:r>
      <w:r w:rsidRPr="002906C2">
        <w:rPr>
          <w:sz w:val="24"/>
          <w:vertAlign w:val="superscript"/>
        </w:rPr>
        <w:t xml:space="preserve"> </w:t>
      </w:r>
      <w:r w:rsidRPr="002906C2">
        <w:tab/>
      </w:r>
      <w:hyperlink r:id="rId51" w:history="1">
        <w:r w:rsidRPr="002906C2">
          <w:rPr>
            <w:rStyle w:val="Hyperlink"/>
          </w:rPr>
          <w:t>Zob. przyp. 1, s. 15</w:t>
        </w:r>
      </w:hyperlink>
      <w:r w:rsidRPr="002906C2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1E5" w:rsidRPr="002906C2" w:rsidRDefault="001511E5" w:rsidP="00290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1E5" w:rsidRPr="002906C2" w:rsidRDefault="001511E5" w:rsidP="002906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1E5" w:rsidRPr="002906C2" w:rsidRDefault="001511E5" w:rsidP="002906C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AE" w:rsidRPr="002906C2" w:rsidRDefault="00A325AE" w:rsidP="002906C2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AE" w:rsidRPr="002906C2" w:rsidRDefault="00A325AE" w:rsidP="002906C2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AE" w:rsidRPr="002906C2" w:rsidRDefault="00A325AE" w:rsidP="00290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15085A0A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288242A6"/>
    <w:multiLevelType w:val="multilevel"/>
    <w:tmpl w:val="B2D41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C8E36C9"/>
    <w:multiLevelType w:val="multilevel"/>
    <w:tmpl w:val="DDBAAB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0851191"/>
    <w:multiLevelType w:val="multilevel"/>
    <w:tmpl w:val="AB708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78814433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3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4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5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6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7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8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  <w:rPr>
          <w:b w:val="0"/>
        </w:rPr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9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10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11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12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13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14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15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16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  <w:rPr>
          <w:b w:val="0"/>
        </w:rPr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17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18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19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0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1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2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3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4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5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6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7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8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9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30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31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32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33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34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35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36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37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38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39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40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  <w:rPr>
          <w:b w:val="0"/>
        </w:rPr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41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42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43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44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45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46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47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48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49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50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51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52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53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54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55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56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57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  <w:rPr>
          <w:b w:val="0"/>
        </w:rPr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58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59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60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61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62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63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64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65">
    <w:abstractNumId w:val="1"/>
  </w:num>
  <w:num w:numId="66">
    <w:abstractNumId w:val="0"/>
  </w:num>
  <w:num w:numId="67">
    <w:abstractNumId w:val="0"/>
  </w:num>
  <w:num w:numId="68">
    <w:abstractNumId w:val="0"/>
  </w:num>
  <w:num w:numId="69">
    <w:abstractNumId w:val="0"/>
  </w:num>
  <w:num w:numId="70">
    <w:abstractNumId w:val="0"/>
  </w:num>
  <w:num w:numId="71">
    <w:abstractNumId w:val="3"/>
  </w:num>
  <w:num w:numId="72">
    <w:abstractNumId w:val="2"/>
  </w:num>
  <w:num w:numId="73">
    <w:abstractNumId w:val="4"/>
  </w:num>
  <w:num w:numId="74">
    <w:abstractNumId w:val="0"/>
  </w:num>
  <w:num w:numId="75">
    <w:abstractNumId w:val="0"/>
  </w:num>
  <w:num w:numId="76">
    <w:abstractNumId w:val="0"/>
  </w:num>
  <w:num w:numId="77">
    <w:abstractNumId w:val="0"/>
  </w:num>
  <w:num w:numId="78">
    <w:abstractNumId w:val="0"/>
  </w:num>
  <w:num w:numId="79">
    <w:abstractNumId w:val="0"/>
  </w:num>
  <w:num w:numId="80">
    <w:abstractNumId w:val="0"/>
  </w:num>
  <w:num w:numId="81">
    <w:abstractNumId w:val="0"/>
  </w:num>
  <w:num w:numId="82">
    <w:abstractNumId w:val="0"/>
  </w:num>
  <w:num w:numId="83">
    <w:abstractNumId w:val="0"/>
  </w:num>
  <w:num w:numId="84">
    <w:abstractNumId w:val="0"/>
  </w:num>
  <w:num w:numId="85">
    <w:abstractNumId w:val="0"/>
  </w:num>
  <w:num w:numId="86">
    <w:abstractNumId w:val="0"/>
  </w:num>
  <w:num w:numId="87">
    <w:abstractNumId w:val="0"/>
  </w:num>
  <w:num w:numId="88">
    <w:abstractNumId w:val="0"/>
  </w:num>
  <w:num w:numId="89">
    <w:abstractNumId w:val="0"/>
  </w:num>
  <w:num w:numId="90">
    <w:abstractNumId w:val="0"/>
  </w:num>
  <w:num w:numId="91">
    <w:abstractNumId w:val="0"/>
  </w:num>
  <w:num w:numId="92">
    <w:abstractNumId w:val="0"/>
  </w:num>
  <w:num w:numId="93">
    <w:abstractNumId w:val="0"/>
  </w:num>
  <w:num w:numId="94">
    <w:abstractNumId w:val="0"/>
  </w:num>
  <w:num w:numId="95">
    <w:abstractNumId w:val="0"/>
  </w:num>
  <w:num w:numId="96">
    <w:abstractNumId w:val="0"/>
  </w:num>
  <w:num w:numId="97">
    <w:abstractNumId w:val="0"/>
  </w:num>
  <w:num w:numId="98">
    <w:abstractNumId w:val="0"/>
  </w:num>
  <w:num w:numId="99">
    <w:abstractNumId w:val="0"/>
  </w:num>
  <w:num w:numId="100">
    <w:abstractNumId w:val="0"/>
  </w:num>
  <w:num w:numId="101">
    <w:abstractNumId w:val="0"/>
  </w:num>
  <w:num w:numId="102">
    <w:abstractNumId w:val="0"/>
  </w:num>
  <w:num w:numId="103">
    <w:abstractNumId w:val="0"/>
  </w:num>
  <w:num w:numId="104">
    <w:abstractNumId w:val="0"/>
  </w:num>
  <w:num w:numId="105">
    <w:abstractNumId w:val="0"/>
  </w:num>
  <w:num w:numId="106">
    <w:abstractNumId w:val="0"/>
  </w:num>
  <w:num w:numId="107">
    <w:abstractNumId w:val="0"/>
  </w:num>
  <w:num w:numId="108">
    <w:abstractNumId w:val="0"/>
  </w:num>
  <w:num w:numId="109">
    <w:abstractNumId w:val="0"/>
  </w:num>
  <w:num w:numId="110">
    <w:abstractNumId w:val="0"/>
  </w:num>
  <w:num w:numId="111">
    <w:abstractNumId w:val="0"/>
  </w:num>
  <w:num w:numId="112">
    <w:abstractNumId w:val="0"/>
  </w:num>
  <w:num w:numId="113">
    <w:abstractNumId w:val="0"/>
  </w:num>
  <w:num w:numId="114">
    <w:abstractNumId w:val="0"/>
  </w:num>
  <w:num w:numId="115">
    <w:abstractNumId w:val="0"/>
  </w:num>
  <w:num w:numId="116">
    <w:abstractNumId w:val="0"/>
  </w:num>
  <w:num w:numId="117">
    <w:abstractNumId w:val="0"/>
  </w:num>
  <w:num w:numId="118">
    <w:abstractNumId w:val="0"/>
  </w:num>
  <w:num w:numId="119">
    <w:abstractNumId w:val="0"/>
  </w:num>
  <w:num w:numId="120">
    <w:abstractNumId w:val="0"/>
  </w:num>
  <w:num w:numId="121">
    <w:abstractNumId w:val="0"/>
  </w:num>
  <w:num w:numId="122">
    <w:abstractNumId w:val="0"/>
  </w:num>
  <w:num w:numId="123">
    <w:abstractNumId w:val="0"/>
  </w:num>
  <w:num w:numId="124">
    <w:abstractNumId w:val="0"/>
  </w:num>
  <w:num w:numId="125">
    <w:abstractNumId w:val="0"/>
  </w:num>
  <w:num w:numId="126">
    <w:abstractNumId w:val="0"/>
  </w:num>
  <w:num w:numId="127">
    <w:abstractNumId w:val="0"/>
  </w:num>
  <w:num w:numId="128">
    <w:abstractNumId w:val="0"/>
  </w:num>
  <w:num w:numId="129">
    <w:abstractNumId w:val="0"/>
  </w:num>
  <w:num w:numId="130">
    <w:abstractNumId w:val="0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8F"/>
    <w:rsid w:val="0000236B"/>
    <w:rsid w:val="00005AB9"/>
    <w:rsid w:val="00005EB9"/>
    <w:rsid w:val="00006E24"/>
    <w:rsid w:val="00007A40"/>
    <w:rsid w:val="00011D33"/>
    <w:rsid w:val="00017BEE"/>
    <w:rsid w:val="00020E6E"/>
    <w:rsid w:val="000245B2"/>
    <w:rsid w:val="00031A4B"/>
    <w:rsid w:val="00033913"/>
    <w:rsid w:val="00033E5B"/>
    <w:rsid w:val="000357A8"/>
    <w:rsid w:val="000401BC"/>
    <w:rsid w:val="000430A6"/>
    <w:rsid w:val="00043226"/>
    <w:rsid w:val="00044923"/>
    <w:rsid w:val="00050958"/>
    <w:rsid w:val="0005249C"/>
    <w:rsid w:val="000534A5"/>
    <w:rsid w:val="0005680D"/>
    <w:rsid w:val="000573BE"/>
    <w:rsid w:val="00063FB4"/>
    <w:rsid w:val="0006793E"/>
    <w:rsid w:val="00071C26"/>
    <w:rsid w:val="00072E0F"/>
    <w:rsid w:val="000735E5"/>
    <w:rsid w:val="0007392F"/>
    <w:rsid w:val="00080638"/>
    <w:rsid w:val="00087B39"/>
    <w:rsid w:val="00096502"/>
    <w:rsid w:val="000A1DE6"/>
    <w:rsid w:val="000A491A"/>
    <w:rsid w:val="000A49BB"/>
    <w:rsid w:val="000B370B"/>
    <w:rsid w:val="000C3441"/>
    <w:rsid w:val="000C6F6C"/>
    <w:rsid w:val="000C7F53"/>
    <w:rsid w:val="000D2F8E"/>
    <w:rsid w:val="000E0097"/>
    <w:rsid w:val="000F196B"/>
    <w:rsid w:val="00105361"/>
    <w:rsid w:val="001101F8"/>
    <w:rsid w:val="0011206F"/>
    <w:rsid w:val="0011656A"/>
    <w:rsid w:val="0012220C"/>
    <w:rsid w:val="00122944"/>
    <w:rsid w:val="00123C88"/>
    <w:rsid w:val="00125ABB"/>
    <w:rsid w:val="00126634"/>
    <w:rsid w:val="00133415"/>
    <w:rsid w:val="00136EA3"/>
    <w:rsid w:val="00137575"/>
    <w:rsid w:val="00144231"/>
    <w:rsid w:val="00147CCF"/>
    <w:rsid w:val="00150434"/>
    <w:rsid w:val="001511E5"/>
    <w:rsid w:val="00155721"/>
    <w:rsid w:val="0015678B"/>
    <w:rsid w:val="0016503F"/>
    <w:rsid w:val="0016674F"/>
    <w:rsid w:val="00167A3D"/>
    <w:rsid w:val="00167CA0"/>
    <w:rsid w:val="00170AB0"/>
    <w:rsid w:val="0017120D"/>
    <w:rsid w:val="001714F6"/>
    <w:rsid w:val="00174EB4"/>
    <w:rsid w:val="00176168"/>
    <w:rsid w:val="00177158"/>
    <w:rsid w:val="00177E82"/>
    <w:rsid w:val="001808A5"/>
    <w:rsid w:val="00180FFC"/>
    <w:rsid w:val="001822CD"/>
    <w:rsid w:val="00184FD4"/>
    <w:rsid w:val="00186B04"/>
    <w:rsid w:val="00186F1E"/>
    <w:rsid w:val="00190836"/>
    <w:rsid w:val="00193930"/>
    <w:rsid w:val="001963A5"/>
    <w:rsid w:val="00196F1E"/>
    <w:rsid w:val="001973CC"/>
    <w:rsid w:val="00197FCA"/>
    <w:rsid w:val="001A27DB"/>
    <w:rsid w:val="001A6852"/>
    <w:rsid w:val="001A737E"/>
    <w:rsid w:val="001B0E4E"/>
    <w:rsid w:val="001B286A"/>
    <w:rsid w:val="001B2D02"/>
    <w:rsid w:val="001B3647"/>
    <w:rsid w:val="001B77FA"/>
    <w:rsid w:val="001C0ABE"/>
    <w:rsid w:val="001C2739"/>
    <w:rsid w:val="001C5852"/>
    <w:rsid w:val="001C78F4"/>
    <w:rsid w:val="001D2D21"/>
    <w:rsid w:val="001D45F0"/>
    <w:rsid w:val="001E4A33"/>
    <w:rsid w:val="001E5310"/>
    <w:rsid w:val="001E5C27"/>
    <w:rsid w:val="001F602B"/>
    <w:rsid w:val="001F622E"/>
    <w:rsid w:val="001F6AC8"/>
    <w:rsid w:val="002037D5"/>
    <w:rsid w:val="0020532A"/>
    <w:rsid w:val="00206F90"/>
    <w:rsid w:val="00212B03"/>
    <w:rsid w:val="002131AE"/>
    <w:rsid w:val="002158EB"/>
    <w:rsid w:val="00215C10"/>
    <w:rsid w:val="00215C2D"/>
    <w:rsid w:val="002252C4"/>
    <w:rsid w:val="0023183E"/>
    <w:rsid w:val="00235138"/>
    <w:rsid w:val="00243E36"/>
    <w:rsid w:val="0024540B"/>
    <w:rsid w:val="00245A86"/>
    <w:rsid w:val="00245EF4"/>
    <w:rsid w:val="002467F3"/>
    <w:rsid w:val="00250E11"/>
    <w:rsid w:val="00251383"/>
    <w:rsid w:val="002522C9"/>
    <w:rsid w:val="00252A21"/>
    <w:rsid w:val="00252A71"/>
    <w:rsid w:val="00253E4F"/>
    <w:rsid w:val="002542E4"/>
    <w:rsid w:val="002561CD"/>
    <w:rsid w:val="00261053"/>
    <w:rsid w:val="00262638"/>
    <w:rsid w:val="002626E2"/>
    <w:rsid w:val="00262FDE"/>
    <w:rsid w:val="00263629"/>
    <w:rsid w:val="002769BD"/>
    <w:rsid w:val="00276A75"/>
    <w:rsid w:val="002809EA"/>
    <w:rsid w:val="00284962"/>
    <w:rsid w:val="00287B0E"/>
    <w:rsid w:val="002906C2"/>
    <w:rsid w:val="002A0B53"/>
    <w:rsid w:val="002A0EEF"/>
    <w:rsid w:val="002A13C6"/>
    <w:rsid w:val="002A17C2"/>
    <w:rsid w:val="002A5EA4"/>
    <w:rsid w:val="002A76F9"/>
    <w:rsid w:val="002B2294"/>
    <w:rsid w:val="002B2DF7"/>
    <w:rsid w:val="002C3BF4"/>
    <w:rsid w:val="002C749F"/>
    <w:rsid w:val="002D05CA"/>
    <w:rsid w:val="002D1719"/>
    <w:rsid w:val="002D26A3"/>
    <w:rsid w:val="002E0090"/>
    <w:rsid w:val="002E7B33"/>
    <w:rsid w:val="002F059B"/>
    <w:rsid w:val="002F5B0B"/>
    <w:rsid w:val="00300924"/>
    <w:rsid w:val="003020A6"/>
    <w:rsid w:val="00304853"/>
    <w:rsid w:val="0030596E"/>
    <w:rsid w:val="003073C3"/>
    <w:rsid w:val="0031414E"/>
    <w:rsid w:val="00315FDC"/>
    <w:rsid w:val="00323637"/>
    <w:rsid w:val="00324E8A"/>
    <w:rsid w:val="00331D87"/>
    <w:rsid w:val="00332850"/>
    <w:rsid w:val="00334478"/>
    <w:rsid w:val="003346B4"/>
    <w:rsid w:val="00334AE6"/>
    <w:rsid w:val="003365D0"/>
    <w:rsid w:val="00336D3F"/>
    <w:rsid w:val="003439AB"/>
    <w:rsid w:val="0035034C"/>
    <w:rsid w:val="00354695"/>
    <w:rsid w:val="0035549B"/>
    <w:rsid w:val="0036638E"/>
    <w:rsid w:val="003755C8"/>
    <w:rsid w:val="00375687"/>
    <w:rsid w:val="00380AE0"/>
    <w:rsid w:val="00383324"/>
    <w:rsid w:val="00386064"/>
    <w:rsid w:val="00387A75"/>
    <w:rsid w:val="003904FD"/>
    <w:rsid w:val="00394254"/>
    <w:rsid w:val="003B15D2"/>
    <w:rsid w:val="003C2BFB"/>
    <w:rsid w:val="003C436B"/>
    <w:rsid w:val="003C5337"/>
    <w:rsid w:val="003C5F92"/>
    <w:rsid w:val="003D7A8C"/>
    <w:rsid w:val="003D7C00"/>
    <w:rsid w:val="003E39EC"/>
    <w:rsid w:val="003E56E5"/>
    <w:rsid w:val="003E7E60"/>
    <w:rsid w:val="003F00D4"/>
    <w:rsid w:val="003F2209"/>
    <w:rsid w:val="003F3D39"/>
    <w:rsid w:val="003F646A"/>
    <w:rsid w:val="003F6761"/>
    <w:rsid w:val="003F6A0A"/>
    <w:rsid w:val="004024F5"/>
    <w:rsid w:val="00402DE1"/>
    <w:rsid w:val="00403D8B"/>
    <w:rsid w:val="004054F8"/>
    <w:rsid w:val="004058F1"/>
    <w:rsid w:val="00407E7D"/>
    <w:rsid w:val="0041283D"/>
    <w:rsid w:val="00413AB4"/>
    <w:rsid w:val="00421373"/>
    <w:rsid w:val="00421FB7"/>
    <w:rsid w:val="004242C1"/>
    <w:rsid w:val="0042763B"/>
    <w:rsid w:val="0043024C"/>
    <w:rsid w:val="00430C19"/>
    <w:rsid w:val="00431136"/>
    <w:rsid w:val="00436706"/>
    <w:rsid w:val="00443D38"/>
    <w:rsid w:val="00450E7A"/>
    <w:rsid w:val="0045129C"/>
    <w:rsid w:val="00456AF8"/>
    <w:rsid w:val="00457575"/>
    <w:rsid w:val="0046406D"/>
    <w:rsid w:val="0047008A"/>
    <w:rsid w:val="00470B15"/>
    <w:rsid w:val="00475869"/>
    <w:rsid w:val="00475A77"/>
    <w:rsid w:val="00484CCB"/>
    <w:rsid w:val="004866A9"/>
    <w:rsid w:val="004904C1"/>
    <w:rsid w:val="00492774"/>
    <w:rsid w:val="00494EBE"/>
    <w:rsid w:val="00496D7A"/>
    <w:rsid w:val="004A31BC"/>
    <w:rsid w:val="004A3BFD"/>
    <w:rsid w:val="004A3F1A"/>
    <w:rsid w:val="004A3F45"/>
    <w:rsid w:val="004B1AFA"/>
    <w:rsid w:val="004B4BD1"/>
    <w:rsid w:val="004B7088"/>
    <w:rsid w:val="004C4D12"/>
    <w:rsid w:val="004C5B76"/>
    <w:rsid w:val="004D02CD"/>
    <w:rsid w:val="004D0B24"/>
    <w:rsid w:val="004D4B90"/>
    <w:rsid w:val="004D5471"/>
    <w:rsid w:val="004D60EE"/>
    <w:rsid w:val="004D6B95"/>
    <w:rsid w:val="004D7F41"/>
    <w:rsid w:val="004E03A2"/>
    <w:rsid w:val="004E317E"/>
    <w:rsid w:val="004E3954"/>
    <w:rsid w:val="004E5856"/>
    <w:rsid w:val="004E6C8F"/>
    <w:rsid w:val="004F2330"/>
    <w:rsid w:val="004F53C6"/>
    <w:rsid w:val="004F55C6"/>
    <w:rsid w:val="004F69DB"/>
    <w:rsid w:val="004F6B87"/>
    <w:rsid w:val="004F7543"/>
    <w:rsid w:val="00501C2D"/>
    <w:rsid w:val="00502637"/>
    <w:rsid w:val="00506ED3"/>
    <w:rsid w:val="00511140"/>
    <w:rsid w:val="00513CFE"/>
    <w:rsid w:val="00520AC6"/>
    <w:rsid w:val="00520E16"/>
    <w:rsid w:val="00521775"/>
    <w:rsid w:val="00523B6A"/>
    <w:rsid w:val="00525F6C"/>
    <w:rsid w:val="00533DA9"/>
    <w:rsid w:val="00535110"/>
    <w:rsid w:val="00546AB4"/>
    <w:rsid w:val="005514E5"/>
    <w:rsid w:val="00563C84"/>
    <w:rsid w:val="005762F6"/>
    <w:rsid w:val="005801C2"/>
    <w:rsid w:val="00584FBE"/>
    <w:rsid w:val="00585483"/>
    <w:rsid w:val="00587378"/>
    <w:rsid w:val="00587885"/>
    <w:rsid w:val="00587C05"/>
    <w:rsid w:val="00590AAB"/>
    <w:rsid w:val="005938C3"/>
    <w:rsid w:val="00594261"/>
    <w:rsid w:val="0059468C"/>
    <w:rsid w:val="00595125"/>
    <w:rsid w:val="00596F21"/>
    <w:rsid w:val="005B1CDD"/>
    <w:rsid w:val="005B1E19"/>
    <w:rsid w:val="005B2914"/>
    <w:rsid w:val="005B3AAB"/>
    <w:rsid w:val="005B55FC"/>
    <w:rsid w:val="005C2D5E"/>
    <w:rsid w:val="005C3B81"/>
    <w:rsid w:val="005C650C"/>
    <w:rsid w:val="005C75C8"/>
    <w:rsid w:val="005D086C"/>
    <w:rsid w:val="005D11D3"/>
    <w:rsid w:val="005D4E1F"/>
    <w:rsid w:val="005D4FB3"/>
    <w:rsid w:val="005E2F07"/>
    <w:rsid w:val="005E2FEA"/>
    <w:rsid w:val="005F314B"/>
    <w:rsid w:val="005F425A"/>
    <w:rsid w:val="006067A0"/>
    <w:rsid w:val="00611AF2"/>
    <w:rsid w:val="0061212B"/>
    <w:rsid w:val="006127AF"/>
    <w:rsid w:val="00613A98"/>
    <w:rsid w:val="00615FB2"/>
    <w:rsid w:val="00617BD1"/>
    <w:rsid w:val="00617CE8"/>
    <w:rsid w:val="00621D6A"/>
    <w:rsid w:val="006278A0"/>
    <w:rsid w:val="0063095F"/>
    <w:rsid w:val="00631CBD"/>
    <w:rsid w:val="0063274C"/>
    <w:rsid w:val="00634F17"/>
    <w:rsid w:val="00636ABE"/>
    <w:rsid w:val="0063704F"/>
    <w:rsid w:val="00646AC2"/>
    <w:rsid w:val="00650390"/>
    <w:rsid w:val="00653472"/>
    <w:rsid w:val="00654DAB"/>
    <w:rsid w:val="0066204A"/>
    <w:rsid w:val="006650DF"/>
    <w:rsid w:val="006661F2"/>
    <w:rsid w:val="00670E3C"/>
    <w:rsid w:val="00672670"/>
    <w:rsid w:val="00677F57"/>
    <w:rsid w:val="006801C2"/>
    <w:rsid w:val="00681088"/>
    <w:rsid w:val="00681E23"/>
    <w:rsid w:val="00687912"/>
    <w:rsid w:val="00690DB5"/>
    <w:rsid w:val="006949B2"/>
    <w:rsid w:val="0069577E"/>
    <w:rsid w:val="00695909"/>
    <w:rsid w:val="0069634B"/>
    <w:rsid w:val="00696623"/>
    <w:rsid w:val="006A04E9"/>
    <w:rsid w:val="006A21F3"/>
    <w:rsid w:val="006A4A03"/>
    <w:rsid w:val="006A7543"/>
    <w:rsid w:val="006B525F"/>
    <w:rsid w:val="006B5910"/>
    <w:rsid w:val="006B725C"/>
    <w:rsid w:val="006C273D"/>
    <w:rsid w:val="006C5C4F"/>
    <w:rsid w:val="006C6282"/>
    <w:rsid w:val="006C762A"/>
    <w:rsid w:val="006D5FF9"/>
    <w:rsid w:val="006E0772"/>
    <w:rsid w:val="006E0F86"/>
    <w:rsid w:val="006F0B15"/>
    <w:rsid w:val="006F0DCC"/>
    <w:rsid w:val="006F1942"/>
    <w:rsid w:val="00703DF9"/>
    <w:rsid w:val="007048EB"/>
    <w:rsid w:val="00704FBB"/>
    <w:rsid w:val="0070726A"/>
    <w:rsid w:val="0071226B"/>
    <w:rsid w:val="00717040"/>
    <w:rsid w:val="00746976"/>
    <w:rsid w:val="007622A7"/>
    <w:rsid w:val="007750A2"/>
    <w:rsid w:val="00780E05"/>
    <w:rsid w:val="007817D6"/>
    <w:rsid w:val="00781E1C"/>
    <w:rsid w:val="007865E1"/>
    <w:rsid w:val="00787912"/>
    <w:rsid w:val="0079177A"/>
    <w:rsid w:val="00794836"/>
    <w:rsid w:val="007948D5"/>
    <w:rsid w:val="007A15C9"/>
    <w:rsid w:val="007A6676"/>
    <w:rsid w:val="007B7FF5"/>
    <w:rsid w:val="007C1A37"/>
    <w:rsid w:val="007C3FC6"/>
    <w:rsid w:val="007D2CE9"/>
    <w:rsid w:val="007D4FED"/>
    <w:rsid w:val="007D56F3"/>
    <w:rsid w:val="007D69DA"/>
    <w:rsid w:val="007D70B1"/>
    <w:rsid w:val="007D7140"/>
    <w:rsid w:val="007E1CDB"/>
    <w:rsid w:val="007E408C"/>
    <w:rsid w:val="007E50BF"/>
    <w:rsid w:val="007E7E21"/>
    <w:rsid w:val="007F0460"/>
    <w:rsid w:val="007F0DA2"/>
    <w:rsid w:val="007F39CE"/>
    <w:rsid w:val="007F5E0D"/>
    <w:rsid w:val="00801085"/>
    <w:rsid w:val="00801A89"/>
    <w:rsid w:val="008072BA"/>
    <w:rsid w:val="00812138"/>
    <w:rsid w:val="008151F2"/>
    <w:rsid w:val="0081777A"/>
    <w:rsid w:val="008210E0"/>
    <w:rsid w:val="00824079"/>
    <w:rsid w:val="00824C1C"/>
    <w:rsid w:val="00831F0A"/>
    <w:rsid w:val="00833A78"/>
    <w:rsid w:val="00837803"/>
    <w:rsid w:val="0084585F"/>
    <w:rsid w:val="00853E53"/>
    <w:rsid w:val="0085535C"/>
    <w:rsid w:val="00864D76"/>
    <w:rsid w:val="008656C9"/>
    <w:rsid w:val="00867043"/>
    <w:rsid w:val="0086711C"/>
    <w:rsid w:val="00867535"/>
    <w:rsid w:val="00875C5B"/>
    <w:rsid w:val="00883A48"/>
    <w:rsid w:val="00883C5F"/>
    <w:rsid w:val="00891C7D"/>
    <w:rsid w:val="00892FA7"/>
    <w:rsid w:val="008A3301"/>
    <w:rsid w:val="008A4DF1"/>
    <w:rsid w:val="008A5636"/>
    <w:rsid w:val="008B125E"/>
    <w:rsid w:val="008B241C"/>
    <w:rsid w:val="008B408B"/>
    <w:rsid w:val="008B4F11"/>
    <w:rsid w:val="008C2362"/>
    <w:rsid w:val="008C3049"/>
    <w:rsid w:val="008D4AE9"/>
    <w:rsid w:val="008D5CF3"/>
    <w:rsid w:val="008D7D39"/>
    <w:rsid w:val="008E4574"/>
    <w:rsid w:val="008F4016"/>
    <w:rsid w:val="008F42FE"/>
    <w:rsid w:val="008F4A00"/>
    <w:rsid w:val="008F5402"/>
    <w:rsid w:val="008F5907"/>
    <w:rsid w:val="0090053A"/>
    <w:rsid w:val="00901C2A"/>
    <w:rsid w:val="009118C7"/>
    <w:rsid w:val="0091779F"/>
    <w:rsid w:val="00917BC8"/>
    <w:rsid w:val="009225B6"/>
    <w:rsid w:val="00925397"/>
    <w:rsid w:val="00933A21"/>
    <w:rsid w:val="00934C10"/>
    <w:rsid w:val="0093662A"/>
    <w:rsid w:val="0094060C"/>
    <w:rsid w:val="00941269"/>
    <w:rsid w:val="00942C4B"/>
    <w:rsid w:val="00944196"/>
    <w:rsid w:val="009441E3"/>
    <w:rsid w:val="0096002D"/>
    <w:rsid w:val="009606A5"/>
    <w:rsid w:val="00962F1F"/>
    <w:rsid w:val="00965304"/>
    <w:rsid w:val="00971293"/>
    <w:rsid w:val="00973A3B"/>
    <w:rsid w:val="00973E70"/>
    <w:rsid w:val="00983EAE"/>
    <w:rsid w:val="0098760B"/>
    <w:rsid w:val="00987ACA"/>
    <w:rsid w:val="009A11DD"/>
    <w:rsid w:val="009A5330"/>
    <w:rsid w:val="009A68D2"/>
    <w:rsid w:val="009B30AA"/>
    <w:rsid w:val="009B5217"/>
    <w:rsid w:val="009C48DE"/>
    <w:rsid w:val="009D5C72"/>
    <w:rsid w:val="009D60D9"/>
    <w:rsid w:val="009E1E1E"/>
    <w:rsid w:val="009E1F46"/>
    <w:rsid w:val="009E33E3"/>
    <w:rsid w:val="009E7548"/>
    <w:rsid w:val="009E7F16"/>
    <w:rsid w:val="009F4B38"/>
    <w:rsid w:val="009F5052"/>
    <w:rsid w:val="009F772F"/>
    <w:rsid w:val="00A03083"/>
    <w:rsid w:val="00A04C85"/>
    <w:rsid w:val="00A100F0"/>
    <w:rsid w:val="00A106CD"/>
    <w:rsid w:val="00A134F1"/>
    <w:rsid w:val="00A1392C"/>
    <w:rsid w:val="00A156E6"/>
    <w:rsid w:val="00A177C5"/>
    <w:rsid w:val="00A20E8C"/>
    <w:rsid w:val="00A22D3B"/>
    <w:rsid w:val="00A27D86"/>
    <w:rsid w:val="00A30A3D"/>
    <w:rsid w:val="00A325AE"/>
    <w:rsid w:val="00A33151"/>
    <w:rsid w:val="00A36970"/>
    <w:rsid w:val="00A41EB4"/>
    <w:rsid w:val="00A44BFF"/>
    <w:rsid w:val="00A501E3"/>
    <w:rsid w:val="00A50F0C"/>
    <w:rsid w:val="00A56441"/>
    <w:rsid w:val="00A61CF9"/>
    <w:rsid w:val="00A64B1E"/>
    <w:rsid w:val="00A65B7B"/>
    <w:rsid w:val="00A736DD"/>
    <w:rsid w:val="00A741E5"/>
    <w:rsid w:val="00A82869"/>
    <w:rsid w:val="00A8758C"/>
    <w:rsid w:val="00A963B6"/>
    <w:rsid w:val="00AA127E"/>
    <w:rsid w:val="00AA19AE"/>
    <w:rsid w:val="00AA423D"/>
    <w:rsid w:val="00AA6A95"/>
    <w:rsid w:val="00AB10DE"/>
    <w:rsid w:val="00AB3668"/>
    <w:rsid w:val="00AB5ED7"/>
    <w:rsid w:val="00AC0B4C"/>
    <w:rsid w:val="00AD08F2"/>
    <w:rsid w:val="00AD0AEE"/>
    <w:rsid w:val="00AD2A87"/>
    <w:rsid w:val="00AD49E3"/>
    <w:rsid w:val="00AD4B4F"/>
    <w:rsid w:val="00AE0CB7"/>
    <w:rsid w:val="00AE37ED"/>
    <w:rsid w:val="00AF0616"/>
    <w:rsid w:val="00AF0E28"/>
    <w:rsid w:val="00AF30A3"/>
    <w:rsid w:val="00AF6F9B"/>
    <w:rsid w:val="00B01409"/>
    <w:rsid w:val="00B0242E"/>
    <w:rsid w:val="00B10DBD"/>
    <w:rsid w:val="00B138EC"/>
    <w:rsid w:val="00B15629"/>
    <w:rsid w:val="00B2372C"/>
    <w:rsid w:val="00B317F8"/>
    <w:rsid w:val="00B32F70"/>
    <w:rsid w:val="00B373D0"/>
    <w:rsid w:val="00B43AAA"/>
    <w:rsid w:val="00B459FD"/>
    <w:rsid w:val="00B45C7E"/>
    <w:rsid w:val="00B510BE"/>
    <w:rsid w:val="00B53139"/>
    <w:rsid w:val="00B562CE"/>
    <w:rsid w:val="00B62DE2"/>
    <w:rsid w:val="00B64CF6"/>
    <w:rsid w:val="00B74417"/>
    <w:rsid w:val="00B77246"/>
    <w:rsid w:val="00B84EFE"/>
    <w:rsid w:val="00B866CD"/>
    <w:rsid w:val="00B93034"/>
    <w:rsid w:val="00B93A81"/>
    <w:rsid w:val="00B97C5D"/>
    <w:rsid w:val="00BA1290"/>
    <w:rsid w:val="00BA5237"/>
    <w:rsid w:val="00BA7ED4"/>
    <w:rsid w:val="00BB2792"/>
    <w:rsid w:val="00BB58FA"/>
    <w:rsid w:val="00BB76BF"/>
    <w:rsid w:val="00BC1AD1"/>
    <w:rsid w:val="00BC2379"/>
    <w:rsid w:val="00BC4A58"/>
    <w:rsid w:val="00BC613B"/>
    <w:rsid w:val="00BD51D9"/>
    <w:rsid w:val="00BD64E2"/>
    <w:rsid w:val="00BE4995"/>
    <w:rsid w:val="00BF0DAD"/>
    <w:rsid w:val="00BF429A"/>
    <w:rsid w:val="00BF62BE"/>
    <w:rsid w:val="00C0219B"/>
    <w:rsid w:val="00C07126"/>
    <w:rsid w:val="00C16853"/>
    <w:rsid w:val="00C2425C"/>
    <w:rsid w:val="00C263F0"/>
    <w:rsid w:val="00C33D41"/>
    <w:rsid w:val="00C40AFD"/>
    <w:rsid w:val="00C41E20"/>
    <w:rsid w:val="00C42E3E"/>
    <w:rsid w:val="00C51C13"/>
    <w:rsid w:val="00C525A5"/>
    <w:rsid w:val="00C5300F"/>
    <w:rsid w:val="00C54594"/>
    <w:rsid w:val="00C60F38"/>
    <w:rsid w:val="00C66CE0"/>
    <w:rsid w:val="00C71BED"/>
    <w:rsid w:val="00C737B2"/>
    <w:rsid w:val="00C81B53"/>
    <w:rsid w:val="00C82AD2"/>
    <w:rsid w:val="00C8632B"/>
    <w:rsid w:val="00C90C71"/>
    <w:rsid w:val="00C90FB6"/>
    <w:rsid w:val="00C9220E"/>
    <w:rsid w:val="00C932BD"/>
    <w:rsid w:val="00C93429"/>
    <w:rsid w:val="00CA16C5"/>
    <w:rsid w:val="00CA26DF"/>
    <w:rsid w:val="00CA415A"/>
    <w:rsid w:val="00CA7A35"/>
    <w:rsid w:val="00CB1536"/>
    <w:rsid w:val="00CB7FB8"/>
    <w:rsid w:val="00CC1F71"/>
    <w:rsid w:val="00CC3AAB"/>
    <w:rsid w:val="00CC4A06"/>
    <w:rsid w:val="00CC5588"/>
    <w:rsid w:val="00CC5EB3"/>
    <w:rsid w:val="00CD0E7B"/>
    <w:rsid w:val="00CD2ABD"/>
    <w:rsid w:val="00CD4024"/>
    <w:rsid w:val="00CD4617"/>
    <w:rsid w:val="00CD4855"/>
    <w:rsid w:val="00CD6F42"/>
    <w:rsid w:val="00CE6D43"/>
    <w:rsid w:val="00CE7888"/>
    <w:rsid w:val="00D0431C"/>
    <w:rsid w:val="00D10E1C"/>
    <w:rsid w:val="00D161A3"/>
    <w:rsid w:val="00D16734"/>
    <w:rsid w:val="00D22E49"/>
    <w:rsid w:val="00D23716"/>
    <w:rsid w:val="00D23748"/>
    <w:rsid w:val="00D25ED8"/>
    <w:rsid w:val="00D27F8F"/>
    <w:rsid w:val="00D316B8"/>
    <w:rsid w:val="00D31CFC"/>
    <w:rsid w:val="00D3255D"/>
    <w:rsid w:val="00D340C3"/>
    <w:rsid w:val="00D409CD"/>
    <w:rsid w:val="00D40CCF"/>
    <w:rsid w:val="00D423D4"/>
    <w:rsid w:val="00D42CAF"/>
    <w:rsid w:val="00D5310F"/>
    <w:rsid w:val="00D601EF"/>
    <w:rsid w:val="00D61533"/>
    <w:rsid w:val="00D62030"/>
    <w:rsid w:val="00D63B2F"/>
    <w:rsid w:val="00D70747"/>
    <w:rsid w:val="00D7261D"/>
    <w:rsid w:val="00D72BA5"/>
    <w:rsid w:val="00D755FC"/>
    <w:rsid w:val="00D76B6D"/>
    <w:rsid w:val="00D834DB"/>
    <w:rsid w:val="00D84D07"/>
    <w:rsid w:val="00D8526A"/>
    <w:rsid w:val="00D90E91"/>
    <w:rsid w:val="00D9541B"/>
    <w:rsid w:val="00DA5169"/>
    <w:rsid w:val="00DB60E1"/>
    <w:rsid w:val="00DB6E02"/>
    <w:rsid w:val="00DB7D4B"/>
    <w:rsid w:val="00DC1347"/>
    <w:rsid w:val="00DC39F1"/>
    <w:rsid w:val="00DC6F53"/>
    <w:rsid w:val="00DD577B"/>
    <w:rsid w:val="00DE0F3B"/>
    <w:rsid w:val="00DE4B35"/>
    <w:rsid w:val="00DF19C1"/>
    <w:rsid w:val="00DF54CA"/>
    <w:rsid w:val="00DF56C9"/>
    <w:rsid w:val="00DF5B64"/>
    <w:rsid w:val="00DF5E50"/>
    <w:rsid w:val="00E02794"/>
    <w:rsid w:val="00E028B3"/>
    <w:rsid w:val="00E043E3"/>
    <w:rsid w:val="00E0505B"/>
    <w:rsid w:val="00E11280"/>
    <w:rsid w:val="00E12359"/>
    <w:rsid w:val="00E14635"/>
    <w:rsid w:val="00E152FF"/>
    <w:rsid w:val="00E15737"/>
    <w:rsid w:val="00E2461B"/>
    <w:rsid w:val="00E24886"/>
    <w:rsid w:val="00E276FB"/>
    <w:rsid w:val="00E32595"/>
    <w:rsid w:val="00E32DC6"/>
    <w:rsid w:val="00E33A74"/>
    <w:rsid w:val="00E4030B"/>
    <w:rsid w:val="00E41D56"/>
    <w:rsid w:val="00E457DF"/>
    <w:rsid w:val="00E46642"/>
    <w:rsid w:val="00E5139A"/>
    <w:rsid w:val="00E5413D"/>
    <w:rsid w:val="00E5793A"/>
    <w:rsid w:val="00E57977"/>
    <w:rsid w:val="00E635D7"/>
    <w:rsid w:val="00E70576"/>
    <w:rsid w:val="00E711E9"/>
    <w:rsid w:val="00E71DED"/>
    <w:rsid w:val="00E769E9"/>
    <w:rsid w:val="00E83954"/>
    <w:rsid w:val="00E86506"/>
    <w:rsid w:val="00E91730"/>
    <w:rsid w:val="00E96F04"/>
    <w:rsid w:val="00E97AEC"/>
    <w:rsid w:val="00EA20FE"/>
    <w:rsid w:val="00EB491E"/>
    <w:rsid w:val="00EB6307"/>
    <w:rsid w:val="00EB681B"/>
    <w:rsid w:val="00EC0811"/>
    <w:rsid w:val="00EC4FAD"/>
    <w:rsid w:val="00ED20CC"/>
    <w:rsid w:val="00EE262D"/>
    <w:rsid w:val="00EE3CFA"/>
    <w:rsid w:val="00EE411F"/>
    <w:rsid w:val="00EE69E4"/>
    <w:rsid w:val="00EE6B83"/>
    <w:rsid w:val="00EF2A7F"/>
    <w:rsid w:val="00EF439C"/>
    <w:rsid w:val="00EF7E90"/>
    <w:rsid w:val="00F002B6"/>
    <w:rsid w:val="00F045A8"/>
    <w:rsid w:val="00F10AFE"/>
    <w:rsid w:val="00F10E32"/>
    <w:rsid w:val="00F12403"/>
    <w:rsid w:val="00F15C6C"/>
    <w:rsid w:val="00F17173"/>
    <w:rsid w:val="00F200BE"/>
    <w:rsid w:val="00F20987"/>
    <w:rsid w:val="00F224DC"/>
    <w:rsid w:val="00F2687F"/>
    <w:rsid w:val="00F26A5E"/>
    <w:rsid w:val="00F27F29"/>
    <w:rsid w:val="00F32D54"/>
    <w:rsid w:val="00F35A8D"/>
    <w:rsid w:val="00F36C54"/>
    <w:rsid w:val="00F37F42"/>
    <w:rsid w:val="00F418EA"/>
    <w:rsid w:val="00F41A29"/>
    <w:rsid w:val="00F44B82"/>
    <w:rsid w:val="00F44C1C"/>
    <w:rsid w:val="00F518DF"/>
    <w:rsid w:val="00F51EAD"/>
    <w:rsid w:val="00F52387"/>
    <w:rsid w:val="00F544DB"/>
    <w:rsid w:val="00F56D91"/>
    <w:rsid w:val="00F648EA"/>
    <w:rsid w:val="00F6502E"/>
    <w:rsid w:val="00F65663"/>
    <w:rsid w:val="00F669E6"/>
    <w:rsid w:val="00F75147"/>
    <w:rsid w:val="00F756C0"/>
    <w:rsid w:val="00F75A40"/>
    <w:rsid w:val="00F77637"/>
    <w:rsid w:val="00F8435D"/>
    <w:rsid w:val="00F862E5"/>
    <w:rsid w:val="00F87DD0"/>
    <w:rsid w:val="00F90D1A"/>
    <w:rsid w:val="00F93360"/>
    <w:rsid w:val="00F93FE4"/>
    <w:rsid w:val="00F97E4E"/>
    <w:rsid w:val="00FA0022"/>
    <w:rsid w:val="00FA1A40"/>
    <w:rsid w:val="00FA217B"/>
    <w:rsid w:val="00FA5B3A"/>
    <w:rsid w:val="00FB0BC5"/>
    <w:rsid w:val="00FB0BCC"/>
    <w:rsid w:val="00FC0FE5"/>
    <w:rsid w:val="00FD1ABC"/>
    <w:rsid w:val="00FD7DDF"/>
    <w:rsid w:val="00FE1D49"/>
    <w:rsid w:val="00FE4C92"/>
    <w:rsid w:val="00FF0C13"/>
    <w:rsid w:val="00FF0FAA"/>
    <w:rsid w:val="00FF3759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en-GB" w:bidi="en-GB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 w:qFormat="1"/>
    <w:lsdException w:name="annotation text" w:semiHidden="1" w:uiPriority="0" w:unhideWhenUsed="1"/>
    <w:lsdException w:name="header" w:locked="1" w:uiPriority="0" w:qFormat="1"/>
    <w:lsdException w:name="footer" w:locked="1" w:uiPriority="0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CF9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Cs w:val="20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A61CF9"/>
    <w:pPr>
      <w:numPr>
        <w:numId w:val="1"/>
      </w:numPr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A61CF9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A61CF9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A61CF9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61CF9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A61CF9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61CF9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61CF9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A61CF9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CB1536"/>
    <w:rPr>
      <w:kern w:val="28"/>
      <w:szCs w:val="20"/>
      <w:lang w:eastAsia="en-US" w:bidi="ar-SA"/>
    </w:rPr>
  </w:style>
  <w:style w:type="character" w:customStyle="1" w:styleId="Heading2Char">
    <w:name w:val="Heading 2 Char"/>
    <w:basedOn w:val="DefaultParagraphFont"/>
    <w:link w:val="Heading2"/>
    <w:locked/>
    <w:rsid w:val="00CB1536"/>
    <w:rPr>
      <w:szCs w:val="20"/>
      <w:lang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CB1536"/>
    <w:rPr>
      <w:szCs w:val="20"/>
      <w:lang w:eastAsia="en-US" w:bidi="ar-SA"/>
    </w:rPr>
  </w:style>
  <w:style w:type="character" w:customStyle="1" w:styleId="Heading4Char">
    <w:name w:val="Heading 4 Char"/>
    <w:basedOn w:val="DefaultParagraphFont"/>
    <w:link w:val="Heading4"/>
    <w:locked/>
    <w:rsid w:val="00CB1536"/>
    <w:rPr>
      <w:szCs w:val="20"/>
      <w:lang w:eastAsia="en-US" w:bidi="ar-SA"/>
    </w:rPr>
  </w:style>
  <w:style w:type="character" w:customStyle="1" w:styleId="Heading5Char">
    <w:name w:val="Heading 5 Char"/>
    <w:basedOn w:val="DefaultParagraphFont"/>
    <w:link w:val="Heading5"/>
    <w:locked/>
    <w:rsid w:val="00CB1536"/>
    <w:rPr>
      <w:szCs w:val="20"/>
      <w:lang w:eastAsia="en-US" w:bidi="ar-SA"/>
    </w:rPr>
  </w:style>
  <w:style w:type="character" w:customStyle="1" w:styleId="Heading6Char">
    <w:name w:val="Heading 6 Char"/>
    <w:basedOn w:val="DefaultParagraphFont"/>
    <w:link w:val="Heading6"/>
    <w:locked/>
    <w:rsid w:val="00CB1536"/>
    <w:rPr>
      <w:szCs w:val="20"/>
      <w:lang w:eastAsia="en-US" w:bidi="ar-SA"/>
    </w:rPr>
  </w:style>
  <w:style w:type="character" w:customStyle="1" w:styleId="Heading7Char">
    <w:name w:val="Heading 7 Char"/>
    <w:basedOn w:val="DefaultParagraphFont"/>
    <w:link w:val="Heading7"/>
    <w:locked/>
    <w:rsid w:val="00CB1536"/>
    <w:rPr>
      <w:szCs w:val="20"/>
      <w:lang w:eastAsia="en-US" w:bidi="ar-SA"/>
    </w:rPr>
  </w:style>
  <w:style w:type="character" w:customStyle="1" w:styleId="Heading8Char">
    <w:name w:val="Heading 8 Char"/>
    <w:basedOn w:val="DefaultParagraphFont"/>
    <w:link w:val="Heading8"/>
    <w:locked/>
    <w:rsid w:val="00CB1536"/>
    <w:rPr>
      <w:szCs w:val="20"/>
      <w:lang w:eastAsia="en-US" w:bidi="ar-SA"/>
    </w:rPr>
  </w:style>
  <w:style w:type="character" w:customStyle="1" w:styleId="Heading9Char">
    <w:name w:val="Heading 9 Char"/>
    <w:basedOn w:val="DefaultParagraphFont"/>
    <w:link w:val="Heading9"/>
    <w:locked/>
    <w:rsid w:val="00CB1536"/>
    <w:rPr>
      <w:szCs w:val="20"/>
      <w:lang w:eastAsia="en-US" w:bidi="ar-SA"/>
    </w:rPr>
  </w:style>
  <w:style w:type="paragraph" w:styleId="Footer">
    <w:name w:val="footer"/>
    <w:basedOn w:val="Normal"/>
    <w:link w:val="FooterChar"/>
    <w:rsid w:val="00A61CF9"/>
  </w:style>
  <w:style w:type="character" w:customStyle="1" w:styleId="FooterChar">
    <w:name w:val="Footer Char"/>
    <w:basedOn w:val="DefaultParagraphFont"/>
    <w:link w:val="Footer"/>
    <w:locked/>
    <w:rsid w:val="00CB1536"/>
    <w:rPr>
      <w:szCs w:val="20"/>
      <w:lang w:eastAsia="en-US" w:bidi="ar-SA"/>
    </w:rPr>
  </w:style>
  <w:style w:type="paragraph" w:styleId="FootnoteText">
    <w:name w:val="footnote text"/>
    <w:basedOn w:val="Normal"/>
    <w:link w:val="FootnoteTextChar"/>
    <w:rsid w:val="00A61CF9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locked/>
    <w:rsid w:val="00CB1536"/>
    <w:rPr>
      <w:sz w:val="16"/>
      <w:szCs w:val="20"/>
      <w:lang w:eastAsia="en-US" w:bidi="ar-SA"/>
    </w:rPr>
  </w:style>
  <w:style w:type="paragraph" w:styleId="Header">
    <w:name w:val="header"/>
    <w:basedOn w:val="Normal"/>
    <w:link w:val="HeaderChar"/>
    <w:rsid w:val="00A61CF9"/>
  </w:style>
  <w:style w:type="character" w:customStyle="1" w:styleId="HeaderChar">
    <w:name w:val="Header Char"/>
    <w:basedOn w:val="DefaultParagraphFont"/>
    <w:link w:val="Header"/>
    <w:locked/>
    <w:rsid w:val="00CB1536"/>
    <w:rPr>
      <w:szCs w:val="20"/>
      <w:lang w:eastAsia="en-US" w:bidi="ar-SA"/>
    </w:rPr>
  </w:style>
  <w:style w:type="character" w:styleId="Hyperlink">
    <w:name w:val="Hyperlink"/>
    <w:basedOn w:val="DefaultParagraphFont"/>
    <w:uiPriority w:val="99"/>
    <w:rsid w:val="00934C10"/>
    <w:rPr>
      <w:color w:val="0000FF"/>
      <w:u w:val="single"/>
    </w:rPr>
  </w:style>
  <w:style w:type="character" w:styleId="FootnoteReference">
    <w:name w:val="footnote reference"/>
    <w:basedOn w:val="DefaultParagraphFont"/>
    <w:rsid w:val="00A61CF9"/>
    <w:rPr>
      <w:sz w:val="24"/>
      <w:vertAlign w:val="superscript"/>
    </w:rPr>
  </w:style>
  <w:style w:type="character" w:styleId="FollowedHyperlink">
    <w:name w:val="FollowedHyperlink"/>
    <w:basedOn w:val="DefaultParagraphFont"/>
    <w:uiPriority w:val="99"/>
    <w:rsid w:val="00934C10"/>
    <w:rPr>
      <w:color w:val="800080"/>
      <w:u w:val="single"/>
    </w:rPr>
  </w:style>
  <w:style w:type="paragraph" w:customStyle="1" w:styleId="LOGO">
    <w:name w:val="LOGO"/>
    <w:basedOn w:val="Normal"/>
    <w:uiPriority w:val="99"/>
    <w:rsid w:val="00934C10"/>
    <w:pPr>
      <w:jc w:val="center"/>
    </w:pPr>
    <w:rPr>
      <w:rFonts w:ascii="Arial" w:hAnsi="Arial" w:cs="Arial"/>
      <w:b/>
      <w:bCs/>
      <w:i/>
      <w:iCs/>
      <w:sz w:val="20"/>
    </w:rPr>
  </w:style>
  <w:style w:type="paragraph" w:styleId="Revision">
    <w:name w:val="Revision"/>
    <w:hidden/>
    <w:uiPriority w:val="99"/>
    <w:semiHidden/>
    <w:rsid w:val="00B2372C"/>
  </w:style>
  <w:style w:type="paragraph" w:styleId="BalloonText">
    <w:name w:val="Balloon Text"/>
    <w:basedOn w:val="Normal"/>
    <w:link w:val="BalloonTextChar"/>
    <w:uiPriority w:val="99"/>
    <w:semiHidden/>
    <w:unhideWhenUsed/>
    <w:rsid w:val="002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6C2"/>
    <w:rPr>
      <w:rFonts w:ascii="Tahoma" w:hAnsi="Tahoma" w:cs="Tahoma"/>
      <w:sz w:val="16"/>
      <w:szCs w:val="1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en-GB" w:bidi="en-GB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 w:qFormat="1"/>
    <w:lsdException w:name="annotation text" w:semiHidden="1" w:uiPriority="0" w:unhideWhenUsed="1"/>
    <w:lsdException w:name="header" w:locked="1" w:uiPriority="0" w:qFormat="1"/>
    <w:lsdException w:name="footer" w:locked="1" w:uiPriority="0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CF9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Cs w:val="20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A61CF9"/>
    <w:pPr>
      <w:numPr>
        <w:numId w:val="1"/>
      </w:numPr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A61CF9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A61CF9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A61CF9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61CF9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A61CF9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61CF9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61CF9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A61CF9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CB1536"/>
    <w:rPr>
      <w:kern w:val="28"/>
      <w:szCs w:val="20"/>
      <w:lang w:eastAsia="en-US" w:bidi="ar-SA"/>
    </w:rPr>
  </w:style>
  <w:style w:type="character" w:customStyle="1" w:styleId="Heading2Char">
    <w:name w:val="Heading 2 Char"/>
    <w:basedOn w:val="DefaultParagraphFont"/>
    <w:link w:val="Heading2"/>
    <w:locked/>
    <w:rsid w:val="00CB1536"/>
    <w:rPr>
      <w:szCs w:val="20"/>
      <w:lang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CB1536"/>
    <w:rPr>
      <w:szCs w:val="20"/>
      <w:lang w:eastAsia="en-US" w:bidi="ar-SA"/>
    </w:rPr>
  </w:style>
  <w:style w:type="character" w:customStyle="1" w:styleId="Heading4Char">
    <w:name w:val="Heading 4 Char"/>
    <w:basedOn w:val="DefaultParagraphFont"/>
    <w:link w:val="Heading4"/>
    <w:locked/>
    <w:rsid w:val="00CB1536"/>
    <w:rPr>
      <w:szCs w:val="20"/>
      <w:lang w:eastAsia="en-US" w:bidi="ar-SA"/>
    </w:rPr>
  </w:style>
  <w:style w:type="character" w:customStyle="1" w:styleId="Heading5Char">
    <w:name w:val="Heading 5 Char"/>
    <w:basedOn w:val="DefaultParagraphFont"/>
    <w:link w:val="Heading5"/>
    <w:locked/>
    <w:rsid w:val="00CB1536"/>
    <w:rPr>
      <w:szCs w:val="20"/>
      <w:lang w:eastAsia="en-US" w:bidi="ar-SA"/>
    </w:rPr>
  </w:style>
  <w:style w:type="character" w:customStyle="1" w:styleId="Heading6Char">
    <w:name w:val="Heading 6 Char"/>
    <w:basedOn w:val="DefaultParagraphFont"/>
    <w:link w:val="Heading6"/>
    <w:locked/>
    <w:rsid w:val="00CB1536"/>
    <w:rPr>
      <w:szCs w:val="20"/>
      <w:lang w:eastAsia="en-US" w:bidi="ar-SA"/>
    </w:rPr>
  </w:style>
  <w:style w:type="character" w:customStyle="1" w:styleId="Heading7Char">
    <w:name w:val="Heading 7 Char"/>
    <w:basedOn w:val="DefaultParagraphFont"/>
    <w:link w:val="Heading7"/>
    <w:locked/>
    <w:rsid w:val="00CB1536"/>
    <w:rPr>
      <w:szCs w:val="20"/>
      <w:lang w:eastAsia="en-US" w:bidi="ar-SA"/>
    </w:rPr>
  </w:style>
  <w:style w:type="character" w:customStyle="1" w:styleId="Heading8Char">
    <w:name w:val="Heading 8 Char"/>
    <w:basedOn w:val="DefaultParagraphFont"/>
    <w:link w:val="Heading8"/>
    <w:locked/>
    <w:rsid w:val="00CB1536"/>
    <w:rPr>
      <w:szCs w:val="20"/>
      <w:lang w:eastAsia="en-US" w:bidi="ar-SA"/>
    </w:rPr>
  </w:style>
  <w:style w:type="character" w:customStyle="1" w:styleId="Heading9Char">
    <w:name w:val="Heading 9 Char"/>
    <w:basedOn w:val="DefaultParagraphFont"/>
    <w:link w:val="Heading9"/>
    <w:locked/>
    <w:rsid w:val="00CB1536"/>
    <w:rPr>
      <w:szCs w:val="20"/>
      <w:lang w:eastAsia="en-US" w:bidi="ar-SA"/>
    </w:rPr>
  </w:style>
  <w:style w:type="paragraph" w:styleId="Footer">
    <w:name w:val="footer"/>
    <w:basedOn w:val="Normal"/>
    <w:link w:val="FooterChar"/>
    <w:rsid w:val="00A61CF9"/>
  </w:style>
  <w:style w:type="character" w:customStyle="1" w:styleId="FooterChar">
    <w:name w:val="Footer Char"/>
    <w:basedOn w:val="DefaultParagraphFont"/>
    <w:link w:val="Footer"/>
    <w:locked/>
    <w:rsid w:val="00CB1536"/>
    <w:rPr>
      <w:szCs w:val="20"/>
      <w:lang w:eastAsia="en-US" w:bidi="ar-SA"/>
    </w:rPr>
  </w:style>
  <w:style w:type="paragraph" w:styleId="FootnoteText">
    <w:name w:val="footnote text"/>
    <w:basedOn w:val="Normal"/>
    <w:link w:val="FootnoteTextChar"/>
    <w:rsid w:val="00A61CF9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locked/>
    <w:rsid w:val="00CB1536"/>
    <w:rPr>
      <w:sz w:val="16"/>
      <w:szCs w:val="20"/>
      <w:lang w:eastAsia="en-US" w:bidi="ar-SA"/>
    </w:rPr>
  </w:style>
  <w:style w:type="paragraph" w:styleId="Header">
    <w:name w:val="header"/>
    <w:basedOn w:val="Normal"/>
    <w:link w:val="HeaderChar"/>
    <w:rsid w:val="00A61CF9"/>
  </w:style>
  <w:style w:type="character" w:customStyle="1" w:styleId="HeaderChar">
    <w:name w:val="Header Char"/>
    <w:basedOn w:val="DefaultParagraphFont"/>
    <w:link w:val="Header"/>
    <w:locked/>
    <w:rsid w:val="00CB1536"/>
    <w:rPr>
      <w:szCs w:val="20"/>
      <w:lang w:eastAsia="en-US" w:bidi="ar-SA"/>
    </w:rPr>
  </w:style>
  <w:style w:type="character" w:styleId="Hyperlink">
    <w:name w:val="Hyperlink"/>
    <w:basedOn w:val="DefaultParagraphFont"/>
    <w:uiPriority w:val="99"/>
    <w:rsid w:val="00934C10"/>
    <w:rPr>
      <w:color w:val="0000FF"/>
      <w:u w:val="single"/>
    </w:rPr>
  </w:style>
  <w:style w:type="character" w:styleId="FootnoteReference">
    <w:name w:val="footnote reference"/>
    <w:basedOn w:val="DefaultParagraphFont"/>
    <w:rsid w:val="00A61CF9"/>
    <w:rPr>
      <w:sz w:val="24"/>
      <w:vertAlign w:val="superscript"/>
    </w:rPr>
  </w:style>
  <w:style w:type="character" w:styleId="FollowedHyperlink">
    <w:name w:val="FollowedHyperlink"/>
    <w:basedOn w:val="DefaultParagraphFont"/>
    <w:uiPriority w:val="99"/>
    <w:rsid w:val="00934C10"/>
    <w:rPr>
      <w:color w:val="800080"/>
      <w:u w:val="single"/>
    </w:rPr>
  </w:style>
  <w:style w:type="paragraph" w:customStyle="1" w:styleId="LOGO">
    <w:name w:val="LOGO"/>
    <w:basedOn w:val="Normal"/>
    <w:uiPriority w:val="99"/>
    <w:rsid w:val="00934C10"/>
    <w:pPr>
      <w:jc w:val="center"/>
    </w:pPr>
    <w:rPr>
      <w:rFonts w:ascii="Arial" w:hAnsi="Arial" w:cs="Arial"/>
      <w:b/>
      <w:bCs/>
      <w:i/>
      <w:iCs/>
      <w:sz w:val="20"/>
    </w:rPr>
  </w:style>
  <w:style w:type="paragraph" w:styleId="Revision">
    <w:name w:val="Revision"/>
    <w:hidden/>
    <w:uiPriority w:val="99"/>
    <w:semiHidden/>
    <w:rsid w:val="00B2372C"/>
  </w:style>
  <w:style w:type="paragraph" w:styleId="BalloonText">
    <w:name w:val="Balloon Text"/>
    <w:basedOn w:val="Normal"/>
    <w:link w:val="BalloonTextChar"/>
    <w:uiPriority w:val="99"/>
    <w:semiHidden/>
    <w:unhideWhenUsed/>
    <w:rsid w:val="002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6C2"/>
    <w:rPr>
      <w:rFonts w:ascii="Tahoma" w:hAnsi="Tahoma" w:cs="Tahoma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oter" Target="footer5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valeria.atzori@eesc.europa.eu" TargetMode="Externa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3" Type="http://schemas.openxmlformats.org/officeDocument/2006/relationships/hyperlink" Target="http://edf-feph.org/other-publications" TargetMode="External"/><Relationship Id="rId18" Type="http://schemas.openxmlformats.org/officeDocument/2006/relationships/hyperlink" Target="http://tbinternet.ohchr.org/_layouts/treatybodyexternal/Download.aspx?symbolno=CRPD/C/EU/CO/1&amp;Lang=en" TargetMode="External"/><Relationship Id="rId26" Type="http://schemas.openxmlformats.org/officeDocument/2006/relationships/hyperlink" Target="http://www.edf-feph.org/other-publications" TargetMode="External"/><Relationship Id="rId39" Type="http://schemas.openxmlformats.org/officeDocument/2006/relationships/hyperlink" Target="http://tbinternet.ohchr.org/_layouts/treatybodyexternal/Download.aspx?symbolno=CRPD/C/GC/3&amp;Lang=en" TargetMode="External"/><Relationship Id="rId3" Type="http://schemas.openxmlformats.org/officeDocument/2006/relationships/hyperlink" Target="https://www.un.org/development/desa/disabilities/convention-on-the-rights-of-persons-with-disabilities.html" TargetMode="External"/><Relationship Id="rId21" Type="http://schemas.openxmlformats.org/officeDocument/2006/relationships/hyperlink" Target="http://www.europarl.europa.eu/sides/getDoc.do?pubRef=-//EP//TEXT+REPORT+A7-2013-0329+0+DOC+XML+V0//PL" TargetMode="External"/><Relationship Id="rId34" Type="http://schemas.openxmlformats.org/officeDocument/2006/relationships/hyperlink" Target="http://tbinternet.ohchr.org/_layouts/treatybodyexternal/Download.aspx?symbolno=CRPD/C/GC/3&amp;Lang=en" TargetMode="External"/><Relationship Id="rId42" Type="http://schemas.openxmlformats.org/officeDocument/2006/relationships/hyperlink" Target="http://www.europarl.europa.eu/sides/getDoc.do?pubRef=-//EP//TEXT+REPORT+A7-2013-0329+0+DOC+XML+V0//PL" TargetMode="External"/><Relationship Id="rId47" Type="http://schemas.openxmlformats.org/officeDocument/2006/relationships/hyperlink" Target="http://www.edf-feph.org/other-publications" TargetMode="External"/><Relationship Id="rId50" Type="http://schemas.openxmlformats.org/officeDocument/2006/relationships/hyperlink" Target="http://www.edf-feph.org/sites/default/files/2015_03_04_edf_alternative_report_final_accessible.pdf" TargetMode="External"/><Relationship Id="rId7" Type="http://schemas.openxmlformats.org/officeDocument/2006/relationships/hyperlink" Target="http://tbinternet.ohchr.org/_layouts/treatybodyexternal/Download.aspx?symbolno=CRPD/C/EU/CO/1&amp;Lang=en" TargetMode="External"/><Relationship Id="rId12" Type="http://schemas.openxmlformats.org/officeDocument/2006/relationships/hyperlink" Target="http://edf-feph.org/other-publications" TargetMode="External"/><Relationship Id="rId17" Type="http://schemas.openxmlformats.org/officeDocument/2006/relationships/hyperlink" Target="http://www.europarl.europa.eu/sides/getDoc.do?pubRef=-//EP//TEXT+REPORT+A7-2013-0329+0+DOC+XML+V0//PL" TargetMode="External"/><Relationship Id="rId25" Type="http://schemas.openxmlformats.org/officeDocument/2006/relationships/hyperlink" Target="http://tbinternet.ohchr.org/_layouts/treatybodyexternal/Download.aspx?symbolno=CRPD/C/GC/3&amp;Lang=en" TargetMode="External"/><Relationship Id="rId33" Type="http://schemas.openxmlformats.org/officeDocument/2006/relationships/hyperlink" Target="http://www.edf-feph.org/sites/default/files/edf_forced-sterilisation_8-accessible_5.pdf" TargetMode="External"/><Relationship Id="rId38" Type="http://schemas.openxmlformats.org/officeDocument/2006/relationships/hyperlink" Target="http://www.edf-feph.org/other-publications" TargetMode="External"/><Relationship Id="rId46" Type="http://schemas.openxmlformats.org/officeDocument/2006/relationships/hyperlink" Target="http://www.europarl.europa.eu/sides/getDoc.do?pubRef=-//EP//TEXT+REPORT+A7-2013-0329+0+DOC+XML+V0//PL" TargetMode="External"/><Relationship Id="rId2" Type="http://schemas.openxmlformats.org/officeDocument/2006/relationships/hyperlink" Target="http://www.edf-feph.org/sites/default/files/2015_03_04_edf_alternative_report_final_accessible.pdf" TargetMode="External"/><Relationship Id="rId16" Type="http://schemas.openxmlformats.org/officeDocument/2006/relationships/hyperlink" Target="http://tbinternet.ohchr.org/_layouts/treatybodyexternal/Download.aspx?symbolno=CRPD/C/EU/CO/1&amp;Lang=en" TargetMode="External"/><Relationship Id="rId20" Type="http://schemas.openxmlformats.org/officeDocument/2006/relationships/hyperlink" Target="http://edf-feph.org/other-publications" TargetMode="External"/><Relationship Id="rId29" Type="http://schemas.openxmlformats.org/officeDocument/2006/relationships/hyperlink" Target="http://www.google.fr/url?sa=t&amp;rct=j&amp;q=&amp;esrc=s&amp;source=web&amp;cd=3&amp;ved=0ahUKEwjJhI-I2aDbAhXHUlAKHVZsARgQFghAMAI&amp;url=http://fra.europa.eu/sites/default/files/fra_uploads/fra-2014-vaw-survey-main-results-apr14_en.pdf&amp;usg=AOvVaw2NQti55X76xV7JsgSo8lnR" TargetMode="External"/><Relationship Id="rId41" Type="http://schemas.openxmlformats.org/officeDocument/2006/relationships/hyperlink" Target="http://www.edf-feph.org/sites/default/files/2015_03_04_edf_alternative_report_final_accessible.pdf" TargetMode="External"/><Relationship Id="rId1" Type="http://schemas.openxmlformats.org/officeDocument/2006/relationships/hyperlink" Target="http://tbinternet.ohchr.org/_layouts/treatybodyexternal/Download.aspx?symbolno=CRPD/C/GC/3&amp;Lang=en" TargetMode="External"/><Relationship Id="rId6" Type="http://schemas.openxmlformats.org/officeDocument/2006/relationships/hyperlink" Target="http://tbinternet.ohchr.org/_layouts/treatybodyexternal/Download.aspx?symbolno=CRPD/C/EU/CO/1&amp;Lang=en" TargetMode="External"/><Relationship Id="rId11" Type="http://schemas.openxmlformats.org/officeDocument/2006/relationships/hyperlink" Target="http://www.edf-feph.org/sites/default/files/edf_forced-sterilisation_8-accessible_5.pdf" TargetMode="External"/><Relationship Id="rId24" Type="http://schemas.openxmlformats.org/officeDocument/2006/relationships/hyperlink" Target="http://www.edf-feph.org/other-publications" TargetMode="External"/><Relationship Id="rId32" Type="http://schemas.openxmlformats.org/officeDocument/2006/relationships/hyperlink" Target="http://tbinternet.ohchr.org/_layouts/treatybodyexternal/Download.aspx?symbolno=CRPD/C/EU/CO/1&amp;Lang=en" TargetMode="External"/><Relationship Id="rId37" Type="http://schemas.openxmlformats.org/officeDocument/2006/relationships/hyperlink" Target="http://tbinternet.ohchr.org/_layouts/treatybodyexternal/Download.aspx?symbolno=CRPD/C/GC/3&amp;Lang=en" TargetMode="External"/><Relationship Id="rId40" Type="http://schemas.openxmlformats.org/officeDocument/2006/relationships/hyperlink" Target="http://www.edf-feph.org/other-publications" TargetMode="External"/><Relationship Id="rId45" Type="http://schemas.openxmlformats.org/officeDocument/2006/relationships/hyperlink" Target="http://www.europarl.europa.eu/sides/getDoc.do?pubRef=-//EP//TEXT+REPORT+A7-2013-0329+0+DOC+XML+V0//PL" TargetMode="External"/><Relationship Id="rId5" Type="http://schemas.openxmlformats.org/officeDocument/2006/relationships/hyperlink" Target="http://www.europarl.europa.eu/sides/getDoc.do?pubRef=-//EP//TEXT+REPORT+A7-2013-0329+0+DOC+XML+V0//PL" TargetMode="External"/><Relationship Id="rId15" Type="http://schemas.openxmlformats.org/officeDocument/2006/relationships/hyperlink" Target="https://www.un.org/development/desa/disabilities/convention-on-the-rights-of-persons-with-disabilities.html" TargetMode="External"/><Relationship Id="rId23" Type="http://schemas.openxmlformats.org/officeDocument/2006/relationships/hyperlink" Target="http://tbinternet.ohchr.org/_layouts/treatybodyexternal/Download.aspx?symbolno=CRPD/C/GC/3&amp;Lang=en" TargetMode="External"/><Relationship Id="rId28" Type="http://schemas.openxmlformats.org/officeDocument/2006/relationships/hyperlink" Target="http://tbinternet.ohchr.org/_layouts/treatybodyexternal/Download.aspx?symbolno=CRPD/C/GC/3&amp;Lang=en" TargetMode="External"/><Relationship Id="rId36" Type="http://schemas.openxmlformats.org/officeDocument/2006/relationships/hyperlink" Target="http://www.edf-feph.org/sites/default/files/edf_forced-sterilisation_8-accessible_5.pdf" TargetMode="External"/><Relationship Id="rId49" Type="http://schemas.openxmlformats.org/officeDocument/2006/relationships/hyperlink" Target="http://www.europarl.europa.eu/sides/getDoc.do?pubRef=-//EP//TEXT+REPORT+A7-2013-0329+0+DOC+XML+V0//PL" TargetMode="External"/><Relationship Id="rId10" Type="http://schemas.openxmlformats.org/officeDocument/2006/relationships/hyperlink" Target="http://tbinternet.ohchr.org/_layouts/treatybodyexternal/Download.aspx?symbolno=CRPD/C/EU/CO/1&amp;Lang=en" TargetMode="External"/><Relationship Id="rId19" Type="http://schemas.openxmlformats.org/officeDocument/2006/relationships/hyperlink" Target="http://tbinternet.ohchr.org/_layouts/treatybodyexternal/Download.aspx?symbolno=CRPD/C/GC/3&amp;Lang=en" TargetMode="External"/><Relationship Id="rId31" Type="http://schemas.openxmlformats.org/officeDocument/2006/relationships/hyperlink" Target="http://www.edf-feph.org/other-publications" TargetMode="External"/><Relationship Id="rId44" Type="http://schemas.openxmlformats.org/officeDocument/2006/relationships/hyperlink" Target="http://www.edf-feph.org/other-publications" TargetMode="External"/><Relationship Id="rId4" Type="http://schemas.openxmlformats.org/officeDocument/2006/relationships/hyperlink" Target="http://tbinternet.ohchr.org/_layouts/treatybodyexternal/Download.aspx?symbolno=CRPD/C/EU/CO/1&amp;Lang=en" TargetMode="External"/><Relationship Id="rId9" Type="http://schemas.openxmlformats.org/officeDocument/2006/relationships/hyperlink" Target="http://www.europarl.europa.eu/sides/getDoc.do?pubRef=-//EP//TEXT+REPORT+A7-2013-0329+0+DOC+XML+V0//PL" TargetMode="External"/><Relationship Id="rId14" Type="http://schemas.openxmlformats.org/officeDocument/2006/relationships/hyperlink" Target="http://www.europarl.europa.eu/sides/getDoc.do?pubRef=-//EP//TEXT+REPORT+A7-2013-0329+0+DOC+XML+V0//PL" TargetMode="External"/><Relationship Id="rId22" Type="http://schemas.openxmlformats.org/officeDocument/2006/relationships/hyperlink" Target="http://www.europarl.europa.eu/sides/getDoc.do?pubRef=-//EP//TEXT+REPORT+A7-2013-0329+0+DOC+XML+V0//PL" TargetMode="External"/><Relationship Id="rId27" Type="http://schemas.openxmlformats.org/officeDocument/2006/relationships/hyperlink" Target="http://tbinternet.ohchr.org/_layouts/treatybodyexternal/Download.aspx?symbolno=CRPD/C/EU/CO/1&amp;Lang=en" TargetMode="External"/><Relationship Id="rId30" Type="http://schemas.openxmlformats.org/officeDocument/2006/relationships/hyperlink" Target="http://tbinternet.ohchr.org/_layouts/treatybodyexternal/Download.aspx?symbolno=CRPD/C/EU/CO/1&amp;Lang=fr" TargetMode="External"/><Relationship Id="rId35" Type="http://schemas.openxmlformats.org/officeDocument/2006/relationships/hyperlink" Target="http://tbinternet.ohchr.org/_layouts/treatybodyexternal/Download.aspx?symbolno=CRPD/C/GC/3&amp;Lang=en" TargetMode="External"/><Relationship Id="rId43" Type="http://schemas.openxmlformats.org/officeDocument/2006/relationships/hyperlink" Target="http://www.edf-feph.org/other-publications" TargetMode="External"/><Relationship Id="rId48" Type="http://schemas.openxmlformats.org/officeDocument/2006/relationships/hyperlink" Target="http://tbinternet.ohchr.org/_layouts/treatybodyexternal/Download.aspx?symbolno=CRPD/C/EU/CO/1&amp;Lang=en" TargetMode="External"/><Relationship Id="rId8" Type="http://schemas.openxmlformats.org/officeDocument/2006/relationships/hyperlink" Target="http://tbinternet.ohchr.org/_layouts/treatybodyexternal/Download.aspx?symbolno=CRPD/C/GC/3&amp;Lang=en" TargetMode="External"/><Relationship Id="rId51" Type="http://schemas.openxmlformats.org/officeDocument/2006/relationships/hyperlink" Target="http://tbinternet.ohchr.org/_layouts/treatybodyexternal/Download.aspx?symbolno=CRPD/C/GC/3&amp;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75caae-a2e4-4a1b-856a-87d8a7cad937">RCSZ5D2JPTA3-4-6530</_dlc_DocId>
    <_dlc_DocIdUrl xmlns="8975caae-a2e4-4a1b-856a-87d8a7cad937">
      <Url>http://dm/EESC/2018/_layouts/DocIdRedir.aspx?ID=RCSZ5D2JPTA3-4-6530</Url>
      <Description>RCSZ5D2JPTA3-4-6530</Description>
    </_dlc_DocIdUrl>
    <MeetingNumber xmlns="72fbe377-228b-440d-9c80-c8fc7584a534">182</MeetingNumber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</TermName>
          <TermId xmlns="http://schemas.microsoft.com/office/infopath/2007/PartnerControls">ef6fd07e-7d84-45ad-8a75-9a9414a8759c</TermId>
        </TermInfo>
      </Terms>
    </DocumentType_0>
    <Procedure xmlns="8975caae-a2e4-4a1b-856a-87d8a7cad937" xsi:nil="true"/>
    <Dossier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SOC</TermName>
          <TermId xmlns="http://schemas.microsoft.com/office/infopath/2007/PartnerControls">13795804-ecbd-4ce5-9693-9b8be1981b20</TermId>
        </TermInfo>
      </Terms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975caae-a2e4-4a1b-856a-87d8a7cad937">2018-05-29T12:00:00+00:00</ProductionDate>
    <DocumentNumber xmlns="72fbe377-228b-440d-9c80-c8fc7584a534">1639</DocumentNumber>
    <FicheYear xmlns="8975caae-a2e4-4a1b-856a-87d8a7cad937">2018</FicheYear>
    <DocumentVersion xmlns="8975caae-a2e4-4a1b-856a-87d8a7cad937">2</DocumentVersion>
    <DossierNumber xmlns="8975caae-a2e4-4a1b-856a-87d8a7cad937">579</DossierNumber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975caae-a2e4-4a1b-856a-87d8a7cad937">2018-06-06T12:00:00+00:00</MeetingDate>
    <TaxCatchAll xmlns="8975caae-a2e4-4a1b-856a-87d8a7cad937">
      <Value>45</Value>
      <Value>39</Value>
      <Value>41</Value>
      <Value>40</Value>
      <Value>33</Value>
      <Value>38</Value>
      <Value>37</Value>
      <Value>83</Value>
      <Value>82</Value>
      <Value>80</Value>
      <Value>31</Value>
      <Value>28</Value>
      <Value>27</Value>
      <Value>24</Value>
      <Value>23</Value>
      <Value>22</Value>
      <Value>21</Value>
      <Value>20</Value>
      <Value>19</Value>
      <Value>18</Value>
      <Value>16</Value>
      <Value>14</Value>
      <Value>13</Value>
      <Value>8</Value>
      <Value>7</Value>
      <Value>6</Value>
      <Value>5</Value>
      <Value>4</Value>
      <Value>1</Value>
      <Value>47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</Terms>
    </DocumentLanguage_0>
    <Rapporteur xmlns="8975caae-a2e4-4a1b-856a-87d8a7cad937">ANČA</Rapporteur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FicheNumber xmlns="8975caae-a2e4-4a1b-856a-87d8a7cad937">6370</FicheNumber>
    <DocumentYear xmlns="8975caae-a2e4-4a1b-856a-87d8a7cad937">2018</DocumentYear>
    <AdoptionDate xmlns="8975caae-a2e4-4a1b-856a-87d8a7cad937" xsi:nil="true"/>
    <DocumentPart xmlns="8975caae-a2e4-4a1b-856a-87d8a7cad937">0</DocumentPart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SOC</TermName>
          <TermId xmlns="http://schemas.microsoft.com/office/infopath/2007/PartnerControls">baa75797-8ce5-40f0-b0ad-6cadb965217d</TermId>
        </TermInfo>
      </Terms>
    </MeetingName_0>
    <RequestingService xmlns="8975caae-a2e4-4a1b-856a-87d8a7cad937">Emploi, affaires sociales, citoyenneté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</Terms>
    </AvailableTranslations_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92FE83957503754A807F34E13F30ACA4" ma:contentTypeVersion="4" ma:contentTypeDescription="Defines the documents for Document Manager V2" ma:contentTypeScope="" ma:versionID="ec41dd584a0d3b8949fe76330a9efc12">
  <xsd:schema xmlns:xsd="http://www.w3.org/2001/XMLSchema" xmlns:xs="http://www.w3.org/2001/XMLSchema" xmlns:p="http://schemas.microsoft.com/office/2006/metadata/properties" xmlns:ns2="8975caae-a2e4-4a1b-856a-87d8a7cad937" xmlns:ns3="http://schemas.microsoft.com/sharepoint/v3/fields" xmlns:ns4="72fbe377-228b-440d-9c80-c8fc7584a534" targetNamespace="http://schemas.microsoft.com/office/2006/metadata/properties" ma:root="true" ma:fieldsID="50c2113f0d3225ae9631067608f85749" ns2:_="" ns3:_="" ns4:_="">
    <xsd:import namespace="8975caae-a2e4-4a1b-856a-87d8a7cad937"/>
    <xsd:import namespace="http://schemas.microsoft.com/sharepoint/v3/fields"/>
    <xsd:import namespace="72fbe377-228b-440d-9c80-c8fc7584a5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5caae-a2e4-4a1b-856a-87d8a7cad9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a5648c8e-9787-4c2b-a5af-05cabe47a075}" ma:internalName="TaxCatchAll" ma:showField="CatchAllData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a5648c8e-9787-4c2b-a5af-05cabe47a075}" ma:internalName="TaxCatchAllLabel" ma:readOnly="true" ma:showField="CatchAllDataLabel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be377-228b-440d-9c80-c8fc7584a534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BD04E-6A5E-48AF-A4C2-39AF8D6C755C}">
  <ds:schemaRefs>
    <ds:schemaRef ds:uri="http://schemas.microsoft.com/office/infopath/2007/PartnerControls"/>
    <ds:schemaRef ds:uri="http://schemas.microsoft.com/office/2006/documentManagement/types"/>
    <ds:schemaRef ds:uri="8975caae-a2e4-4a1b-856a-87d8a7cad937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sharepoint/v3/fields"/>
    <ds:schemaRef ds:uri="72fbe377-228b-440d-9c80-c8fc7584a53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A470676-BA11-4F02-B286-5FDA13F4F3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DEDF0C-9DAA-4B99-9B53-8BB07459AAD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9AABA9F-BCEE-4AD2-81E9-39954C064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75caae-a2e4-4a1b-856a-87d8a7cad937"/>
    <ds:schemaRef ds:uri="http://schemas.microsoft.com/sharepoint/v3/fields"/>
    <ds:schemaRef ds:uri="72fbe377-228b-440d-9c80-c8fc7584a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092B383-8535-4025-A1DB-FF7C3353C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4235</Words>
  <Characters>28182</Characters>
  <Application>Microsoft Office Word</Application>
  <DocSecurity>4</DocSecurity>
  <Lines>234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Sytuacja kobiet z niepełnosprawnością (opinia rozpoznawcza na wniosek Parlamentu Europejskiego)</vt:lpstr>
      <vt:lpstr>European Agenda on Migration: Second implementation package - A permanent crisis relocation mechanism under the Dublin system</vt:lpstr>
    </vt:vector>
  </TitlesOfParts>
  <Company>CESE-CdR</Company>
  <LinksUpToDate>false</LinksUpToDate>
  <CharactersWithSpaces>32353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kobiet z niepełnosprawnością (opinia rozpoznawcza na wniosek Parlamentu Europejskiego)</dc:title>
  <dc:creator>Tomas Vocasek</dc:creator>
  <cp:keywords>EESC-2018-01639-00-02-PA-TRA-EN</cp:keywords>
  <dc:description>Rapporteur: ANČA - Original language: EN - Date of document: 29/05/2018 - Date of meeting: 06/06/2018 - External documents:  - Administrator: Mme Atzori Valeria</dc:description>
  <cp:lastModifiedBy>Lech Pilawski</cp:lastModifiedBy>
  <cp:revision>2</cp:revision>
  <cp:lastPrinted>2018-05-23T07:29:00Z</cp:lastPrinted>
  <dcterms:created xsi:type="dcterms:W3CDTF">2018-06-07T10:34:00Z</dcterms:created>
  <dcterms:modified xsi:type="dcterms:W3CDTF">2018-06-07T10:34:00Z</dcterms:modified>
  <cp:category>SOC/579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25/05/2018, 25/05/2018, 24/05/2018, 24/05/2018, 24/04/2018, 24/04/2018, 28/03/2018, 28/03/2018, 04/11/2015, 27/10/2015, 19/10/2015, 09/10/2015, 05/10/2015, 05/10/2015, 26/08/2015, 26/08/2015, 25/08/2015</vt:lpwstr>
  </property>
  <property fmtid="{D5CDD505-2E9C-101B-9397-08002B2CF9AE}" pid="4" name="Pref_Time">
    <vt:lpwstr>15:05:37, 14:02:29, 15:16:47, 15:00:09, 18:05:16, 17:29:42, 15:08:07, 14:36:28, 12:10:07, 14:44:02, 16:04:16, 14:09:30, 16:24:55, 16:04:02, 08:56:14, 07:27:56, 17:31:53</vt:lpwstr>
  </property>
  <property fmtid="{D5CDD505-2E9C-101B-9397-08002B2CF9AE}" pid="5" name="Pref_User">
    <vt:lpwstr>enied, enied, jhvi, YMUR, enied, ssex, hnic, htoo, ssex, enied, amett, tvoc, mreg, mreg, amett, enied, ssex</vt:lpwstr>
  </property>
  <property fmtid="{D5CDD505-2E9C-101B-9397-08002B2CF9AE}" pid="6" name="Pref_FileName">
    <vt:lpwstr>EESC-2018-01639-00-02-PA-ORI.docx, EESC-2018-01639-00-01-PA-ORI.docx, EESC-2018-01639-00-00-PA-TRA-EN-CRR.docx, EESC-2018-01639-00-00-PA-ORI-cduc.docx, EESC-2018-01639-00-00-APA-TRA-EN-CRR.docx, EESC-2018-01639-00-00-APA-CRR-EN.docx, EESC-2018-01639-00-00</vt:lpwstr>
  </property>
  <property fmtid="{D5CDD505-2E9C-101B-9397-08002B2CF9AE}" pid="7" name="ContentTypeId">
    <vt:lpwstr>0x010100EA97B91038054C99906057A708A1480A0092FE83957503754A807F34E13F30ACA4</vt:lpwstr>
  </property>
  <property fmtid="{D5CDD505-2E9C-101B-9397-08002B2CF9AE}" pid="8" name="_dlc_DocIdItemGuid">
    <vt:lpwstr>9708b735-156b-43ef-8bb6-3ea77a08b8cd</vt:lpwstr>
  </property>
  <property fmtid="{D5CDD505-2E9C-101B-9397-08002B2CF9AE}" pid="9" name="MeetingNumber">
    <vt:i4>182</vt:i4>
  </property>
  <property fmtid="{D5CDD505-2E9C-101B-9397-08002B2CF9AE}" pid="10" name="DocumentType_0">
    <vt:lpwstr>PA|ef6fd07e-7d84-45ad-8a75-9a9414a8759c</vt:lpwstr>
  </property>
  <property fmtid="{D5CDD505-2E9C-101B-9397-08002B2CF9AE}" pid="11" name="AvailableTranslations">
    <vt:lpwstr>38;#IT|0774613c-01ed-4e5d-a25d-11d2388de825;#22;#FI|87606a43-d45f-42d6-b8c9-e1a3457db5b7;#4;#EN|f2175f21-25d7-44a3-96da-d6a61b075e1b;#47;#ET|ff6c3f4c-b02c-4c3c-ab07-2c37995a7a0a;#20;#PL|1e03da61-4678-4e07-b136-b5024ca9197b;#24;#PT|50ccc04a-eadd-42ae-a0cb-</vt:lpwstr>
  </property>
  <property fmtid="{D5CDD505-2E9C-101B-9397-08002B2CF9AE}" pid="12" name="DossierName_0">
    <vt:lpwstr>SOC|13795804-ecbd-4ce5-9693-9b8be1981b20</vt:lpwstr>
  </property>
  <property fmtid="{D5CDD505-2E9C-101B-9397-08002B2CF9AE}" pid="13" name="DocumentSource_0">
    <vt:lpwstr>EESC|422833ec-8d7e-4e65-8e4e-8bed07ffb729</vt:lpwstr>
  </property>
  <property fmtid="{D5CDD505-2E9C-101B-9397-08002B2CF9AE}" pid="14" name="FicheYear">
    <vt:i4>2018</vt:i4>
  </property>
  <property fmtid="{D5CDD505-2E9C-101B-9397-08002B2CF9AE}" pid="15" name="DocumentNumber">
    <vt:i4>1639</vt:i4>
  </property>
  <property fmtid="{D5CDD505-2E9C-101B-9397-08002B2CF9AE}" pid="16" name="DocumentVersion">
    <vt:i4>2</vt:i4>
  </property>
  <property fmtid="{D5CDD505-2E9C-101B-9397-08002B2CF9AE}" pid="17" name="DossierNumber">
    <vt:i4>579</vt:i4>
  </property>
  <property fmtid="{D5CDD505-2E9C-101B-9397-08002B2CF9AE}" pid="18" name="DocumentSource">
    <vt:lpwstr>1;#EESC|422833ec-8d7e-4e65-8e4e-8bed07ffb729</vt:lpwstr>
  </property>
  <property fmtid="{D5CDD505-2E9C-101B-9397-08002B2CF9AE}" pid="19" name="DocumentType">
    <vt:lpwstr>83;#PA|ef6fd07e-7d84-45ad-8a75-9a9414a8759c</vt:lpwstr>
  </property>
  <property fmtid="{D5CDD505-2E9C-101B-9397-08002B2CF9AE}" pid="20" name="DocumentStatus">
    <vt:lpwstr>7;#TRA|150d2a88-1431-44e6-a8ca-0bb753ab8672</vt:lpwstr>
  </property>
  <property fmtid="{D5CDD505-2E9C-101B-9397-08002B2CF9AE}" pid="21" name="DossierName">
    <vt:lpwstr>80;#SOC|13795804-ecbd-4ce5-9693-9b8be1981b20</vt:lpwstr>
  </property>
  <property fmtid="{D5CDD505-2E9C-101B-9397-08002B2CF9AE}" pid="22" name="DocumentPart">
    <vt:i4>0</vt:i4>
  </property>
  <property fmtid="{D5CDD505-2E9C-101B-9397-08002B2CF9AE}" pid="23" name="RequestingService">
    <vt:lpwstr>Emploi, affaires sociales, citoyenneté</vt:lpwstr>
  </property>
  <property fmtid="{D5CDD505-2E9C-101B-9397-08002B2CF9AE}" pid="24" name="Confidentiality">
    <vt:lpwstr>5;#Unrestricted|826e22d7-d029-4ec0-a450-0c28ff673572</vt:lpwstr>
  </property>
  <property fmtid="{D5CDD505-2E9C-101B-9397-08002B2CF9AE}" pid="25" name="Confidentiality_0">
    <vt:lpwstr>Unrestricted|826e22d7-d029-4ec0-a450-0c28ff673572</vt:lpwstr>
  </property>
  <property fmtid="{D5CDD505-2E9C-101B-9397-08002B2CF9AE}" pid="26" name="MeetingName_0">
    <vt:lpwstr>SOC|baa75797-8ce5-40f0-b0ad-6cadb965217d</vt:lpwstr>
  </property>
  <property fmtid="{D5CDD505-2E9C-101B-9397-08002B2CF9AE}" pid="27" name="OriginalLanguage">
    <vt:lpwstr>4;#EN|f2175f21-25d7-44a3-96da-d6a61b075e1b</vt:lpwstr>
  </property>
  <property fmtid="{D5CDD505-2E9C-101B-9397-08002B2CF9AE}" pid="28" name="MeetingName">
    <vt:lpwstr>82;#SOC|baa75797-8ce5-40f0-b0ad-6cadb965217d</vt:lpwstr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EN|f2175f21-25d7-44a3-96da-d6a61b075e1b</vt:lpwstr>
  </property>
  <property fmtid="{D5CDD505-2E9C-101B-9397-08002B2CF9AE}" pid="31" name="MeetingDate">
    <vt:filetime>2018-06-06T12:00:00Z</vt:filetime>
  </property>
  <property fmtid="{D5CDD505-2E9C-101B-9397-08002B2CF9AE}" pid="32" name="TaxCatchAll">
    <vt:lpwstr>45;#MT|7df99101-6854-4a26-b53a-b88c0da02c26;#41;#SV|c2ed69e7-a339-43d7-8f22-d93680a92aa0;#33;#EL|6d4f4d51-af9b-4650-94b4-4276bee85c91;#38;#IT|0774613c-01ed-4e5d-a25d-11d2388de825;#83;#PA|ef6fd07e-7d84-45ad-8a75-9a9414a8759c;#82;#SOC|baa75797-8ce5-40f0-b0a</vt:lpwstr>
  </property>
  <property fmtid="{D5CDD505-2E9C-101B-9397-08002B2CF9AE}" pid="33" name="AvailableTranslations_0">
    <vt:lpwstr>IT|0774613c-01ed-4e5d-a25d-11d2388de825;FI|87606a43-d45f-42d6-b8c9-e1a3457db5b7;EN|f2175f21-25d7-44a3-96da-d6a61b075e1b;PT|50ccc04a-eadd-42ae-a0cb-acaf45f812ba;SK|46d9fce0-ef79-4f71-b89b-cd6aa82426b8;MT|7df99101-6854-4a26-b53a-b88c0da02c26;CS|72f9705b-021</vt:lpwstr>
  </property>
  <property fmtid="{D5CDD505-2E9C-101B-9397-08002B2CF9AE}" pid="34" name="VersionStatus">
    <vt:lpwstr>6;#Final|ea5e6674-7b27-4bac-b091-73adbb394efe</vt:lpwstr>
  </property>
  <property fmtid="{D5CDD505-2E9C-101B-9397-08002B2CF9AE}" pid="35" name="Rapporteur">
    <vt:lpwstr>ANČA</vt:lpwstr>
  </property>
  <property fmtid="{D5CDD505-2E9C-101B-9397-08002B2CF9AE}" pid="36" name="VersionStatus_0">
    <vt:lpwstr>Final|ea5e6674-7b27-4bac-b091-73adbb394efe</vt:lpwstr>
  </property>
  <property fmtid="{D5CDD505-2E9C-101B-9397-08002B2CF9AE}" pid="37" name="FicheNumber">
    <vt:i4>6370</vt:i4>
  </property>
  <property fmtid="{D5CDD505-2E9C-101B-9397-08002B2CF9AE}" pid="38" name="DocumentYear">
    <vt:i4>2018</vt:i4>
  </property>
  <property fmtid="{D5CDD505-2E9C-101B-9397-08002B2CF9AE}" pid="39" name="DocumentLanguage">
    <vt:lpwstr>20;#PL|1e03da61-4678-4e07-b136-b5024ca9197b</vt:lpwstr>
  </property>
</Properties>
</file>