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CC" w:rsidRPr="009C3818" w:rsidRDefault="006F0DCC" w:rsidP="008564C2">
      <w:pPr>
        <w:overflowPunct/>
        <w:adjustRightInd/>
        <w:jc w:val="center"/>
        <w:textAlignment w:val="auto"/>
      </w:pPr>
      <w:bookmarkStart w:id="0" w:name="_GoBack"/>
      <w:bookmarkEnd w:id="0"/>
      <w:r w:rsidRPr="009C3818">
        <w:rPr>
          <w:noProof/>
          <w:lang w:val="fr-BE" w:eastAsia="fr-BE"/>
        </w:rPr>
        <w:drawing>
          <wp:inline distT="0" distB="0" distL="0" distR="0" wp14:anchorId="3C35F2A9" wp14:editId="7CAB0732">
            <wp:extent cx="874395" cy="564515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818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8400625" wp14:editId="5B38926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3C6" w:rsidRPr="008564C2" w:rsidRDefault="002413C6" w:rsidP="008564C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8564C2" w:rsidR="002413C6" w:rsidP="008564C2" w:rsidRDefault="002413C6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b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48"/>
                          <w:rFonts w:ascii="Arial" w:hAnsi="Arial"/>
                        </w:rPr>
                        <w:t xml:space="preserve"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3C84" w:rsidRPr="009C3818" w:rsidRDefault="006F0DCC" w:rsidP="008564C2">
      <w:pPr>
        <w:overflowPunct/>
        <w:adjustRightInd/>
        <w:jc w:val="center"/>
        <w:textAlignment w:val="auto"/>
      </w:pPr>
      <w:r>
        <w:rPr>
          <w:rFonts w:ascii="Arial" w:hAnsi="Arial"/>
          <w:b/>
          <w:i/>
          <w:sz w:val="20"/>
        </w:rPr>
        <w:t>Europejski Komitet Ekonomiczno-Społeczny</w:t>
      </w:r>
    </w:p>
    <w:p w:rsidR="00646AC2" w:rsidRPr="009C3818" w:rsidRDefault="00646AC2" w:rsidP="008564C2">
      <w:pPr>
        <w:overflowPunct/>
        <w:adjustRightInd/>
        <w:textAlignment w:val="auto"/>
      </w:pPr>
    </w:p>
    <w:p w:rsidR="00563C84" w:rsidRPr="009C3818" w:rsidRDefault="00E95C96" w:rsidP="008564C2">
      <w:pPr>
        <w:overflowPunct/>
        <w:adjustRightInd/>
        <w:jc w:val="right"/>
        <w:textAlignment w:val="auto"/>
        <w:rPr>
          <w:b/>
        </w:rPr>
      </w:pPr>
      <w:r>
        <w:rPr>
          <w:b/>
        </w:rPr>
        <w:t>INT/850</w:t>
      </w:r>
    </w:p>
    <w:p w:rsidR="005D5FED" w:rsidRPr="009C3818" w:rsidRDefault="00E95C96" w:rsidP="008564C2">
      <w:pPr>
        <w:overflowPunct/>
        <w:adjustRightInd/>
        <w:jc w:val="right"/>
        <w:textAlignment w:val="auto"/>
      </w:pPr>
      <w:r>
        <w:rPr>
          <w:b/>
        </w:rPr>
        <w:t>Prekursory materiałów wybuchowych</w:t>
      </w:r>
    </w:p>
    <w:p w:rsidR="009B30AA" w:rsidRPr="009C3818" w:rsidRDefault="009B30AA" w:rsidP="008564C2">
      <w:pPr>
        <w:overflowPunct/>
        <w:adjustRightInd/>
        <w:textAlignment w:val="auto"/>
      </w:pPr>
    </w:p>
    <w:p w:rsidR="009B30AA" w:rsidRPr="009C3818" w:rsidRDefault="009B30AA" w:rsidP="008564C2">
      <w:pPr>
        <w:overflowPunct/>
        <w:adjustRightInd/>
        <w:textAlignment w:val="auto"/>
      </w:pPr>
    </w:p>
    <w:p w:rsidR="00D944BE" w:rsidRPr="009C3818" w:rsidRDefault="00D944BE" w:rsidP="008564C2">
      <w:pPr>
        <w:overflowPunct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SPROSTOWANIE </w:t>
      </w:r>
    </w:p>
    <w:p w:rsidR="00D944BE" w:rsidRPr="009C3818" w:rsidRDefault="00D944BE" w:rsidP="008564C2">
      <w:pPr>
        <w:overflowPunct/>
        <w:adjustRightInd/>
        <w:jc w:val="center"/>
        <w:textAlignment w:val="auto"/>
        <w:rPr>
          <w:sz w:val="28"/>
        </w:rPr>
      </w:pPr>
      <w:proofErr w:type="gramStart"/>
      <w:r>
        <w:rPr>
          <w:sz w:val="24"/>
        </w:rPr>
        <w:t>do</w:t>
      </w:r>
      <w:proofErr w:type="gramEnd"/>
    </w:p>
    <w:p w:rsidR="00646AC2" w:rsidRPr="009C3818" w:rsidRDefault="00BF3843" w:rsidP="008564C2">
      <w:pPr>
        <w:overflowPunct/>
        <w:adjustRightInd/>
        <w:jc w:val="center"/>
        <w:textAlignment w:val="auto"/>
      </w:pPr>
      <w:r>
        <w:rPr>
          <w:b/>
          <w:sz w:val="28"/>
        </w:rPr>
        <w:t>PROJEKTU OPINII</w:t>
      </w:r>
      <w:r>
        <w:br/>
        <w:t xml:space="preserve"> </w:t>
      </w:r>
      <w:r>
        <w:br/>
        <w:t>Sekcja Jednolitego Rynku, Produkcji i Konsumpcji</w:t>
      </w:r>
      <w:r>
        <w:br/>
        <w:t xml:space="preserve"> </w:t>
      </w:r>
      <w:r>
        <w:br/>
      </w:r>
      <w:r>
        <w:rPr>
          <w:b/>
        </w:rPr>
        <w:t>Wniosek dotyczący rozporządzenia Parlamentu Europejskiego i Rady w sprawie wprowadzania do obrotu i używania prekursorów materiałów wybuchowych, zmieniającego załącznik XVII do rozporządzenia (WE</w:t>
      </w:r>
      <w:proofErr w:type="gramStart"/>
      <w:r>
        <w:rPr>
          <w:b/>
        </w:rPr>
        <w:t>)1907/2006 i</w:t>
      </w:r>
      <w:proofErr w:type="gramEnd"/>
      <w:r>
        <w:rPr>
          <w:b/>
        </w:rPr>
        <w:t xml:space="preserve"> uchylającego rozporządzenie (UE) 98/2013 w sprawie wprowadzania do obrotu i używania prekursorów materiałów wybuchowych</w:t>
      </w:r>
      <w:r>
        <w:br/>
        <w:t xml:space="preserve">[COM(2018) 209 </w:t>
      </w:r>
      <w:proofErr w:type="spellStart"/>
      <w:r>
        <w:t>final</w:t>
      </w:r>
      <w:proofErr w:type="spellEnd"/>
      <w:r>
        <w:t xml:space="preserve"> – 2018/0103 (COD)]</w:t>
      </w:r>
    </w:p>
    <w:p w:rsidR="009B30AA" w:rsidRPr="009C3818" w:rsidRDefault="009B30AA" w:rsidP="008564C2">
      <w:pPr>
        <w:overflowPunct/>
        <w:adjustRightInd/>
        <w:jc w:val="center"/>
        <w:textAlignment w:val="auto"/>
      </w:pPr>
    </w:p>
    <w:p w:rsidR="00704FBB" w:rsidRPr="009C3818" w:rsidRDefault="00E95C96" w:rsidP="008564C2">
      <w:pPr>
        <w:overflowPunct/>
        <w:adjustRightInd/>
        <w:jc w:val="center"/>
        <w:textAlignment w:val="auto"/>
      </w:pPr>
      <w:r>
        <w:t xml:space="preserve">Samodzielny sprawozdawca: </w:t>
      </w:r>
      <w:r>
        <w:rPr>
          <w:b/>
        </w:rPr>
        <w:t>David SEARS</w:t>
      </w:r>
    </w:p>
    <w:p w:rsidR="00704FBB" w:rsidRPr="009C3818" w:rsidRDefault="00704FBB" w:rsidP="008564C2">
      <w:pPr>
        <w:overflowPunct/>
        <w:adjustRightInd/>
        <w:textAlignment w:val="auto"/>
      </w:pPr>
    </w:p>
    <w:p w:rsidR="00646AC2" w:rsidRPr="009C3818" w:rsidRDefault="00646AC2" w:rsidP="008564C2">
      <w:pPr>
        <w:overflowPunct/>
        <w:adjustRightInd/>
        <w:textAlignment w:val="auto"/>
      </w:pPr>
    </w:p>
    <w:p w:rsidR="00646AC2" w:rsidRPr="009C3818" w:rsidRDefault="00646AC2" w:rsidP="008564C2">
      <w:pPr>
        <w:overflowPunct/>
        <w:adjustRightInd/>
        <w:textAlignment w:val="auto"/>
        <w:sectPr w:rsidR="00646AC2" w:rsidRPr="009C3818" w:rsidSect="00C746A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:rsidR="00810831" w:rsidRPr="009C3818" w:rsidRDefault="008564C2" w:rsidP="008564C2">
      <w:pPr>
        <w:pStyle w:val="ListParagraph"/>
        <w:keepNext/>
        <w:numPr>
          <w:ilvl w:val="0"/>
          <w:numId w:val="2"/>
        </w:numPr>
        <w:tabs>
          <w:tab w:val="left" w:pos="567"/>
        </w:tabs>
        <w:overflowPunct/>
        <w:adjustRightInd/>
        <w:ind w:left="0" w:firstLine="0"/>
        <w:textAlignment w:val="auto"/>
        <w:outlineLvl w:val="0"/>
        <w:rPr>
          <w:b/>
        </w:rPr>
      </w:pPr>
      <w:r>
        <w:rPr>
          <w:b/>
        </w:rPr>
        <w:lastRenderedPageBreak/>
        <w:t>Punkt 2.5</w:t>
      </w:r>
    </w:p>
    <w:p w:rsidR="00810831" w:rsidRPr="009C3818" w:rsidRDefault="00810831" w:rsidP="008564C2">
      <w:pPr>
        <w:keepNext/>
        <w:overflowPunct/>
        <w:adjustRightInd/>
        <w:textAlignment w:val="auto"/>
      </w:pPr>
    </w:p>
    <w:p w:rsidR="00810831" w:rsidRPr="009C3818" w:rsidRDefault="00810831" w:rsidP="008564C2">
      <w:pPr>
        <w:overflowPunct/>
        <w:adjustRightInd/>
        <w:ind w:left="22" w:hanging="22"/>
        <w:textAlignment w:val="auto"/>
      </w:pPr>
      <w:r>
        <w:t>Dodać dwa przypisy w następujący sposób:</w:t>
      </w:r>
    </w:p>
    <w:p w:rsidR="00810831" w:rsidRPr="009C3818" w:rsidRDefault="00810831" w:rsidP="008564C2">
      <w:pPr>
        <w:overflowPunct/>
        <w:adjustRightInd/>
        <w:textAlignment w:val="auto"/>
      </w:pPr>
    </w:p>
    <w:p w:rsidR="00810831" w:rsidRPr="009C3818" w:rsidRDefault="00E1546A" w:rsidP="008564C2">
      <w:pPr>
        <w:overflowPunct/>
        <w:adjustRightInd/>
        <w:ind w:left="567"/>
        <w:textAlignment w:val="auto"/>
      </w:pPr>
      <w:r>
        <w:t>2.5</w:t>
      </w:r>
      <w:r>
        <w:tab/>
        <w:t>Kwestie te zostały poruszone w poprzednich opiniach EKES-u: w opinii z 2008 r.</w:t>
      </w:r>
      <w:r w:rsidR="005E1BA2" w:rsidRPr="009C3818">
        <w:rPr>
          <w:rStyle w:val="FootnoteReference"/>
        </w:rPr>
        <w:footnoteReference w:id="1"/>
      </w:r>
      <w:r>
        <w:t xml:space="preserve"> w</w:t>
      </w:r>
      <w:r w:rsidR="00AA2D8E">
        <w:t> </w:t>
      </w:r>
      <w:r>
        <w:t>sprawie wprowadzania do obrotu i stosowania „niektórych substancji niebezpiecznych”, w</w:t>
      </w:r>
      <w:r w:rsidR="00AA2D8E">
        <w:t> </w:t>
      </w:r>
      <w:r>
        <w:t xml:space="preserve">tym azotanu amonu (AA) używanego w bardzo dużych </w:t>
      </w:r>
      <w:proofErr w:type="gramStart"/>
      <w:r>
        <w:t>ilościach jako</w:t>
      </w:r>
      <w:proofErr w:type="gramEnd"/>
      <w:r>
        <w:t xml:space="preserve"> nawóz azotowy, a</w:t>
      </w:r>
      <w:r w:rsidR="00AA2D8E">
        <w:t> </w:t>
      </w:r>
      <w:r>
        <w:t>także jako skuteczny i tani składnik materiałów wybuchowych, zarówno komercyjnych jak i</w:t>
      </w:r>
      <w:r w:rsidR="00AA2D8E">
        <w:t> </w:t>
      </w:r>
      <w:r>
        <w:t>wytwarzanych domowym sposobem, i w opinii z 2011 r.</w:t>
      </w:r>
      <w:r w:rsidR="0034582F" w:rsidRPr="009C3818">
        <w:rPr>
          <w:rStyle w:val="FootnoteReference"/>
        </w:rPr>
        <w:footnoteReference w:id="2"/>
      </w:r>
      <w:r>
        <w:t xml:space="preserve"> w sprawie pierwszego rozporządzenia w sprawie kontroli prekursorów materiałów wybuchowych, które obecnie, w</w:t>
      </w:r>
      <w:r w:rsidR="00AA2D8E">
        <w:t> </w:t>
      </w:r>
      <w:r>
        <w:t>świetle zdobytych doświadczeń, ma zostać uchylone i zastąpione. Uwzględniono również prekursory nielegalnych narkotyków i ich wykorzystanie do celów innych niż dozwolone, a</w:t>
      </w:r>
      <w:r w:rsidR="00AA2D8E">
        <w:t> </w:t>
      </w:r>
      <w:r>
        <w:t>związane z nimi prawodawstwo może stanowić pożyteczny wzór do naśladowania.</w:t>
      </w:r>
    </w:p>
    <w:p w:rsidR="00810831" w:rsidRPr="009C3818" w:rsidRDefault="00810831" w:rsidP="008564C2">
      <w:pPr>
        <w:overflowPunct/>
        <w:adjustRightInd/>
        <w:textAlignment w:val="auto"/>
      </w:pPr>
    </w:p>
    <w:p w:rsidR="00810831" w:rsidRPr="009C3818" w:rsidRDefault="008564C2" w:rsidP="008564C2">
      <w:pPr>
        <w:pStyle w:val="ListParagraph"/>
        <w:keepNext/>
        <w:numPr>
          <w:ilvl w:val="0"/>
          <w:numId w:val="2"/>
        </w:numPr>
        <w:tabs>
          <w:tab w:val="left" w:pos="567"/>
        </w:tabs>
        <w:overflowPunct/>
        <w:adjustRightInd/>
        <w:ind w:left="0" w:firstLine="0"/>
        <w:textAlignment w:val="auto"/>
        <w:outlineLvl w:val="0"/>
      </w:pPr>
      <w:r>
        <w:rPr>
          <w:b/>
        </w:rPr>
        <w:t xml:space="preserve">Punkt 3.3 </w:t>
      </w:r>
    </w:p>
    <w:p w:rsidR="00810831" w:rsidRPr="009C3818" w:rsidRDefault="00810831" w:rsidP="008564C2">
      <w:pPr>
        <w:keepNext/>
        <w:overflowPunct/>
        <w:adjustRightInd/>
        <w:textAlignment w:val="auto"/>
      </w:pPr>
    </w:p>
    <w:p w:rsidR="00810831" w:rsidRPr="009C3818" w:rsidRDefault="00865D7E" w:rsidP="008564C2">
      <w:pPr>
        <w:pStyle w:val="Heading1"/>
        <w:keepNext/>
        <w:overflowPunct/>
        <w:adjustRightInd/>
        <w:ind w:left="567" w:hanging="567"/>
        <w:textAlignment w:val="auto"/>
      </w:pPr>
      <w:r>
        <w:t>Zmienić</w:t>
      </w:r>
    </w:p>
    <w:p w:rsidR="00865D7E" w:rsidRPr="009C3818" w:rsidRDefault="00865D7E" w:rsidP="008564C2">
      <w:pPr>
        <w:keepNext/>
        <w:overflowPunct/>
        <w:adjustRightInd/>
        <w:textAlignment w:val="auto"/>
      </w:pPr>
    </w:p>
    <w:p w:rsidR="00CE1EB2" w:rsidRPr="009C3818" w:rsidRDefault="00865D7E" w:rsidP="008564C2">
      <w:pPr>
        <w:overflowPunct/>
        <w:adjustRightInd/>
        <w:ind w:left="567"/>
        <w:textAlignment w:val="auto"/>
        <w:rPr>
          <w:u w:val="single"/>
        </w:rPr>
      </w:pPr>
      <w:r>
        <w:t>3.3</w:t>
      </w:r>
      <w:r>
        <w:tab/>
        <w:t>W ramach tych wykazów azotan amonu (AA) został przeniesiony z drugiego do pierwszego wykazu (z odpowiednią zmianą w załączniku XVII do rozporządzenia REACH w</w:t>
      </w:r>
      <w:r w:rsidR="00AA2D8E">
        <w:t> </w:t>
      </w:r>
      <w:r>
        <w:t>sprawie rejestracji substancji chemicznych), a trzy nowe substancje lub grupy substancji</w:t>
      </w:r>
      <w:r>
        <w:rPr>
          <w:u w:val="single"/>
        </w:rPr>
        <w:t>, które</w:t>
      </w:r>
      <w:r>
        <w:t xml:space="preserve"> zostały dodane </w:t>
      </w:r>
      <w:r>
        <w:rPr>
          <w:u w:val="single"/>
        </w:rPr>
        <w:t>w drodze aktów delegowanych Komisji w listopadzie 2016 r., zostały uwzględnione w drugim wykazie</w:t>
      </w:r>
      <w:r>
        <w:t xml:space="preserve"> </w:t>
      </w:r>
      <w:r>
        <w:rPr>
          <w:strike/>
        </w:rPr>
        <w:t>do drugiego wykazu</w:t>
      </w:r>
      <w:r>
        <w:t xml:space="preserve"> (glin sproszkowany; magnez sproszkowany; azotan magnezu sześciowodny). Pozostałych 14 substancji, już uwzględnionych w wykazach, pozostało niezmienionych. W ocenie skutków przedstawiono uzasadnienie tych </w:t>
      </w:r>
      <w:proofErr w:type="gramStart"/>
      <w:r>
        <w:t xml:space="preserve">zmian </w:t>
      </w:r>
      <w:r>
        <w:rPr>
          <w:u w:val="single"/>
        </w:rPr>
        <w:t>(chociaż</w:t>
      </w:r>
      <w:proofErr w:type="gramEnd"/>
      <w:r>
        <w:rPr>
          <w:u w:val="single"/>
        </w:rPr>
        <w:t xml:space="preserve"> nie omówiono szczegółowo trzech dodatkowych substancji, ani nie podano tam lub w aktach delegowanych informacji na temat łańcuchów dostaw, których dotkną te zmiany, potencjalnego wpływu na rynek lub ilości, które mogą być kupowane przez zawodowych lub przeciętnych użytkowników)</w:t>
      </w:r>
      <w:r>
        <w:t>.</w:t>
      </w:r>
    </w:p>
    <w:p w:rsidR="00810831" w:rsidRPr="009C3818" w:rsidRDefault="00810831" w:rsidP="008564C2">
      <w:pPr>
        <w:overflowPunct/>
        <w:adjustRightInd/>
        <w:textAlignment w:val="auto"/>
      </w:pPr>
    </w:p>
    <w:p w:rsidR="00810831" w:rsidRPr="009C3818" w:rsidRDefault="008564C2" w:rsidP="008564C2">
      <w:pPr>
        <w:pStyle w:val="ListParagraph"/>
        <w:keepNext/>
        <w:numPr>
          <w:ilvl w:val="0"/>
          <w:numId w:val="2"/>
        </w:numPr>
        <w:tabs>
          <w:tab w:val="left" w:pos="567"/>
        </w:tabs>
        <w:overflowPunct/>
        <w:adjustRightInd/>
        <w:ind w:left="0" w:firstLine="0"/>
        <w:textAlignment w:val="auto"/>
        <w:outlineLvl w:val="0"/>
        <w:rPr>
          <w:b/>
        </w:rPr>
      </w:pPr>
      <w:r>
        <w:rPr>
          <w:b/>
        </w:rPr>
        <w:t>Punkt 3.5</w:t>
      </w:r>
    </w:p>
    <w:p w:rsidR="00810831" w:rsidRPr="009C3818" w:rsidRDefault="00810831" w:rsidP="008564C2">
      <w:pPr>
        <w:keepNext/>
        <w:overflowPunct/>
        <w:adjustRightInd/>
        <w:textAlignment w:val="auto"/>
      </w:pPr>
    </w:p>
    <w:p w:rsidR="00810831" w:rsidRPr="009C3818" w:rsidRDefault="00810831" w:rsidP="008564C2">
      <w:pPr>
        <w:keepNext/>
        <w:overflowPunct/>
        <w:adjustRightInd/>
        <w:ind w:left="22" w:hanging="22"/>
        <w:textAlignment w:val="auto"/>
      </w:pPr>
      <w:r>
        <w:t>Zmienić</w:t>
      </w:r>
    </w:p>
    <w:p w:rsidR="00810831" w:rsidRPr="009C3818" w:rsidRDefault="00810831" w:rsidP="008564C2">
      <w:pPr>
        <w:keepNext/>
        <w:overflowPunct/>
        <w:adjustRightInd/>
        <w:textAlignment w:val="auto"/>
      </w:pPr>
    </w:p>
    <w:p w:rsidR="00810831" w:rsidRPr="009C3818" w:rsidRDefault="00865D7E" w:rsidP="008564C2">
      <w:pPr>
        <w:overflowPunct/>
        <w:adjustRightInd/>
        <w:ind w:left="567"/>
        <w:textAlignment w:val="auto"/>
        <w:rPr>
          <w:u w:val="single"/>
        </w:rPr>
      </w:pPr>
      <w:r>
        <w:t>3.5</w:t>
      </w:r>
      <w:r>
        <w:tab/>
        <w:t>Ze względu na to, że obowiązujące rozporządzenie jest częścią programu sprawności i</w:t>
      </w:r>
      <w:r w:rsidR="00AA2D8E">
        <w:t> </w:t>
      </w:r>
      <w:r>
        <w:t xml:space="preserve">wydajności regulacyjnej (REFIT) Komisji, nowy wniosek ma na celu zmniejszenie kosztów oraz zwiększenie wydajności (i miejmy nadzieję także skuteczności) poprzez ograniczenie liczby opcji dostępnych dla państw członkowskich. </w:t>
      </w:r>
      <w:r>
        <w:rPr>
          <w:strike/>
        </w:rPr>
        <w:t>Użytkownicy zawodowi</w:t>
      </w:r>
      <w:r>
        <w:t xml:space="preserve"> </w:t>
      </w:r>
      <w:r>
        <w:rPr>
          <w:u w:val="single"/>
        </w:rPr>
        <w:t>Przeciętni użytkownicy (użytkownicy niezawodowi)</w:t>
      </w:r>
      <w:r>
        <w:t xml:space="preserve"> będą musieli uzyskać pozwolenie na korzystanie z</w:t>
      </w:r>
      <w:r w:rsidR="00AA2D8E">
        <w:t> </w:t>
      </w:r>
      <w:r>
        <w:t xml:space="preserve">prekursorów podlegających ograniczeniom </w:t>
      </w:r>
      <w:r>
        <w:rPr>
          <w:u w:val="single"/>
        </w:rPr>
        <w:t>w pewnych stężeniach przekraczających wartości progowe ustalone w załączniku I</w:t>
      </w:r>
      <w:r>
        <w:t xml:space="preserve">, a mniej rygorystyczny proces samodzielnej rejestracji już nie </w:t>
      </w:r>
      <w:r>
        <w:lastRenderedPageBreak/>
        <w:t>wystarczy. Istniejące pozwolenia mogą zostać odnowione tylko wtedy, gdy uznane zostaną za spełniające wymogi nowego rozporządzenia.</w:t>
      </w:r>
    </w:p>
    <w:p w:rsidR="00810831" w:rsidRPr="009C3818" w:rsidRDefault="00810831" w:rsidP="008564C2">
      <w:pPr>
        <w:overflowPunct/>
        <w:adjustRightInd/>
        <w:textAlignment w:val="auto"/>
      </w:pPr>
    </w:p>
    <w:p w:rsidR="00810831" w:rsidRPr="009C3818" w:rsidRDefault="008564C2" w:rsidP="008564C2">
      <w:pPr>
        <w:pStyle w:val="ListParagraph"/>
        <w:keepNext/>
        <w:numPr>
          <w:ilvl w:val="0"/>
          <w:numId w:val="2"/>
        </w:numPr>
        <w:tabs>
          <w:tab w:val="left" w:pos="567"/>
        </w:tabs>
        <w:overflowPunct/>
        <w:adjustRightInd/>
        <w:ind w:left="0" w:firstLine="0"/>
        <w:textAlignment w:val="auto"/>
        <w:outlineLvl w:val="0"/>
      </w:pPr>
      <w:r>
        <w:rPr>
          <w:b/>
        </w:rPr>
        <w:t>Punkt 3.6</w:t>
      </w:r>
    </w:p>
    <w:p w:rsidR="00810831" w:rsidRPr="009C3818" w:rsidRDefault="00810831" w:rsidP="008564C2">
      <w:pPr>
        <w:keepNext/>
        <w:overflowPunct/>
        <w:adjustRightInd/>
        <w:textAlignment w:val="auto"/>
      </w:pPr>
    </w:p>
    <w:p w:rsidR="00810831" w:rsidRPr="009C3818" w:rsidRDefault="00810831" w:rsidP="008564C2">
      <w:pPr>
        <w:overflowPunct/>
        <w:adjustRightInd/>
        <w:textAlignment w:val="auto"/>
      </w:pPr>
      <w:r>
        <w:t>Zmienić</w:t>
      </w:r>
    </w:p>
    <w:p w:rsidR="00810831" w:rsidRPr="009C3818" w:rsidRDefault="00810831" w:rsidP="008564C2">
      <w:pPr>
        <w:overflowPunct/>
        <w:adjustRightInd/>
        <w:textAlignment w:val="auto"/>
      </w:pPr>
    </w:p>
    <w:p w:rsidR="00810831" w:rsidRPr="009C3818" w:rsidRDefault="009E5A4B" w:rsidP="008564C2">
      <w:pPr>
        <w:overflowPunct/>
        <w:adjustRightInd/>
        <w:ind w:left="567"/>
        <w:textAlignment w:val="auto"/>
      </w:pPr>
      <w:r>
        <w:t>3.6</w:t>
      </w:r>
      <w:r>
        <w:tab/>
        <w:t xml:space="preserve">Uznaje się konieczność informowania o nowych środkach wszystkich podmiotów biorących udział w łańcuchach dostaw zarówno w formie fizycznej jak i elektronicznej, choć mechanizm tego informowania pozostaje niejasny. </w:t>
      </w:r>
      <w:r>
        <w:rPr>
          <w:u w:val="single"/>
        </w:rPr>
        <w:t>Na przykład celem kart charakterystyki jest zachowanie bezpieczeństwa pracowników i konsumentów podczas obchodzenia się z</w:t>
      </w:r>
      <w:r w:rsidR="00AA2D8E">
        <w:rPr>
          <w:u w:val="single"/>
        </w:rPr>
        <w:t> </w:t>
      </w:r>
      <w:r>
        <w:rPr>
          <w:u w:val="single"/>
        </w:rPr>
        <w:t>substancjami, a nie zapobieganie ich nielegalnemu wykorzystywaniu. Określone w</w:t>
      </w:r>
      <w:r w:rsidR="00AA2D8E">
        <w:rPr>
          <w:u w:val="single"/>
        </w:rPr>
        <w:t> </w:t>
      </w:r>
      <w:r>
        <w:rPr>
          <w:u w:val="single"/>
        </w:rPr>
        <w:t>załączniku</w:t>
      </w:r>
      <w:r w:rsidR="00AA2D8E">
        <w:rPr>
          <w:u w:val="single"/>
        </w:rPr>
        <w:t> </w:t>
      </w:r>
      <w:r>
        <w:rPr>
          <w:u w:val="single"/>
        </w:rPr>
        <w:t xml:space="preserve">I niezwykle istotne stężenia graniczne trudno jest interpretować w odniesieniu do niektórych wymienionych substancji i możliwe, że trzeba je będzie zmienić, </w:t>
      </w:r>
      <w:proofErr w:type="gramStart"/>
      <w:r>
        <w:rPr>
          <w:u w:val="single"/>
        </w:rPr>
        <w:t>zwłaszcza że</w:t>
      </w:r>
      <w:proofErr w:type="gramEnd"/>
      <w:r>
        <w:rPr>
          <w:u w:val="single"/>
        </w:rPr>
        <w:t xml:space="preserve"> każde z nich odnosi się do odmiennego łańcucha dostaw i różnych podmiotów gospodarczych.</w:t>
      </w:r>
      <w:r>
        <w:t xml:space="preserve"> O ile </w:t>
      </w:r>
      <w:r>
        <w:rPr>
          <w:strike/>
        </w:rPr>
        <w:t>istnieje jakakolwiek najlepsza praktyka</w:t>
      </w:r>
      <w:r>
        <w:t xml:space="preserve"> </w:t>
      </w:r>
      <w:r>
        <w:rPr>
          <w:u w:val="single"/>
        </w:rPr>
        <w:t xml:space="preserve">istnieją jakiekolwiek najlepsze praktyki </w:t>
      </w:r>
      <w:r>
        <w:t xml:space="preserve">w tym względzie </w:t>
      </w:r>
      <w:r>
        <w:rPr>
          <w:u w:val="single"/>
        </w:rPr>
        <w:t>na poziomie państw członkowskich</w:t>
      </w:r>
      <w:r>
        <w:t xml:space="preserve">, </w:t>
      </w:r>
      <w:r>
        <w:rPr>
          <w:strike/>
        </w:rPr>
        <w:t>powinna ona zostać</w:t>
      </w:r>
      <w:r>
        <w:t xml:space="preserve"> </w:t>
      </w:r>
      <w:r>
        <w:rPr>
          <w:u w:val="single"/>
        </w:rPr>
        <w:t xml:space="preserve">należy je </w:t>
      </w:r>
      <w:r>
        <w:t xml:space="preserve">możliwie szeroko </w:t>
      </w:r>
      <w:proofErr w:type="spellStart"/>
      <w:r>
        <w:rPr>
          <w:strike/>
        </w:rPr>
        <w:t>rozpowszechniona</w:t>
      </w:r>
      <w:r>
        <w:rPr>
          <w:u w:val="single"/>
        </w:rPr>
        <w:t>rozpowszechniać</w:t>
      </w:r>
      <w:proofErr w:type="spellEnd"/>
      <w:r>
        <w:t>.</w:t>
      </w:r>
    </w:p>
    <w:p w:rsidR="00810831" w:rsidRPr="009C3818" w:rsidRDefault="00810831" w:rsidP="008564C2">
      <w:pPr>
        <w:overflowPunct/>
        <w:adjustRightInd/>
        <w:textAlignment w:val="auto"/>
      </w:pPr>
    </w:p>
    <w:p w:rsidR="00327B44" w:rsidRPr="009C3818" w:rsidRDefault="008564C2" w:rsidP="008564C2">
      <w:pPr>
        <w:pStyle w:val="ListParagraph"/>
        <w:keepNext/>
        <w:numPr>
          <w:ilvl w:val="0"/>
          <w:numId w:val="2"/>
        </w:numPr>
        <w:tabs>
          <w:tab w:val="left" w:pos="567"/>
        </w:tabs>
        <w:overflowPunct/>
        <w:adjustRightInd/>
        <w:ind w:left="0" w:firstLine="0"/>
        <w:textAlignment w:val="auto"/>
        <w:outlineLvl w:val="0"/>
      </w:pPr>
      <w:r>
        <w:rPr>
          <w:b/>
        </w:rPr>
        <w:t>Punkt 4.4</w:t>
      </w:r>
    </w:p>
    <w:p w:rsidR="00327B44" w:rsidRPr="009C3818" w:rsidRDefault="00327B44" w:rsidP="008564C2">
      <w:pPr>
        <w:keepNext/>
        <w:overflowPunct/>
        <w:adjustRightInd/>
        <w:textAlignment w:val="auto"/>
      </w:pPr>
    </w:p>
    <w:p w:rsidR="00327B44" w:rsidRPr="009C3818" w:rsidRDefault="00327B44" w:rsidP="008564C2">
      <w:pPr>
        <w:overflowPunct/>
        <w:adjustRightInd/>
        <w:textAlignment w:val="auto"/>
      </w:pPr>
      <w:r>
        <w:t>Zmienić</w:t>
      </w:r>
    </w:p>
    <w:p w:rsidR="00327B44" w:rsidRPr="009C3818" w:rsidRDefault="00327B44" w:rsidP="008564C2">
      <w:pPr>
        <w:overflowPunct/>
        <w:adjustRightInd/>
        <w:textAlignment w:val="auto"/>
      </w:pPr>
    </w:p>
    <w:p w:rsidR="00810831" w:rsidRPr="009C3818" w:rsidRDefault="00327B44" w:rsidP="008564C2">
      <w:pPr>
        <w:overflowPunct/>
        <w:adjustRightInd/>
        <w:ind w:left="567"/>
        <w:textAlignment w:val="auto"/>
      </w:pPr>
      <w:r>
        <w:t>4.4</w:t>
      </w:r>
      <w:r>
        <w:tab/>
        <w:t xml:space="preserve">EKES rozumie, że kluczowe zagadnienie dotyczące zakresu stosowania rozporządzenia, tj. produktów, które należy kontrolować, zostało poddane przeglądowi przez Komisję na wczesnym etapie, ale nie zostało to określone w ocenie skutków. </w:t>
      </w:r>
      <w:r>
        <w:rPr>
          <w:u w:val="single"/>
        </w:rPr>
        <w:t>Jak już wspomniano, wydaje się, że brak jest analizy rynku w odniesieniu do trzech substancji chemicznych dodanych w</w:t>
      </w:r>
      <w:r w:rsidR="00AA2D8E">
        <w:rPr>
          <w:u w:val="single"/>
        </w:rPr>
        <w:t> </w:t>
      </w:r>
      <w:r>
        <w:rPr>
          <w:u w:val="single"/>
        </w:rPr>
        <w:t xml:space="preserve">2016 r. w drodze aktów </w:t>
      </w:r>
      <w:proofErr w:type="gramStart"/>
      <w:r>
        <w:rPr>
          <w:u w:val="single"/>
        </w:rPr>
        <w:t>delegowanych.</w:t>
      </w:r>
      <w:r>
        <w:t xml:space="preserve"> </w:t>
      </w:r>
      <w:proofErr w:type="gramEnd"/>
      <w:r>
        <w:t xml:space="preserve">Brak kontroli kwasu chlorowodorowego, który </w:t>
      </w:r>
      <w:r>
        <w:rPr>
          <w:u w:val="single"/>
        </w:rPr>
        <w:t>ujęto w ocenie skutków przygotowanej dla obecnego rozporządzenia, ale</w:t>
      </w:r>
      <w:r>
        <w:t xml:space="preserve"> w ostatniej chwili </w:t>
      </w:r>
      <w:r>
        <w:rPr>
          <w:u w:val="single"/>
        </w:rPr>
        <w:t xml:space="preserve">bez uzasadnienia </w:t>
      </w:r>
      <w:r>
        <w:t>skreślono z istniejącego wykazu, pozostaje kwestią niewyjaśnioną. Inne prekursory o średnim priorytecie, w tym nadmanganian potasu, azotan sodu, mocznik i</w:t>
      </w:r>
      <w:r w:rsidR="00AA2D8E">
        <w:t> </w:t>
      </w:r>
      <w:r>
        <w:t xml:space="preserve">sproszkowany cynk, </w:t>
      </w:r>
      <w:r>
        <w:rPr>
          <w:u w:val="single"/>
        </w:rPr>
        <w:t xml:space="preserve">które widnieją w innych wykazach potencjalnych produktów podwójnego </w:t>
      </w:r>
      <w:proofErr w:type="spellStart"/>
      <w:r>
        <w:rPr>
          <w:u w:val="single"/>
        </w:rPr>
        <w:t>zastosowania</w:t>
      </w:r>
      <w:r>
        <w:t>powinny</w:t>
      </w:r>
      <w:proofErr w:type="spellEnd"/>
      <w:r>
        <w:t xml:space="preserve"> zostać przynajmniej omówione. Przydatne byłoby nakłonienie przynajmniej krajów rozwiniętych do przyjęcia ogólnie uznanego wykazu.</w:t>
      </w:r>
    </w:p>
    <w:p w:rsidR="00296F94" w:rsidRPr="009C3818" w:rsidRDefault="00296F94" w:rsidP="008564C2">
      <w:pPr>
        <w:overflowPunct/>
        <w:adjustRightInd/>
        <w:textAlignment w:val="auto"/>
      </w:pPr>
    </w:p>
    <w:p w:rsidR="00210735" w:rsidRPr="009C3818" w:rsidRDefault="008564C2" w:rsidP="008564C2">
      <w:pPr>
        <w:pStyle w:val="ListParagraph"/>
        <w:keepNext/>
        <w:numPr>
          <w:ilvl w:val="0"/>
          <w:numId w:val="2"/>
        </w:numPr>
        <w:tabs>
          <w:tab w:val="left" w:pos="567"/>
        </w:tabs>
        <w:overflowPunct/>
        <w:adjustRightInd/>
        <w:ind w:left="0" w:firstLine="0"/>
        <w:textAlignment w:val="auto"/>
        <w:outlineLvl w:val="0"/>
        <w:rPr>
          <w:b/>
        </w:rPr>
      </w:pPr>
      <w:r>
        <w:rPr>
          <w:b/>
        </w:rPr>
        <w:t>Punkt 4.10</w:t>
      </w:r>
    </w:p>
    <w:p w:rsidR="00210735" w:rsidRPr="009C3818" w:rsidRDefault="00210735" w:rsidP="008564C2">
      <w:pPr>
        <w:keepNext/>
        <w:overflowPunct/>
        <w:adjustRightInd/>
        <w:textAlignment w:val="auto"/>
      </w:pPr>
    </w:p>
    <w:p w:rsidR="00210735" w:rsidRPr="009C3818" w:rsidRDefault="00210735" w:rsidP="008564C2">
      <w:pPr>
        <w:overflowPunct/>
        <w:adjustRightInd/>
        <w:ind w:left="22" w:hanging="22"/>
        <w:textAlignment w:val="auto"/>
      </w:pPr>
      <w:r>
        <w:t>Dodać przypis w następujący sposób:</w:t>
      </w:r>
    </w:p>
    <w:p w:rsidR="00210735" w:rsidRPr="009C3818" w:rsidRDefault="00210735" w:rsidP="008564C2">
      <w:pPr>
        <w:overflowPunct/>
        <w:adjustRightInd/>
        <w:textAlignment w:val="auto"/>
      </w:pPr>
    </w:p>
    <w:p w:rsidR="00296F94" w:rsidRPr="009C3818" w:rsidRDefault="00210735" w:rsidP="008564C2">
      <w:pPr>
        <w:overflowPunct/>
        <w:adjustRightInd/>
        <w:ind w:left="567"/>
        <w:textAlignment w:val="auto"/>
      </w:pPr>
      <w:r>
        <w:t>4.10</w:t>
      </w:r>
      <w:r>
        <w:tab/>
        <w:t>Umożliwiłoby to również bardziej długofalową współpracę i wymianę informacji z</w:t>
      </w:r>
      <w:r w:rsidR="00AA2D8E">
        <w:t> </w:t>
      </w:r>
      <w:r>
        <w:t>producentami i innymi osobami, których to dotyczy. Wszystkie te podmioty popierają środki mające na celu ograniczenie niewłaściwego wykorzystania tych produktów. Ilości wykorzystane do nielegalnych zastosowań są nieistotne w porównaniu z ryzykiem utraty reputacji lub narażenia się na poważniejsze ograniczenia. Globalne wysiłki na rzecz kontrolowania bardzo niewielkich ilości bezwodnika octowego potrzebnego do produkcji nielegalnych narkotyków, w</w:t>
      </w:r>
      <w:r w:rsidR="00AA2D8E">
        <w:t> </w:t>
      </w:r>
      <w:r>
        <w:t xml:space="preserve">tym heroiny, jest dobrym przykładem tego, co można osiągnąć w tym zakresie. W styczniu </w:t>
      </w:r>
      <w:r>
        <w:lastRenderedPageBreak/>
        <w:t>2013 r.</w:t>
      </w:r>
      <w:r w:rsidRPr="009C3818">
        <w:rPr>
          <w:rStyle w:val="FootnoteReference"/>
        </w:rPr>
        <w:footnoteReference w:id="3"/>
      </w:r>
      <w:r>
        <w:t xml:space="preserve"> EKES opublikował opinię w sprawie wniosku dotyczącego prekursorów narkotykowych. Wiele rozważonych wówczas koncepcji dotyczy w równym stopniu prekursorów materiałów wybuchowych podlegających ograniczeniom lub zgłoszeniu na podstawie omawianego wniosku.</w:t>
      </w:r>
    </w:p>
    <w:p w:rsidR="0053729F" w:rsidRPr="009C3818" w:rsidRDefault="0053729F" w:rsidP="008564C2">
      <w:pPr>
        <w:overflowPunct/>
        <w:adjustRightInd/>
        <w:textAlignment w:val="auto"/>
      </w:pPr>
    </w:p>
    <w:p w:rsidR="00210735" w:rsidRPr="009C3818" w:rsidRDefault="008564C2" w:rsidP="008564C2">
      <w:pPr>
        <w:pStyle w:val="ListParagraph"/>
        <w:keepNext/>
        <w:numPr>
          <w:ilvl w:val="0"/>
          <w:numId w:val="2"/>
        </w:numPr>
        <w:tabs>
          <w:tab w:val="left" w:pos="567"/>
        </w:tabs>
        <w:overflowPunct/>
        <w:adjustRightInd/>
        <w:ind w:left="0" w:firstLine="0"/>
        <w:textAlignment w:val="auto"/>
        <w:outlineLvl w:val="0"/>
        <w:rPr>
          <w:b/>
        </w:rPr>
      </w:pPr>
      <w:r>
        <w:rPr>
          <w:b/>
        </w:rPr>
        <w:t>Punkt 1.1</w:t>
      </w:r>
    </w:p>
    <w:p w:rsidR="00210735" w:rsidRPr="009C3818" w:rsidRDefault="00210735" w:rsidP="008564C2">
      <w:pPr>
        <w:keepNext/>
        <w:overflowPunct/>
        <w:adjustRightInd/>
        <w:textAlignment w:val="auto"/>
      </w:pPr>
    </w:p>
    <w:p w:rsidR="00210735" w:rsidRPr="009C3818" w:rsidRDefault="00375427" w:rsidP="008564C2">
      <w:pPr>
        <w:overflowPunct/>
        <w:adjustRightInd/>
        <w:ind w:left="22" w:hanging="22"/>
        <w:textAlignment w:val="auto"/>
      </w:pPr>
      <w:r>
        <w:t>Dodać przypis w następujący sposób:</w:t>
      </w:r>
    </w:p>
    <w:p w:rsidR="00210735" w:rsidRPr="009C3818" w:rsidRDefault="00210735" w:rsidP="008564C2">
      <w:pPr>
        <w:overflowPunct/>
        <w:adjustRightInd/>
        <w:textAlignment w:val="auto"/>
      </w:pPr>
    </w:p>
    <w:p w:rsidR="00210735" w:rsidRPr="009C3818" w:rsidRDefault="00375427" w:rsidP="008564C2">
      <w:pPr>
        <w:overflowPunct/>
        <w:adjustRightInd/>
        <w:ind w:left="567"/>
        <w:textAlignment w:val="auto"/>
      </w:pPr>
      <w:r>
        <w:t>1.1</w:t>
      </w:r>
      <w:r>
        <w:tab/>
        <w:t xml:space="preserve">EKES z zadowoleniem przyjmuje proponowane rozporządzenie, oparte na istniejącym rozporządzeniu, które ma zastąpić i w </w:t>
      </w:r>
      <w:proofErr w:type="gramStart"/>
      <w:r>
        <w:t>sprawie którego</w:t>
      </w:r>
      <w:proofErr w:type="gramEnd"/>
      <w:r>
        <w:t xml:space="preserve"> Komitet wydał opinię w styczniu 2011</w:t>
      </w:r>
      <w:r w:rsidR="00AA2D8E">
        <w:t> </w:t>
      </w:r>
      <w:r>
        <w:t>r.</w:t>
      </w:r>
      <w:r w:rsidRPr="009C3818">
        <w:rPr>
          <w:rStyle w:val="FootnoteReference"/>
        </w:rPr>
        <w:footnoteReference w:id="4"/>
      </w:r>
      <w:r>
        <w:t xml:space="preserve"> W nowym wniosku próbuje się wykorzystać doświadczenia nabyte na szczeblu krajowym i</w:t>
      </w:r>
      <w:r w:rsidR="00AA2D8E">
        <w:t> </w:t>
      </w:r>
      <w:r>
        <w:t>unijnym od czasu wejścia w życie rozporządzenia w 2013 r. do czasu jego (planowanego) pełnego wdrożenia do września 2014 r.</w:t>
      </w:r>
    </w:p>
    <w:p w:rsidR="00210735" w:rsidRPr="009C3818" w:rsidRDefault="00210735" w:rsidP="008564C2">
      <w:pPr>
        <w:overflowPunct/>
        <w:adjustRightInd/>
        <w:textAlignment w:val="auto"/>
        <w:rPr>
          <w:i/>
        </w:rPr>
      </w:pPr>
    </w:p>
    <w:p w:rsidR="00210735" w:rsidRPr="009C3818" w:rsidRDefault="008564C2" w:rsidP="008564C2">
      <w:pPr>
        <w:pStyle w:val="ListParagraph"/>
        <w:keepNext/>
        <w:numPr>
          <w:ilvl w:val="0"/>
          <w:numId w:val="2"/>
        </w:numPr>
        <w:tabs>
          <w:tab w:val="left" w:pos="567"/>
        </w:tabs>
        <w:overflowPunct/>
        <w:adjustRightInd/>
        <w:ind w:left="0" w:firstLine="0"/>
        <w:textAlignment w:val="auto"/>
        <w:outlineLvl w:val="0"/>
        <w:rPr>
          <w:b/>
        </w:rPr>
      </w:pPr>
      <w:r>
        <w:rPr>
          <w:b/>
        </w:rPr>
        <w:t>Punkt 1.4</w:t>
      </w:r>
    </w:p>
    <w:p w:rsidR="00210735" w:rsidRPr="009C3818" w:rsidRDefault="00210735" w:rsidP="008564C2">
      <w:pPr>
        <w:keepNext/>
        <w:overflowPunct/>
        <w:adjustRightInd/>
        <w:textAlignment w:val="auto"/>
      </w:pPr>
    </w:p>
    <w:p w:rsidR="00210735" w:rsidRPr="009C3818" w:rsidRDefault="00210735" w:rsidP="008564C2">
      <w:pPr>
        <w:overflowPunct/>
        <w:adjustRightInd/>
        <w:ind w:left="22" w:hanging="22"/>
        <w:textAlignment w:val="auto"/>
      </w:pPr>
      <w:r>
        <w:t>Dodać przypis w następujący sposób:</w:t>
      </w:r>
    </w:p>
    <w:p w:rsidR="00210735" w:rsidRPr="009C3818" w:rsidRDefault="00210735" w:rsidP="008564C2">
      <w:pPr>
        <w:overflowPunct/>
        <w:adjustRightInd/>
        <w:textAlignment w:val="auto"/>
      </w:pPr>
    </w:p>
    <w:p w:rsidR="00210735" w:rsidRPr="009C3818" w:rsidRDefault="00375427" w:rsidP="008564C2">
      <w:pPr>
        <w:overflowPunct/>
        <w:adjustRightInd/>
        <w:ind w:left="567"/>
        <w:textAlignment w:val="auto"/>
      </w:pPr>
      <w:r>
        <w:t>1.4</w:t>
      </w:r>
      <w:r>
        <w:tab/>
        <w:t xml:space="preserve">Wreszcie, EKES po raz kolejny wyraża </w:t>
      </w:r>
      <w:proofErr w:type="gramStart"/>
      <w:r>
        <w:t>wątpliwość co</w:t>
      </w:r>
      <w:proofErr w:type="gramEnd"/>
      <w:r>
        <w:t xml:space="preserve"> do skuteczności grupowania tych bardzo zróżnicowanych substancji w ramach jednego systemu regulacyjnego. Sprawia to, że trudno jest zaprojektować przepisy, a jeszcze trudniejsze jest ich stosowanie lub zrozumienie przez zawodowych i przeciętnych użytkowników. Dlatego też zaleca się zróżnicowane podejście do poszczególnych substancji. Prawodawstwo UE w zakresie prekursorów narkotykowych stanowi w tym zakresie użyteczny model</w:t>
      </w:r>
      <w:r w:rsidRPr="009C3818">
        <w:rPr>
          <w:rStyle w:val="FootnoteReference"/>
        </w:rPr>
        <w:footnoteReference w:id="5"/>
      </w:r>
      <w:r>
        <w:t>.</w:t>
      </w:r>
    </w:p>
    <w:p w:rsidR="00C924EA" w:rsidRPr="009C3818" w:rsidRDefault="00C924EA" w:rsidP="008564C2">
      <w:pPr>
        <w:overflowPunct/>
        <w:adjustRightInd/>
        <w:textAlignment w:val="auto"/>
      </w:pPr>
    </w:p>
    <w:p w:rsidR="0053729F" w:rsidRPr="009C3818" w:rsidRDefault="0053729F" w:rsidP="008564C2">
      <w:pPr>
        <w:jc w:val="center"/>
      </w:pPr>
      <w:r>
        <w:t>_____________</w:t>
      </w:r>
    </w:p>
    <w:p w:rsidR="0053729F" w:rsidRPr="009C3818" w:rsidRDefault="0053729F" w:rsidP="008564C2">
      <w:pPr>
        <w:overflowPunct/>
        <w:adjustRightInd/>
        <w:textAlignment w:val="auto"/>
      </w:pPr>
    </w:p>
    <w:sectPr w:rsidR="0053729F" w:rsidRPr="009C3818" w:rsidSect="00C746A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FD" w:rsidRDefault="00B177FD">
      <w:r>
        <w:separator/>
      </w:r>
    </w:p>
  </w:endnote>
  <w:endnote w:type="continuationSeparator" w:id="0">
    <w:p w:rsidR="00B177FD" w:rsidRDefault="00B1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A4" w:rsidRPr="00C746A4" w:rsidRDefault="00C746A4" w:rsidP="00C74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C6" w:rsidRPr="00C746A4" w:rsidRDefault="00C746A4" w:rsidP="00C746A4">
    <w:pPr>
      <w:pStyle w:val="Footer"/>
    </w:pPr>
    <w:r>
      <w:t xml:space="preserve">INT/850 – EESC-2018-02235-00-02-CORR-TRA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E05C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8E05C4">
        <w:rPr>
          <w:noProof/>
        </w:rPr>
        <w:instrText>4</w:instrText>
      </w:r>
    </w:fldSimple>
    <w:r>
      <w:instrText xml:space="preserve"> </w:instrText>
    </w:r>
    <w:r>
      <w:fldChar w:fldCharType="separate"/>
    </w:r>
    <w:r w:rsidR="008E05C4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A4" w:rsidRPr="00C746A4" w:rsidRDefault="00C746A4" w:rsidP="00C746A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C6" w:rsidRPr="00C746A4" w:rsidRDefault="002413C6" w:rsidP="00C746A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C6" w:rsidRPr="00C746A4" w:rsidRDefault="00C746A4" w:rsidP="00C746A4">
    <w:pPr>
      <w:pStyle w:val="Footer"/>
    </w:pPr>
    <w:r>
      <w:t xml:space="preserve">INT/850 – EESC-2018-02235-00-02-CORR-TRA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E05C4">
      <w:rPr>
        <w:noProof/>
      </w:rPr>
      <w:t>4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8E05C4">
        <w:rPr>
          <w:noProof/>
        </w:rPr>
        <w:instrText>4</w:instrText>
      </w:r>
    </w:fldSimple>
    <w:r>
      <w:instrText xml:space="preserve"> </w:instrText>
    </w:r>
    <w:r>
      <w:fldChar w:fldCharType="separate"/>
    </w:r>
    <w:r w:rsidR="008E05C4">
      <w:rPr>
        <w:noProof/>
      </w:rPr>
      <w:t>4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C6" w:rsidRPr="00C746A4" w:rsidRDefault="002413C6" w:rsidP="00C74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FD" w:rsidRDefault="00B177FD">
      <w:r>
        <w:separator/>
      </w:r>
    </w:p>
  </w:footnote>
  <w:footnote w:type="continuationSeparator" w:id="0">
    <w:p w:rsidR="00B177FD" w:rsidRDefault="00B177FD">
      <w:r>
        <w:continuationSeparator/>
      </w:r>
    </w:p>
  </w:footnote>
  <w:footnote w:id="1">
    <w:p w:rsidR="005E1BA2" w:rsidRPr="008564C2" w:rsidRDefault="005E1BA2" w:rsidP="008564C2">
      <w:pPr>
        <w:pStyle w:val="FootnoteText"/>
      </w:pPr>
      <w:r w:rsidRPr="008564C2">
        <w:rPr>
          <w:rStyle w:val="FootnoteReference"/>
        </w:rPr>
        <w:footnoteRef/>
      </w:r>
      <w:r w:rsidRPr="008564C2">
        <w:rPr>
          <w:rStyle w:val="FootnoteReference"/>
        </w:rPr>
        <w:t xml:space="preserve"> </w:t>
      </w:r>
      <w:r>
        <w:tab/>
      </w:r>
      <w:hyperlink r:id="rId1" w:history="1">
        <w:r>
          <w:rPr>
            <w:rStyle w:val="Hyperlink"/>
          </w:rPr>
          <w:t xml:space="preserve">Dz.U. C 204 z 9.8.2008, </w:t>
        </w:r>
        <w:proofErr w:type="gramStart"/>
        <w:r>
          <w:rPr>
            <w:rStyle w:val="Hyperlink"/>
          </w:rPr>
          <w:t>s</w:t>
        </w:r>
        <w:proofErr w:type="gramEnd"/>
        <w:r>
          <w:rPr>
            <w:rStyle w:val="Hyperlink"/>
          </w:rPr>
          <w:t>. 13</w:t>
        </w:r>
      </w:hyperlink>
      <w:r>
        <w:t>.</w:t>
      </w:r>
    </w:p>
  </w:footnote>
  <w:footnote w:id="2">
    <w:p w:rsidR="0034582F" w:rsidRPr="008564C2" w:rsidRDefault="0034582F" w:rsidP="008564C2">
      <w:pPr>
        <w:pStyle w:val="FootnoteText"/>
      </w:pPr>
      <w:r w:rsidRPr="008564C2">
        <w:rPr>
          <w:rStyle w:val="FootnoteReference"/>
        </w:rPr>
        <w:footnoteRef/>
      </w:r>
      <w:r w:rsidRPr="008564C2">
        <w:rPr>
          <w:rStyle w:val="FootnoteReference"/>
        </w:rPr>
        <w:t xml:space="preserve"> </w:t>
      </w:r>
      <w:r>
        <w:tab/>
      </w:r>
      <w:hyperlink r:id="rId2" w:history="1">
        <w:r>
          <w:rPr>
            <w:rStyle w:val="Hyperlink"/>
          </w:rPr>
          <w:t xml:space="preserve">Dz.U. C 84 z 17.3.2011, </w:t>
        </w:r>
        <w:proofErr w:type="gramStart"/>
        <w:r>
          <w:rPr>
            <w:rStyle w:val="Hyperlink"/>
          </w:rPr>
          <w:t>s</w:t>
        </w:r>
        <w:proofErr w:type="gramEnd"/>
        <w:r>
          <w:rPr>
            <w:rStyle w:val="Hyperlink"/>
          </w:rPr>
          <w:t>. 25</w:t>
        </w:r>
      </w:hyperlink>
      <w:r>
        <w:t>.</w:t>
      </w:r>
    </w:p>
  </w:footnote>
  <w:footnote w:id="3">
    <w:p w:rsidR="00210735" w:rsidRPr="008564C2" w:rsidRDefault="00210735" w:rsidP="008564C2">
      <w:pPr>
        <w:pStyle w:val="FootnoteText"/>
      </w:pPr>
      <w:r w:rsidRPr="008564C2">
        <w:rPr>
          <w:rStyle w:val="FootnoteReference"/>
        </w:rPr>
        <w:footnoteRef/>
      </w:r>
      <w:r w:rsidRPr="008564C2">
        <w:rPr>
          <w:rStyle w:val="FootnoteReference"/>
        </w:rPr>
        <w:t xml:space="preserve"> </w:t>
      </w:r>
      <w:r>
        <w:tab/>
      </w:r>
      <w:hyperlink r:id="rId3" w:history="1">
        <w:r>
          <w:rPr>
            <w:rStyle w:val="Hyperlink"/>
          </w:rPr>
          <w:t xml:space="preserve">Dz.U. C 76 z 14.3.2013, </w:t>
        </w:r>
        <w:proofErr w:type="gramStart"/>
        <w:r>
          <w:rPr>
            <w:rStyle w:val="Hyperlink"/>
          </w:rPr>
          <w:t>s</w:t>
        </w:r>
        <w:proofErr w:type="gramEnd"/>
        <w:r>
          <w:rPr>
            <w:rStyle w:val="Hyperlink"/>
          </w:rPr>
          <w:t>. 54</w:t>
        </w:r>
      </w:hyperlink>
      <w:r>
        <w:t>.</w:t>
      </w:r>
    </w:p>
  </w:footnote>
  <w:footnote w:id="4">
    <w:p w:rsidR="00375427" w:rsidRPr="008564C2" w:rsidRDefault="00375427" w:rsidP="008564C2">
      <w:pPr>
        <w:pStyle w:val="FootnoteText"/>
      </w:pPr>
      <w:r w:rsidRPr="008564C2">
        <w:rPr>
          <w:rStyle w:val="FootnoteReference"/>
        </w:rPr>
        <w:footnoteRef/>
      </w:r>
      <w:r w:rsidRPr="008564C2">
        <w:rPr>
          <w:rStyle w:val="FootnoteReference"/>
        </w:rPr>
        <w:t xml:space="preserve"> </w:t>
      </w:r>
      <w:r>
        <w:tab/>
      </w:r>
      <w:hyperlink r:id="rId4" w:history="1">
        <w:r>
          <w:rPr>
            <w:rStyle w:val="Hyperlink"/>
          </w:rPr>
          <w:t xml:space="preserve">Dz.U. C 84 z 17.3.2011, </w:t>
        </w:r>
        <w:proofErr w:type="gramStart"/>
        <w:r>
          <w:rPr>
            <w:rStyle w:val="Hyperlink"/>
          </w:rPr>
          <w:t>s</w:t>
        </w:r>
        <w:proofErr w:type="gramEnd"/>
        <w:r>
          <w:rPr>
            <w:rStyle w:val="Hyperlink"/>
          </w:rPr>
          <w:t>. 25</w:t>
        </w:r>
      </w:hyperlink>
      <w:r>
        <w:t>.</w:t>
      </w:r>
    </w:p>
  </w:footnote>
  <w:footnote w:id="5">
    <w:p w:rsidR="00375427" w:rsidRPr="008564C2" w:rsidRDefault="00375427" w:rsidP="008564C2">
      <w:pPr>
        <w:pStyle w:val="FootnoteText"/>
      </w:pPr>
      <w:r w:rsidRPr="008564C2">
        <w:rPr>
          <w:rStyle w:val="FootnoteReference"/>
        </w:rPr>
        <w:footnoteRef/>
      </w:r>
      <w:r w:rsidRPr="008564C2">
        <w:rPr>
          <w:rStyle w:val="FootnoteReference"/>
        </w:rPr>
        <w:t xml:space="preserve"> </w:t>
      </w:r>
      <w:r>
        <w:tab/>
      </w:r>
      <w:hyperlink r:id="rId5" w:history="1">
        <w:r>
          <w:rPr>
            <w:rStyle w:val="Hyperlink"/>
          </w:rPr>
          <w:t xml:space="preserve">Dz.U. C 76 z 14.3.2013, </w:t>
        </w:r>
        <w:proofErr w:type="gramStart"/>
        <w:r>
          <w:rPr>
            <w:rStyle w:val="Hyperlink"/>
          </w:rPr>
          <w:t>s</w:t>
        </w:r>
        <w:proofErr w:type="gramEnd"/>
        <w:r>
          <w:rPr>
            <w:rStyle w:val="Hyperlink"/>
          </w:rPr>
          <w:t>. 54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A4" w:rsidRPr="00C746A4" w:rsidRDefault="00C746A4" w:rsidP="00C74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A4" w:rsidRPr="00C746A4" w:rsidRDefault="00C746A4" w:rsidP="00C746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A4" w:rsidRPr="00C746A4" w:rsidRDefault="00C746A4" w:rsidP="00C746A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C6" w:rsidRPr="00C746A4" w:rsidRDefault="002413C6" w:rsidP="00C746A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C6" w:rsidRPr="00C746A4" w:rsidRDefault="002413C6" w:rsidP="00C746A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C6" w:rsidRPr="00C746A4" w:rsidRDefault="002413C6" w:rsidP="00C74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C6F27E6"/>
    <w:multiLevelType w:val="singleLevel"/>
    <w:tmpl w:val="669E5930"/>
    <w:lvl w:ilvl="0">
      <w:start w:val="1"/>
      <w:numFmt w:val="lowerLetter"/>
      <w:lvlText w:val="%1)"/>
      <w:lvlJc w:val="left"/>
      <w:pPr>
        <w:ind w:left="382" w:hanging="360"/>
      </w:pPr>
      <w:rPr>
        <w:b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oNotHyphenateCap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8F"/>
    <w:rsid w:val="00000429"/>
    <w:rsid w:val="00000AEA"/>
    <w:rsid w:val="00005AB9"/>
    <w:rsid w:val="00005EB9"/>
    <w:rsid w:val="000068C4"/>
    <w:rsid w:val="00006E24"/>
    <w:rsid w:val="00007A40"/>
    <w:rsid w:val="00017B45"/>
    <w:rsid w:val="00020E6E"/>
    <w:rsid w:val="000308C2"/>
    <w:rsid w:val="00031A4B"/>
    <w:rsid w:val="00033913"/>
    <w:rsid w:val="00033DB4"/>
    <w:rsid w:val="00033E5B"/>
    <w:rsid w:val="000357A8"/>
    <w:rsid w:val="000430A6"/>
    <w:rsid w:val="00044032"/>
    <w:rsid w:val="00044923"/>
    <w:rsid w:val="0005249C"/>
    <w:rsid w:val="00053165"/>
    <w:rsid w:val="000534A5"/>
    <w:rsid w:val="0005680D"/>
    <w:rsid w:val="000577D2"/>
    <w:rsid w:val="00063FB4"/>
    <w:rsid w:val="0006793E"/>
    <w:rsid w:val="00072E0F"/>
    <w:rsid w:val="000735E5"/>
    <w:rsid w:val="0007392F"/>
    <w:rsid w:val="000763DE"/>
    <w:rsid w:val="00084EBF"/>
    <w:rsid w:val="00086853"/>
    <w:rsid w:val="00087B39"/>
    <w:rsid w:val="00093091"/>
    <w:rsid w:val="00093D16"/>
    <w:rsid w:val="00093DE0"/>
    <w:rsid w:val="00096502"/>
    <w:rsid w:val="0009745E"/>
    <w:rsid w:val="000A49BB"/>
    <w:rsid w:val="000A5670"/>
    <w:rsid w:val="000C3441"/>
    <w:rsid w:val="000C5693"/>
    <w:rsid w:val="000C7F53"/>
    <w:rsid w:val="000D247B"/>
    <w:rsid w:val="000D2F8E"/>
    <w:rsid w:val="000E2EB1"/>
    <w:rsid w:val="000F196B"/>
    <w:rsid w:val="000F43E0"/>
    <w:rsid w:val="00105361"/>
    <w:rsid w:val="001101F8"/>
    <w:rsid w:val="0011206F"/>
    <w:rsid w:val="00114C4F"/>
    <w:rsid w:val="0011656A"/>
    <w:rsid w:val="0012220C"/>
    <w:rsid w:val="00123C50"/>
    <w:rsid w:val="00136EA3"/>
    <w:rsid w:val="00137575"/>
    <w:rsid w:val="00144231"/>
    <w:rsid w:val="00146C07"/>
    <w:rsid w:val="00150434"/>
    <w:rsid w:val="00155721"/>
    <w:rsid w:val="0016503F"/>
    <w:rsid w:val="0016587A"/>
    <w:rsid w:val="0016674F"/>
    <w:rsid w:val="00167CA0"/>
    <w:rsid w:val="0017120D"/>
    <w:rsid w:val="001714F6"/>
    <w:rsid w:val="00174333"/>
    <w:rsid w:val="00175FB0"/>
    <w:rsid w:val="00176168"/>
    <w:rsid w:val="00177158"/>
    <w:rsid w:val="00184FD4"/>
    <w:rsid w:val="00186B04"/>
    <w:rsid w:val="00186F1E"/>
    <w:rsid w:val="00190836"/>
    <w:rsid w:val="00193930"/>
    <w:rsid w:val="00194B36"/>
    <w:rsid w:val="001963A5"/>
    <w:rsid w:val="00196F1E"/>
    <w:rsid w:val="00197FCA"/>
    <w:rsid w:val="001A27DB"/>
    <w:rsid w:val="001A6710"/>
    <w:rsid w:val="001A6852"/>
    <w:rsid w:val="001A6AAB"/>
    <w:rsid w:val="001B2142"/>
    <w:rsid w:val="001B286A"/>
    <w:rsid w:val="001B2D02"/>
    <w:rsid w:val="001B3647"/>
    <w:rsid w:val="001B77FA"/>
    <w:rsid w:val="001C02C6"/>
    <w:rsid w:val="001C0ABE"/>
    <w:rsid w:val="001C5852"/>
    <w:rsid w:val="001D45F0"/>
    <w:rsid w:val="001D4A4F"/>
    <w:rsid w:val="001E1335"/>
    <w:rsid w:val="001E3254"/>
    <w:rsid w:val="001E4A33"/>
    <w:rsid w:val="001E5C27"/>
    <w:rsid w:val="001F1BED"/>
    <w:rsid w:val="001F602B"/>
    <w:rsid w:val="001F6AC8"/>
    <w:rsid w:val="00200005"/>
    <w:rsid w:val="002037D5"/>
    <w:rsid w:val="00204B35"/>
    <w:rsid w:val="00206F90"/>
    <w:rsid w:val="00210735"/>
    <w:rsid w:val="002120C7"/>
    <w:rsid w:val="00212B03"/>
    <w:rsid w:val="00215C10"/>
    <w:rsid w:val="00215C2D"/>
    <w:rsid w:val="00215FA0"/>
    <w:rsid w:val="002161A6"/>
    <w:rsid w:val="002202A0"/>
    <w:rsid w:val="002252C4"/>
    <w:rsid w:val="00227BA6"/>
    <w:rsid w:val="002309E4"/>
    <w:rsid w:val="0023140A"/>
    <w:rsid w:val="0023183E"/>
    <w:rsid w:val="00235138"/>
    <w:rsid w:val="002413C6"/>
    <w:rsid w:val="00243E36"/>
    <w:rsid w:val="0024540B"/>
    <w:rsid w:val="00245EF4"/>
    <w:rsid w:val="00250E11"/>
    <w:rsid w:val="00251383"/>
    <w:rsid w:val="002522C9"/>
    <w:rsid w:val="00252A21"/>
    <w:rsid w:val="00253E4F"/>
    <w:rsid w:val="002542E4"/>
    <w:rsid w:val="002608DB"/>
    <w:rsid w:val="00261053"/>
    <w:rsid w:val="00262FDE"/>
    <w:rsid w:val="00263629"/>
    <w:rsid w:val="00265AD7"/>
    <w:rsid w:val="002769BD"/>
    <w:rsid w:val="002809EA"/>
    <w:rsid w:val="00284962"/>
    <w:rsid w:val="00287B0E"/>
    <w:rsid w:val="0029374A"/>
    <w:rsid w:val="0029549C"/>
    <w:rsid w:val="00296F94"/>
    <w:rsid w:val="002A0B53"/>
    <w:rsid w:val="002A0EEF"/>
    <w:rsid w:val="002A47D2"/>
    <w:rsid w:val="002B2DF7"/>
    <w:rsid w:val="002C1D46"/>
    <w:rsid w:val="002C33FC"/>
    <w:rsid w:val="002C3BF4"/>
    <w:rsid w:val="002C749F"/>
    <w:rsid w:val="002D13B8"/>
    <w:rsid w:val="002E0079"/>
    <w:rsid w:val="002E08BE"/>
    <w:rsid w:val="002E6796"/>
    <w:rsid w:val="002E73B3"/>
    <w:rsid w:val="002F059B"/>
    <w:rsid w:val="002F3108"/>
    <w:rsid w:val="002F5B0B"/>
    <w:rsid w:val="00300924"/>
    <w:rsid w:val="0030248F"/>
    <w:rsid w:val="0030596E"/>
    <w:rsid w:val="00305B93"/>
    <w:rsid w:val="003073C3"/>
    <w:rsid w:val="00312EC3"/>
    <w:rsid w:val="00323637"/>
    <w:rsid w:val="003240B6"/>
    <w:rsid w:val="00324E8A"/>
    <w:rsid w:val="00327B44"/>
    <w:rsid w:val="00331D87"/>
    <w:rsid w:val="00332850"/>
    <w:rsid w:val="00334478"/>
    <w:rsid w:val="003346B4"/>
    <w:rsid w:val="00334AE6"/>
    <w:rsid w:val="003365D0"/>
    <w:rsid w:val="003439AB"/>
    <w:rsid w:val="0034582F"/>
    <w:rsid w:val="00354695"/>
    <w:rsid w:val="0035549B"/>
    <w:rsid w:val="00356082"/>
    <w:rsid w:val="00357DD4"/>
    <w:rsid w:val="00365EAE"/>
    <w:rsid w:val="00375427"/>
    <w:rsid w:val="003755C8"/>
    <w:rsid w:val="00375687"/>
    <w:rsid w:val="00375C20"/>
    <w:rsid w:val="003774A1"/>
    <w:rsid w:val="00380AE0"/>
    <w:rsid w:val="00383324"/>
    <w:rsid w:val="00387A75"/>
    <w:rsid w:val="003904FD"/>
    <w:rsid w:val="00390BDD"/>
    <w:rsid w:val="00393EE1"/>
    <w:rsid w:val="00394254"/>
    <w:rsid w:val="00395E7D"/>
    <w:rsid w:val="003B0595"/>
    <w:rsid w:val="003C0433"/>
    <w:rsid w:val="003C2BFB"/>
    <w:rsid w:val="003C436B"/>
    <w:rsid w:val="003C5337"/>
    <w:rsid w:val="003C5F92"/>
    <w:rsid w:val="003C6FAA"/>
    <w:rsid w:val="003D1E8E"/>
    <w:rsid w:val="003D7A8C"/>
    <w:rsid w:val="003D7C00"/>
    <w:rsid w:val="003E423D"/>
    <w:rsid w:val="003E56E5"/>
    <w:rsid w:val="003E7E60"/>
    <w:rsid w:val="003F00D4"/>
    <w:rsid w:val="003F2209"/>
    <w:rsid w:val="003F3D39"/>
    <w:rsid w:val="003F646A"/>
    <w:rsid w:val="003F6761"/>
    <w:rsid w:val="003F6A0A"/>
    <w:rsid w:val="004024F5"/>
    <w:rsid w:val="00402DE1"/>
    <w:rsid w:val="00403D8B"/>
    <w:rsid w:val="004058F1"/>
    <w:rsid w:val="00407E7D"/>
    <w:rsid w:val="0041283D"/>
    <w:rsid w:val="00412EE5"/>
    <w:rsid w:val="00413AB4"/>
    <w:rsid w:val="00420A1B"/>
    <w:rsid w:val="00421373"/>
    <w:rsid w:val="00421FB7"/>
    <w:rsid w:val="00425F75"/>
    <w:rsid w:val="0042763B"/>
    <w:rsid w:val="0043024C"/>
    <w:rsid w:val="00435188"/>
    <w:rsid w:val="00435537"/>
    <w:rsid w:val="00436706"/>
    <w:rsid w:val="00441F60"/>
    <w:rsid w:val="00443D38"/>
    <w:rsid w:val="00450E7A"/>
    <w:rsid w:val="00451D66"/>
    <w:rsid w:val="00456AF8"/>
    <w:rsid w:val="00470B15"/>
    <w:rsid w:val="00475869"/>
    <w:rsid w:val="00475A77"/>
    <w:rsid w:val="004801EB"/>
    <w:rsid w:val="0048080D"/>
    <w:rsid w:val="0048190F"/>
    <w:rsid w:val="00482DDC"/>
    <w:rsid w:val="00483E6C"/>
    <w:rsid w:val="004866A9"/>
    <w:rsid w:val="00492774"/>
    <w:rsid w:val="00496D7A"/>
    <w:rsid w:val="004A31BC"/>
    <w:rsid w:val="004A3F1A"/>
    <w:rsid w:val="004A3F45"/>
    <w:rsid w:val="004B1AFA"/>
    <w:rsid w:val="004B6047"/>
    <w:rsid w:val="004B6415"/>
    <w:rsid w:val="004B7088"/>
    <w:rsid w:val="004C3BE3"/>
    <w:rsid w:val="004C5B76"/>
    <w:rsid w:val="004D02CD"/>
    <w:rsid w:val="004D0B24"/>
    <w:rsid w:val="004D3C24"/>
    <w:rsid w:val="004D4B90"/>
    <w:rsid w:val="004D6B95"/>
    <w:rsid w:val="004D7F41"/>
    <w:rsid w:val="004E03A2"/>
    <w:rsid w:val="004E317E"/>
    <w:rsid w:val="004E3954"/>
    <w:rsid w:val="004E5856"/>
    <w:rsid w:val="004F2330"/>
    <w:rsid w:val="004F53C6"/>
    <w:rsid w:val="004F69DB"/>
    <w:rsid w:val="004F6B87"/>
    <w:rsid w:val="00501C2D"/>
    <w:rsid w:val="00502637"/>
    <w:rsid w:val="00510E19"/>
    <w:rsid w:val="00511140"/>
    <w:rsid w:val="00513CFE"/>
    <w:rsid w:val="00523B6A"/>
    <w:rsid w:val="00525F6C"/>
    <w:rsid w:val="00526970"/>
    <w:rsid w:val="00534054"/>
    <w:rsid w:val="0053729F"/>
    <w:rsid w:val="00546AB4"/>
    <w:rsid w:val="005514E5"/>
    <w:rsid w:val="00563C84"/>
    <w:rsid w:val="0057622F"/>
    <w:rsid w:val="005762F6"/>
    <w:rsid w:val="00584C9F"/>
    <w:rsid w:val="00584FBE"/>
    <w:rsid w:val="00585483"/>
    <w:rsid w:val="005870A8"/>
    <w:rsid w:val="00587378"/>
    <w:rsid w:val="00587C05"/>
    <w:rsid w:val="00590AAB"/>
    <w:rsid w:val="005938C3"/>
    <w:rsid w:val="0059468C"/>
    <w:rsid w:val="00595125"/>
    <w:rsid w:val="005957EA"/>
    <w:rsid w:val="00596F21"/>
    <w:rsid w:val="005B1CDD"/>
    <w:rsid w:val="005B1E19"/>
    <w:rsid w:val="005B55FC"/>
    <w:rsid w:val="005C2D5E"/>
    <w:rsid w:val="005C3B81"/>
    <w:rsid w:val="005C3FF2"/>
    <w:rsid w:val="005C650C"/>
    <w:rsid w:val="005D086C"/>
    <w:rsid w:val="005D11D3"/>
    <w:rsid w:val="005D4E1F"/>
    <w:rsid w:val="005D4FB3"/>
    <w:rsid w:val="005D5FED"/>
    <w:rsid w:val="005E1BA2"/>
    <w:rsid w:val="005E2F07"/>
    <w:rsid w:val="005E2FEA"/>
    <w:rsid w:val="005E419C"/>
    <w:rsid w:val="005E536E"/>
    <w:rsid w:val="005F1A7F"/>
    <w:rsid w:val="005F314B"/>
    <w:rsid w:val="00611AF2"/>
    <w:rsid w:val="0061212B"/>
    <w:rsid w:val="006127AF"/>
    <w:rsid w:val="00615FB2"/>
    <w:rsid w:val="00617BD1"/>
    <w:rsid w:val="00617CE8"/>
    <w:rsid w:val="0062043F"/>
    <w:rsid w:val="006278A0"/>
    <w:rsid w:val="0063095F"/>
    <w:rsid w:val="00635A7E"/>
    <w:rsid w:val="00646AC2"/>
    <w:rsid w:val="00650390"/>
    <w:rsid w:val="00654DAB"/>
    <w:rsid w:val="0065656C"/>
    <w:rsid w:val="0066204A"/>
    <w:rsid w:val="0066645B"/>
    <w:rsid w:val="00670E3C"/>
    <w:rsid w:val="00675ED3"/>
    <w:rsid w:val="00677F57"/>
    <w:rsid w:val="00681088"/>
    <w:rsid w:val="0068257C"/>
    <w:rsid w:val="00691B1D"/>
    <w:rsid w:val="0069577E"/>
    <w:rsid w:val="0069634B"/>
    <w:rsid w:val="00696623"/>
    <w:rsid w:val="006A04E9"/>
    <w:rsid w:val="006A4A03"/>
    <w:rsid w:val="006A7543"/>
    <w:rsid w:val="006B725C"/>
    <w:rsid w:val="006C273D"/>
    <w:rsid w:val="006C5C4F"/>
    <w:rsid w:val="006C6282"/>
    <w:rsid w:val="006C762A"/>
    <w:rsid w:val="006D10CD"/>
    <w:rsid w:val="006D20EF"/>
    <w:rsid w:val="006D5FF9"/>
    <w:rsid w:val="006D7206"/>
    <w:rsid w:val="006D7791"/>
    <w:rsid w:val="006E0772"/>
    <w:rsid w:val="006E0F86"/>
    <w:rsid w:val="006E411C"/>
    <w:rsid w:val="006F0B15"/>
    <w:rsid w:val="006F0DCC"/>
    <w:rsid w:val="00703DF9"/>
    <w:rsid w:val="007048EB"/>
    <w:rsid w:val="00704FBB"/>
    <w:rsid w:val="0070726A"/>
    <w:rsid w:val="0071226B"/>
    <w:rsid w:val="00713A36"/>
    <w:rsid w:val="00717040"/>
    <w:rsid w:val="00717184"/>
    <w:rsid w:val="007303DD"/>
    <w:rsid w:val="00751249"/>
    <w:rsid w:val="00766CB5"/>
    <w:rsid w:val="00766CC0"/>
    <w:rsid w:val="00772837"/>
    <w:rsid w:val="007750A2"/>
    <w:rsid w:val="007817D6"/>
    <w:rsid w:val="00787912"/>
    <w:rsid w:val="00790F97"/>
    <w:rsid w:val="0079177A"/>
    <w:rsid w:val="0079258F"/>
    <w:rsid w:val="00794836"/>
    <w:rsid w:val="007948D5"/>
    <w:rsid w:val="007A0A93"/>
    <w:rsid w:val="007A15C9"/>
    <w:rsid w:val="007A6676"/>
    <w:rsid w:val="007B7FF5"/>
    <w:rsid w:val="007C1C25"/>
    <w:rsid w:val="007C24B7"/>
    <w:rsid w:val="007C2E22"/>
    <w:rsid w:val="007C3FC6"/>
    <w:rsid w:val="007D2CE9"/>
    <w:rsid w:val="007D4FED"/>
    <w:rsid w:val="007D69DA"/>
    <w:rsid w:val="007D70B1"/>
    <w:rsid w:val="007D7140"/>
    <w:rsid w:val="007E1C73"/>
    <w:rsid w:val="007E1CDB"/>
    <w:rsid w:val="007E408C"/>
    <w:rsid w:val="007E7E21"/>
    <w:rsid w:val="007F0460"/>
    <w:rsid w:val="007F0DA2"/>
    <w:rsid w:val="007F39CE"/>
    <w:rsid w:val="007F5E0D"/>
    <w:rsid w:val="00801085"/>
    <w:rsid w:val="00801A89"/>
    <w:rsid w:val="00810831"/>
    <w:rsid w:val="00812138"/>
    <w:rsid w:val="00813E3D"/>
    <w:rsid w:val="008151F2"/>
    <w:rsid w:val="0081777A"/>
    <w:rsid w:val="008210E0"/>
    <w:rsid w:val="00824079"/>
    <w:rsid w:val="00831F0A"/>
    <w:rsid w:val="008333BB"/>
    <w:rsid w:val="00833A78"/>
    <w:rsid w:val="00841F0B"/>
    <w:rsid w:val="0084585F"/>
    <w:rsid w:val="00845E91"/>
    <w:rsid w:val="00853E53"/>
    <w:rsid w:val="008564C2"/>
    <w:rsid w:val="00861C36"/>
    <w:rsid w:val="00863EC7"/>
    <w:rsid w:val="00864D76"/>
    <w:rsid w:val="008656C9"/>
    <w:rsid w:val="00865D7E"/>
    <w:rsid w:val="0086711C"/>
    <w:rsid w:val="00867535"/>
    <w:rsid w:val="00873CB5"/>
    <w:rsid w:val="00875C5B"/>
    <w:rsid w:val="00883322"/>
    <w:rsid w:val="00883C5F"/>
    <w:rsid w:val="00886CDF"/>
    <w:rsid w:val="00891C7D"/>
    <w:rsid w:val="00892FA7"/>
    <w:rsid w:val="008A3301"/>
    <w:rsid w:val="008A4DF1"/>
    <w:rsid w:val="008A5636"/>
    <w:rsid w:val="008B125E"/>
    <w:rsid w:val="008B241C"/>
    <w:rsid w:val="008B35CE"/>
    <w:rsid w:val="008B408B"/>
    <w:rsid w:val="008B4F11"/>
    <w:rsid w:val="008B60A5"/>
    <w:rsid w:val="008C2362"/>
    <w:rsid w:val="008C3049"/>
    <w:rsid w:val="008D4AE9"/>
    <w:rsid w:val="008D5CF3"/>
    <w:rsid w:val="008D62AF"/>
    <w:rsid w:val="008D72D6"/>
    <w:rsid w:val="008D7D39"/>
    <w:rsid w:val="008E05C4"/>
    <w:rsid w:val="008E4574"/>
    <w:rsid w:val="008F1FA1"/>
    <w:rsid w:val="008F3121"/>
    <w:rsid w:val="008F4016"/>
    <w:rsid w:val="008F42FE"/>
    <w:rsid w:val="008F4A00"/>
    <w:rsid w:val="008F5402"/>
    <w:rsid w:val="008F720D"/>
    <w:rsid w:val="0090053A"/>
    <w:rsid w:val="00901C2A"/>
    <w:rsid w:val="009076F9"/>
    <w:rsid w:val="009118C7"/>
    <w:rsid w:val="009225B6"/>
    <w:rsid w:val="00925397"/>
    <w:rsid w:val="00933A21"/>
    <w:rsid w:val="00934C10"/>
    <w:rsid w:val="0093662A"/>
    <w:rsid w:val="0094060C"/>
    <w:rsid w:val="00942809"/>
    <w:rsid w:val="009606A5"/>
    <w:rsid w:val="00962BAC"/>
    <w:rsid w:val="00962F1F"/>
    <w:rsid w:val="00965304"/>
    <w:rsid w:val="00971293"/>
    <w:rsid w:val="00973A3B"/>
    <w:rsid w:val="00983EAE"/>
    <w:rsid w:val="0098760B"/>
    <w:rsid w:val="009A11DD"/>
    <w:rsid w:val="009B30AA"/>
    <w:rsid w:val="009B5217"/>
    <w:rsid w:val="009C0E58"/>
    <w:rsid w:val="009C3818"/>
    <w:rsid w:val="009C390B"/>
    <w:rsid w:val="009C3D1A"/>
    <w:rsid w:val="009C4798"/>
    <w:rsid w:val="009C48DE"/>
    <w:rsid w:val="009D26E1"/>
    <w:rsid w:val="009D5B69"/>
    <w:rsid w:val="009E1E1E"/>
    <w:rsid w:val="009E33E3"/>
    <w:rsid w:val="009E5A4B"/>
    <w:rsid w:val="009E63B1"/>
    <w:rsid w:val="009E7F16"/>
    <w:rsid w:val="009F5052"/>
    <w:rsid w:val="00A04C85"/>
    <w:rsid w:val="00A100F0"/>
    <w:rsid w:val="00A12115"/>
    <w:rsid w:val="00A156E6"/>
    <w:rsid w:val="00A27D86"/>
    <w:rsid w:val="00A316C0"/>
    <w:rsid w:val="00A33151"/>
    <w:rsid w:val="00A36970"/>
    <w:rsid w:val="00A41EB4"/>
    <w:rsid w:val="00A43DD8"/>
    <w:rsid w:val="00A44BFF"/>
    <w:rsid w:val="00A501E3"/>
    <w:rsid w:val="00A50370"/>
    <w:rsid w:val="00A50F0C"/>
    <w:rsid w:val="00A56441"/>
    <w:rsid w:val="00A6081D"/>
    <w:rsid w:val="00A64CBF"/>
    <w:rsid w:val="00A678A6"/>
    <w:rsid w:val="00A7317D"/>
    <w:rsid w:val="00A736DD"/>
    <w:rsid w:val="00A82869"/>
    <w:rsid w:val="00A8758C"/>
    <w:rsid w:val="00A87CF0"/>
    <w:rsid w:val="00A901AD"/>
    <w:rsid w:val="00A92C7F"/>
    <w:rsid w:val="00A940FF"/>
    <w:rsid w:val="00A95B46"/>
    <w:rsid w:val="00AA127E"/>
    <w:rsid w:val="00AA19AE"/>
    <w:rsid w:val="00AA2D8E"/>
    <w:rsid w:val="00AA2FD3"/>
    <w:rsid w:val="00AA423D"/>
    <w:rsid w:val="00AA6A95"/>
    <w:rsid w:val="00AB10DA"/>
    <w:rsid w:val="00AB10DE"/>
    <w:rsid w:val="00AB3668"/>
    <w:rsid w:val="00AB5ED7"/>
    <w:rsid w:val="00AC0B4C"/>
    <w:rsid w:val="00AD0AEE"/>
    <w:rsid w:val="00AD49E3"/>
    <w:rsid w:val="00AD4B4F"/>
    <w:rsid w:val="00AE5B7F"/>
    <w:rsid w:val="00AF0616"/>
    <w:rsid w:val="00AF0E28"/>
    <w:rsid w:val="00AF5166"/>
    <w:rsid w:val="00AF6F9B"/>
    <w:rsid w:val="00B01409"/>
    <w:rsid w:val="00B10DBD"/>
    <w:rsid w:val="00B11008"/>
    <w:rsid w:val="00B15629"/>
    <w:rsid w:val="00B177FD"/>
    <w:rsid w:val="00B203F3"/>
    <w:rsid w:val="00B2372C"/>
    <w:rsid w:val="00B25EC5"/>
    <w:rsid w:val="00B30BAF"/>
    <w:rsid w:val="00B32F70"/>
    <w:rsid w:val="00B373D0"/>
    <w:rsid w:val="00B43AAA"/>
    <w:rsid w:val="00B53139"/>
    <w:rsid w:val="00B562CE"/>
    <w:rsid w:val="00B60B84"/>
    <w:rsid w:val="00B62DE2"/>
    <w:rsid w:val="00B74417"/>
    <w:rsid w:val="00B77246"/>
    <w:rsid w:val="00B772AE"/>
    <w:rsid w:val="00B80DE6"/>
    <w:rsid w:val="00B866CD"/>
    <w:rsid w:val="00B93034"/>
    <w:rsid w:val="00B94280"/>
    <w:rsid w:val="00B97C5D"/>
    <w:rsid w:val="00BA1290"/>
    <w:rsid w:val="00BA25D0"/>
    <w:rsid w:val="00BA3101"/>
    <w:rsid w:val="00BA668B"/>
    <w:rsid w:val="00BB2480"/>
    <w:rsid w:val="00BB2792"/>
    <w:rsid w:val="00BB76BF"/>
    <w:rsid w:val="00BC1AD1"/>
    <w:rsid w:val="00BC4A58"/>
    <w:rsid w:val="00BC613B"/>
    <w:rsid w:val="00BD51D9"/>
    <w:rsid w:val="00BD5C76"/>
    <w:rsid w:val="00BD64E2"/>
    <w:rsid w:val="00BE4995"/>
    <w:rsid w:val="00BF3843"/>
    <w:rsid w:val="00BF429A"/>
    <w:rsid w:val="00BF62BE"/>
    <w:rsid w:val="00C07126"/>
    <w:rsid w:val="00C16853"/>
    <w:rsid w:val="00C263F0"/>
    <w:rsid w:val="00C26C2B"/>
    <w:rsid w:val="00C33D41"/>
    <w:rsid w:val="00C40106"/>
    <w:rsid w:val="00C40AFD"/>
    <w:rsid w:val="00C41E20"/>
    <w:rsid w:val="00C42E3E"/>
    <w:rsid w:val="00C51C13"/>
    <w:rsid w:val="00C525A5"/>
    <w:rsid w:val="00C5300F"/>
    <w:rsid w:val="00C66CE0"/>
    <w:rsid w:val="00C71BED"/>
    <w:rsid w:val="00C746A4"/>
    <w:rsid w:val="00C747C0"/>
    <w:rsid w:val="00C76600"/>
    <w:rsid w:val="00C81B53"/>
    <w:rsid w:val="00C82866"/>
    <w:rsid w:val="00C82AD2"/>
    <w:rsid w:val="00C90762"/>
    <w:rsid w:val="00C90FB6"/>
    <w:rsid w:val="00C9220E"/>
    <w:rsid w:val="00C924EA"/>
    <w:rsid w:val="00C932BD"/>
    <w:rsid w:val="00C93429"/>
    <w:rsid w:val="00C97AB5"/>
    <w:rsid w:val="00CA16C5"/>
    <w:rsid w:val="00CA415A"/>
    <w:rsid w:val="00CA7A35"/>
    <w:rsid w:val="00CB1536"/>
    <w:rsid w:val="00CB5EF4"/>
    <w:rsid w:val="00CB5F3C"/>
    <w:rsid w:val="00CB7FB8"/>
    <w:rsid w:val="00CC1F71"/>
    <w:rsid w:val="00CC5EB3"/>
    <w:rsid w:val="00CD0E7B"/>
    <w:rsid w:val="00CD2ABD"/>
    <w:rsid w:val="00CD4024"/>
    <w:rsid w:val="00CD4617"/>
    <w:rsid w:val="00CD4855"/>
    <w:rsid w:val="00CE1EB2"/>
    <w:rsid w:val="00CE6AA8"/>
    <w:rsid w:val="00CE6D43"/>
    <w:rsid w:val="00CE7888"/>
    <w:rsid w:val="00CF64F0"/>
    <w:rsid w:val="00D014D1"/>
    <w:rsid w:val="00D10E1C"/>
    <w:rsid w:val="00D14774"/>
    <w:rsid w:val="00D161A3"/>
    <w:rsid w:val="00D227E9"/>
    <w:rsid w:val="00D22E49"/>
    <w:rsid w:val="00D23716"/>
    <w:rsid w:val="00D25ED8"/>
    <w:rsid w:val="00D27F8F"/>
    <w:rsid w:val="00D30831"/>
    <w:rsid w:val="00D316B8"/>
    <w:rsid w:val="00D31CFC"/>
    <w:rsid w:val="00D32150"/>
    <w:rsid w:val="00D3255D"/>
    <w:rsid w:val="00D33D17"/>
    <w:rsid w:val="00D340C3"/>
    <w:rsid w:val="00D409CD"/>
    <w:rsid w:val="00D423D4"/>
    <w:rsid w:val="00D42CAF"/>
    <w:rsid w:val="00D4763B"/>
    <w:rsid w:val="00D53136"/>
    <w:rsid w:val="00D601EF"/>
    <w:rsid w:val="00D61533"/>
    <w:rsid w:val="00D63B2F"/>
    <w:rsid w:val="00D6687C"/>
    <w:rsid w:val="00D66CD1"/>
    <w:rsid w:val="00D70747"/>
    <w:rsid w:val="00D7261D"/>
    <w:rsid w:val="00D74935"/>
    <w:rsid w:val="00D755FC"/>
    <w:rsid w:val="00D75CFC"/>
    <w:rsid w:val="00D76B6D"/>
    <w:rsid w:val="00D77F91"/>
    <w:rsid w:val="00D81311"/>
    <w:rsid w:val="00D846B6"/>
    <w:rsid w:val="00D84D07"/>
    <w:rsid w:val="00D8526A"/>
    <w:rsid w:val="00D85510"/>
    <w:rsid w:val="00D90E91"/>
    <w:rsid w:val="00D944BE"/>
    <w:rsid w:val="00D95F22"/>
    <w:rsid w:val="00DB390F"/>
    <w:rsid w:val="00DB6555"/>
    <w:rsid w:val="00DC1347"/>
    <w:rsid w:val="00DC39F1"/>
    <w:rsid w:val="00DC44B6"/>
    <w:rsid w:val="00DC531F"/>
    <w:rsid w:val="00DE4B35"/>
    <w:rsid w:val="00DE6DAE"/>
    <w:rsid w:val="00DF19C1"/>
    <w:rsid w:val="00DF54CA"/>
    <w:rsid w:val="00DF5B64"/>
    <w:rsid w:val="00DF66AA"/>
    <w:rsid w:val="00E02794"/>
    <w:rsid w:val="00E043E3"/>
    <w:rsid w:val="00E0505B"/>
    <w:rsid w:val="00E06983"/>
    <w:rsid w:val="00E11280"/>
    <w:rsid w:val="00E12359"/>
    <w:rsid w:val="00E12BBB"/>
    <w:rsid w:val="00E152FF"/>
    <w:rsid w:val="00E1546A"/>
    <w:rsid w:val="00E2461B"/>
    <w:rsid w:val="00E24886"/>
    <w:rsid w:val="00E276FB"/>
    <w:rsid w:val="00E32595"/>
    <w:rsid w:val="00E33A74"/>
    <w:rsid w:val="00E361E7"/>
    <w:rsid w:val="00E4030B"/>
    <w:rsid w:val="00E41D56"/>
    <w:rsid w:val="00E457DF"/>
    <w:rsid w:val="00E46642"/>
    <w:rsid w:val="00E5139A"/>
    <w:rsid w:val="00E5413D"/>
    <w:rsid w:val="00E569DC"/>
    <w:rsid w:val="00E57977"/>
    <w:rsid w:val="00E600BB"/>
    <w:rsid w:val="00E635D7"/>
    <w:rsid w:val="00E70576"/>
    <w:rsid w:val="00E771C8"/>
    <w:rsid w:val="00E81F38"/>
    <w:rsid w:val="00E83954"/>
    <w:rsid w:val="00E91730"/>
    <w:rsid w:val="00E95C96"/>
    <w:rsid w:val="00E96F04"/>
    <w:rsid w:val="00E97AEC"/>
    <w:rsid w:val="00EA20FE"/>
    <w:rsid w:val="00EA26BF"/>
    <w:rsid w:val="00EB224B"/>
    <w:rsid w:val="00EB491E"/>
    <w:rsid w:val="00EB681B"/>
    <w:rsid w:val="00EB791B"/>
    <w:rsid w:val="00EC023C"/>
    <w:rsid w:val="00EC4FAD"/>
    <w:rsid w:val="00EC7D89"/>
    <w:rsid w:val="00EC7EE8"/>
    <w:rsid w:val="00EE3C96"/>
    <w:rsid w:val="00EE3CFA"/>
    <w:rsid w:val="00EE69E4"/>
    <w:rsid w:val="00EF2A7F"/>
    <w:rsid w:val="00EF53F3"/>
    <w:rsid w:val="00EF7E90"/>
    <w:rsid w:val="00F002B6"/>
    <w:rsid w:val="00F0622B"/>
    <w:rsid w:val="00F07747"/>
    <w:rsid w:val="00F10AFE"/>
    <w:rsid w:val="00F13983"/>
    <w:rsid w:val="00F1398C"/>
    <w:rsid w:val="00F14A54"/>
    <w:rsid w:val="00F15C6C"/>
    <w:rsid w:val="00F161DE"/>
    <w:rsid w:val="00F16562"/>
    <w:rsid w:val="00F17173"/>
    <w:rsid w:val="00F224DC"/>
    <w:rsid w:val="00F2687F"/>
    <w:rsid w:val="00F27F29"/>
    <w:rsid w:val="00F32D54"/>
    <w:rsid w:val="00F36C54"/>
    <w:rsid w:val="00F418EA"/>
    <w:rsid w:val="00F41A29"/>
    <w:rsid w:val="00F44C1C"/>
    <w:rsid w:val="00F518DF"/>
    <w:rsid w:val="00F544DB"/>
    <w:rsid w:val="00F6502E"/>
    <w:rsid w:val="00F65663"/>
    <w:rsid w:val="00F756C0"/>
    <w:rsid w:val="00F75A40"/>
    <w:rsid w:val="00F77637"/>
    <w:rsid w:val="00F8435D"/>
    <w:rsid w:val="00F87DD0"/>
    <w:rsid w:val="00F92D62"/>
    <w:rsid w:val="00F93360"/>
    <w:rsid w:val="00F93FE4"/>
    <w:rsid w:val="00F969AD"/>
    <w:rsid w:val="00F97E4E"/>
    <w:rsid w:val="00FA217B"/>
    <w:rsid w:val="00FB09B6"/>
    <w:rsid w:val="00FB0BC5"/>
    <w:rsid w:val="00FB0BCC"/>
    <w:rsid w:val="00FB23C0"/>
    <w:rsid w:val="00FC0454"/>
    <w:rsid w:val="00FC0FE5"/>
    <w:rsid w:val="00FC140E"/>
    <w:rsid w:val="00FD1ABC"/>
    <w:rsid w:val="00FD3623"/>
    <w:rsid w:val="00FD7070"/>
    <w:rsid w:val="00FD7DDF"/>
    <w:rsid w:val="00FE4C92"/>
    <w:rsid w:val="00FF0EEC"/>
    <w:rsid w:val="00FF0FAA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GB" w:bidi="en-GB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iPriority="0" w:unhideWhenUsed="1"/>
    <w:lsdException w:name="header" w:locked="1" w:uiPriority="0" w:qFormat="1"/>
    <w:lsdException w:name="footer" w:locked="1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3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44032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44032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44032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44032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44032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44032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44032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44032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44032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C023C"/>
    <w:rPr>
      <w:kern w:val="28"/>
      <w:szCs w:val="20"/>
      <w:lang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EC023C"/>
    <w:rPr>
      <w:szCs w:val="20"/>
      <w:lang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EC023C"/>
    <w:rPr>
      <w:szCs w:val="20"/>
      <w:lang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CB1536"/>
    <w:rPr>
      <w:szCs w:val="20"/>
      <w:lang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CB1536"/>
    <w:rPr>
      <w:szCs w:val="20"/>
      <w:lang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CB1536"/>
    <w:rPr>
      <w:szCs w:val="20"/>
      <w:lang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CB1536"/>
    <w:rPr>
      <w:szCs w:val="20"/>
      <w:lang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CB1536"/>
    <w:rPr>
      <w:szCs w:val="20"/>
      <w:lang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CB1536"/>
    <w:rPr>
      <w:szCs w:val="20"/>
      <w:lang w:eastAsia="en-US" w:bidi="ar-SA"/>
    </w:rPr>
  </w:style>
  <w:style w:type="paragraph" w:styleId="Footer">
    <w:name w:val="footer"/>
    <w:basedOn w:val="Normal"/>
    <w:link w:val="FooterChar"/>
    <w:rsid w:val="00044032"/>
  </w:style>
  <w:style w:type="character" w:customStyle="1" w:styleId="FooterChar">
    <w:name w:val="Footer Char"/>
    <w:basedOn w:val="DefaultParagraphFont"/>
    <w:link w:val="Footer"/>
    <w:locked/>
    <w:rsid w:val="00CB1536"/>
    <w:rPr>
      <w:szCs w:val="20"/>
      <w:lang w:eastAsia="en-US" w:bidi="ar-SA"/>
    </w:rPr>
  </w:style>
  <w:style w:type="paragraph" w:styleId="FootnoteText">
    <w:name w:val="footnote text"/>
    <w:basedOn w:val="Normal"/>
    <w:link w:val="FootnoteTextChar"/>
    <w:rsid w:val="00044032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locked/>
    <w:rsid w:val="00CB1536"/>
    <w:rPr>
      <w:sz w:val="16"/>
      <w:szCs w:val="20"/>
      <w:lang w:eastAsia="en-US" w:bidi="ar-SA"/>
    </w:rPr>
  </w:style>
  <w:style w:type="paragraph" w:styleId="Header">
    <w:name w:val="header"/>
    <w:basedOn w:val="Normal"/>
    <w:link w:val="HeaderChar"/>
    <w:rsid w:val="00044032"/>
  </w:style>
  <w:style w:type="character" w:customStyle="1" w:styleId="HeaderChar">
    <w:name w:val="Header Char"/>
    <w:basedOn w:val="DefaultParagraphFont"/>
    <w:link w:val="Header"/>
    <w:locked/>
    <w:rsid w:val="00CB1536"/>
    <w:rPr>
      <w:szCs w:val="20"/>
      <w:lang w:eastAsia="en-US" w:bidi="ar-SA"/>
    </w:rPr>
  </w:style>
  <w:style w:type="character" w:styleId="Hyperlink">
    <w:name w:val="Hyperlink"/>
    <w:basedOn w:val="DefaultParagraphFont"/>
    <w:uiPriority w:val="99"/>
    <w:rsid w:val="00934C10"/>
    <w:rPr>
      <w:color w:val="0000FF"/>
      <w:u w:val="single"/>
    </w:rPr>
  </w:style>
  <w:style w:type="character" w:styleId="FootnoteReference">
    <w:name w:val="footnote reference"/>
    <w:basedOn w:val="DefaultParagraphFont"/>
    <w:rsid w:val="00044032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sid w:val="00934C10"/>
    <w:rPr>
      <w:color w:val="800080"/>
      <w:u w:val="single"/>
    </w:rPr>
  </w:style>
  <w:style w:type="paragraph" w:customStyle="1" w:styleId="LOGO">
    <w:name w:val="LOGO"/>
    <w:basedOn w:val="Normal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Revision">
    <w:name w:val="Revision"/>
    <w:hidden/>
    <w:uiPriority w:val="99"/>
    <w:semiHidden/>
    <w:rsid w:val="00B2372C"/>
  </w:style>
  <w:style w:type="paragraph" w:styleId="ListParagraph">
    <w:name w:val="List Paragraph"/>
    <w:basedOn w:val="Normal"/>
    <w:uiPriority w:val="34"/>
    <w:qFormat/>
    <w:rsid w:val="00296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B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GB" w:bidi="en-GB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iPriority="0" w:unhideWhenUsed="1"/>
    <w:lsdException w:name="header" w:locked="1" w:uiPriority="0" w:qFormat="1"/>
    <w:lsdException w:name="footer" w:locked="1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3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44032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44032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44032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44032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44032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44032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44032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44032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44032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C023C"/>
    <w:rPr>
      <w:kern w:val="28"/>
      <w:szCs w:val="20"/>
      <w:lang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EC023C"/>
    <w:rPr>
      <w:szCs w:val="20"/>
      <w:lang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EC023C"/>
    <w:rPr>
      <w:szCs w:val="20"/>
      <w:lang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CB1536"/>
    <w:rPr>
      <w:szCs w:val="20"/>
      <w:lang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CB1536"/>
    <w:rPr>
      <w:szCs w:val="20"/>
      <w:lang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CB1536"/>
    <w:rPr>
      <w:szCs w:val="20"/>
      <w:lang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CB1536"/>
    <w:rPr>
      <w:szCs w:val="20"/>
      <w:lang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CB1536"/>
    <w:rPr>
      <w:szCs w:val="20"/>
      <w:lang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CB1536"/>
    <w:rPr>
      <w:szCs w:val="20"/>
      <w:lang w:eastAsia="en-US" w:bidi="ar-SA"/>
    </w:rPr>
  </w:style>
  <w:style w:type="paragraph" w:styleId="Footer">
    <w:name w:val="footer"/>
    <w:basedOn w:val="Normal"/>
    <w:link w:val="FooterChar"/>
    <w:rsid w:val="00044032"/>
  </w:style>
  <w:style w:type="character" w:customStyle="1" w:styleId="FooterChar">
    <w:name w:val="Footer Char"/>
    <w:basedOn w:val="DefaultParagraphFont"/>
    <w:link w:val="Footer"/>
    <w:locked/>
    <w:rsid w:val="00CB1536"/>
    <w:rPr>
      <w:szCs w:val="20"/>
      <w:lang w:eastAsia="en-US" w:bidi="ar-SA"/>
    </w:rPr>
  </w:style>
  <w:style w:type="paragraph" w:styleId="FootnoteText">
    <w:name w:val="footnote text"/>
    <w:basedOn w:val="Normal"/>
    <w:link w:val="FootnoteTextChar"/>
    <w:rsid w:val="00044032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locked/>
    <w:rsid w:val="00CB1536"/>
    <w:rPr>
      <w:sz w:val="16"/>
      <w:szCs w:val="20"/>
      <w:lang w:eastAsia="en-US" w:bidi="ar-SA"/>
    </w:rPr>
  </w:style>
  <w:style w:type="paragraph" w:styleId="Header">
    <w:name w:val="header"/>
    <w:basedOn w:val="Normal"/>
    <w:link w:val="HeaderChar"/>
    <w:rsid w:val="00044032"/>
  </w:style>
  <w:style w:type="character" w:customStyle="1" w:styleId="HeaderChar">
    <w:name w:val="Header Char"/>
    <w:basedOn w:val="DefaultParagraphFont"/>
    <w:link w:val="Header"/>
    <w:locked/>
    <w:rsid w:val="00CB1536"/>
    <w:rPr>
      <w:szCs w:val="20"/>
      <w:lang w:eastAsia="en-US" w:bidi="ar-SA"/>
    </w:rPr>
  </w:style>
  <w:style w:type="character" w:styleId="Hyperlink">
    <w:name w:val="Hyperlink"/>
    <w:basedOn w:val="DefaultParagraphFont"/>
    <w:uiPriority w:val="99"/>
    <w:rsid w:val="00934C10"/>
    <w:rPr>
      <w:color w:val="0000FF"/>
      <w:u w:val="single"/>
    </w:rPr>
  </w:style>
  <w:style w:type="character" w:styleId="FootnoteReference">
    <w:name w:val="footnote reference"/>
    <w:basedOn w:val="DefaultParagraphFont"/>
    <w:rsid w:val="00044032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sid w:val="00934C10"/>
    <w:rPr>
      <w:color w:val="800080"/>
      <w:u w:val="single"/>
    </w:rPr>
  </w:style>
  <w:style w:type="paragraph" w:customStyle="1" w:styleId="LOGO">
    <w:name w:val="LOGO"/>
    <w:basedOn w:val="Normal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Revision">
    <w:name w:val="Revision"/>
    <w:hidden/>
    <w:uiPriority w:val="99"/>
    <w:semiHidden/>
    <w:rsid w:val="00B2372C"/>
  </w:style>
  <w:style w:type="paragraph" w:styleId="ListParagraph">
    <w:name w:val="List Paragraph"/>
    <w:basedOn w:val="Normal"/>
    <w:uiPriority w:val="34"/>
    <w:qFormat/>
    <w:rsid w:val="00296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B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xUriServ/LexUriServ.do?uri=OJ:C:2013:076:SOM:PL:HTML" TargetMode="External"/><Relationship Id="rId2" Type="http://schemas.openxmlformats.org/officeDocument/2006/relationships/hyperlink" Target="http://eur-lex.europa.eu/LexUriServ/LexUriServ.do?uri=OJ:C:2011:084:SOM:PL:HTML" TargetMode="External"/><Relationship Id="rId1" Type="http://schemas.openxmlformats.org/officeDocument/2006/relationships/hyperlink" Target="http://eur-lex.europa.eu/LexUriServ/LexUriServ.do?uri=OJ:C:2008:204:SOM:PL:HTML" TargetMode="External"/><Relationship Id="rId5" Type="http://schemas.openxmlformats.org/officeDocument/2006/relationships/hyperlink" Target="http://eur-lex.europa.eu/LexUriServ/LexUriServ.do?uri=OJ:C:2013:076:SOM:PL:HTML" TargetMode="External"/><Relationship Id="rId4" Type="http://schemas.openxmlformats.org/officeDocument/2006/relationships/hyperlink" Target="http://eur-lex.europa.eu/LexUriServ/LexUriServ.do?uri=OJ:C:2011:084:SOM:PL: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RCSZ5D2JPTA3-5-3526</_dlc_DocId>
    <_dlc_DocIdUrl xmlns="8975caae-a2e4-4a1b-856a-87d8a7cad937">
      <Url>http://dm/EESC/2018/_layouts/DocIdRedir.aspx?ID=RCSZ5D2JPTA3-5-3526</Url>
      <Description>RCSZ5D2JPTA3-5-3526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</TermName>
          <TermId xmlns="http://schemas.microsoft.com/office/infopath/2007/PartnerControls">66f52533-c5ed-432d-87bc-4f6e99d16bfe</TermId>
        </TermInfo>
      </Terms>
    </DocumentType_0>
    <MeetingNumber xmlns="b2fd9cfc-69a7-468d-842d-8645d9eed445" xsi:nil="true"/>
    <Procedure xmlns="8975caae-a2e4-4a1b-856a-87d8a7cad937">2018/0103(COD)</Procedure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</TermName>
          <TermId xmlns="http://schemas.microsoft.com/office/infopath/2007/PartnerControls">e1edfecb-ed43-427b-bb02-d45fe6645386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2018-06-04T12:00:00+00:00</ProductionDate>
    <DocumentNumber xmlns="b2fd9cfc-69a7-468d-842d-8645d9eed445">2235</DocumentNumber>
    <FicheYear xmlns="8975caae-a2e4-4a1b-856a-87d8a7cad937">2018</FicheYear>
    <DocumentVersion xmlns="8975caae-a2e4-4a1b-856a-87d8a7cad937">2</DocumentVersion>
    <DossierNumber xmlns="8975caae-a2e4-4a1b-856a-87d8a7cad937">850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2018-06-07T12:00:00+00:00</MeetingDate>
    <TaxCatchAll xmlns="8975caae-a2e4-4a1b-856a-87d8a7cad937">
      <Value>45</Value>
      <Value>39</Value>
      <Value>41</Value>
      <Value>40</Value>
      <Value>180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16</Value>
      <Value>14</Value>
      <Value>13</Value>
      <Value>51</Value>
      <Value>9</Value>
      <Value>8</Value>
      <Value>7</Value>
      <Value>6</Value>
      <Value>5</Value>
      <Value>4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Rapporteur xmlns="8975caae-a2e4-4a1b-856a-87d8a7cad937">SEARS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8975caae-a2e4-4a1b-856a-87d8a7cad937">6754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</TermName>
          <TermId xmlns="http://schemas.microsoft.com/office/infopath/2007/PartnerControls">7a7bdbd3-7680-4ca3-a249-1ff8060217b0</TermId>
        </TermInfo>
      </Terms>
    </MeetingName_0>
    <RequestingService xmlns="8975caae-a2e4-4a1b-856a-87d8a7cad937">Marché unique, production, consommation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11DA2224A10F34E86FCC8C9E81793CC" ma:contentTypeVersion="4" ma:contentTypeDescription="Defines the documents for Document Manager V2" ma:contentTypeScope="" ma:versionID="0dadef9e21ff8e8145220e901a7995e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b2fd9cfc-69a7-468d-842d-8645d9eed445" targetNamespace="http://schemas.microsoft.com/office/2006/metadata/properties" ma:root="true" ma:fieldsID="71c43a90a329af690f26b436bfba4f57" ns2:_="" ns3:_="" ns4:_="">
    <xsd:import namespace="8975caae-a2e4-4a1b-856a-87d8a7cad937"/>
    <xsd:import namespace="http://schemas.microsoft.com/sharepoint/v3/fields"/>
    <xsd:import namespace="b2fd9cfc-69a7-468d-842d-8645d9eed4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d9cfc-69a7-468d-842d-8645d9eed44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F32B-6A77-4F2A-BE8C-1CAFEC2136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CBD04E-6A5E-48AF-A4C2-39AF8D6C755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b2fd9cfc-69a7-468d-842d-8645d9eed445"/>
    <ds:schemaRef ds:uri="http://purl.org/dc/dcmitype/"/>
    <ds:schemaRef ds:uri="http://schemas.microsoft.com/sharepoint/v3/fields"/>
    <ds:schemaRef ds:uri="http://schemas.openxmlformats.org/package/2006/metadata/core-properties"/>
    <ds:schemaRef ds:uri="8975caae-a2e4-4a1b-856a-87d8a7cad93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470676-BA11-4F02-B286-5FDA13F4F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1CD72-8BA9-475C-A465-CCF6BB922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b2fd9cfc-69a7-468d-842d-8645d9eed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8B1A7F-4948-4A99-B342-6CEC6879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5975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Prekursory materiałów wybuchowych</vt:lpstr>
      <vt:lpstr>European Agenda on Migration: Second implementation package - A permanent crisis relocation mechanism under the Dublin system</vt:lpstr>
    </vt:vector>
  </TitlesOfParts>
  <Company>CESE-CdR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Prekursory materiałów wybuchowych</dc:title>
  <dc:creator>Tanja Stanovnik</dc:creator>
  <cp:keywords>EESC-2018-02235-00-02-CORR-TRA-EN</cp:keywords>
  <dc:description>Rapporteur: SEARS - Original language: EN - Date of document: 04/06/2018 - Date of meeting: 07/06/2018 - External documents:  - Administrator: M. Faure Jean-Pierre Bernard</dc:description>
  <cp:lastModifiedBy>Lech Pilawski</cp:lastModifiedBy>
  <cp:revision>2</cp:revision>
  <cp:lastPrinted>2018-06-01T13:27:00Z</cp:lastPrinted>
  <dcterms:created xsi:type="dcterms:W3CDTF">2018-06-07T10:39:00Z</dcterms:created>
  <dcterms:modified xsi:type="dcterms:W3CDTF">2018-06-07T10:39:00Z</dcterms:modified>
  <cp:category>INT/850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04/06/2018, 04/06/2018, 04/06/2018, 01/06/2018, 01/06/2018, 16/01/2017, 16/01/2017, 19/12/2016, 19/12/2016, 25/11/2016, 25/11/2016, 04/11/2015, 27/10/2015, 19/10/2015, 09/10/2015, 05/10/2015, 05/10/2015, 26/08/2015, 26/08/2015, 25/08/2015</vt:lpwstr>
  </property>
  <property fmtid="{D5CDD505-2E9C-101B-9397-08002B2CF9AE}" pid="4" name="Pref_Time">
    <vt:lpwstr>12:50:48, 09:36:30, 09:21:31, 11:23:04, 09:55:28, 15:59:49, 15:58:21, 17:37:01, 17:31:51, 11:01:05, 10:01:59, 12:10:07, 14:44:02, 16:04:16, 14:09:30, 16:24:55, 16:04:02, 08:56:14, 07:27:56, 17:31:53</vt:lpwstr>
  </property>
  <property fmtid="{D5CDD505-2E9C-101B-9397-08002B2CF9AE}" pid="5" name="Pref_User">
    <vt:lpwstr>jhvi, hnic, YMUR, hnic, ssex, enied, hnic, enied, nmcg, mkop, YMUR, ssex, enied, amett, tvoc, mreg, mreg, amett, enied, ssex</vt:lpwstr>
  </property>
  <property fmtid="{D5CDD505-2E9C-101B-9397-08002B2CF9AE}" pid="6" name="Pref_FileName">
    <vt:lpwstr>EESC-2018-02235-00-02-CORR-ORI.docx, EESC-2018-02235-00-01-CORR-TRA-EN-CRR.docx, EESC-2018-02235-00-01-CORR-ORI.docx, EESC-2018-02235-00-00-CORR-TRA-EN-CRR.docx, EESC-2018-02235-00-00-CORR-CRR-EN.docx, EESC-2016-01244-00-00-AS-TRA-EN-CRR.docx, EESC-2016-0</vt:lpwstr>
  </property>
  <property fmtid="{D5CDD505-2E9C-101B-9397-08002B2CF9AE}" pid="7" name="ContentTypeId">
    <vt:lpwstr>0x010100EA97B91038054C99906057A708A1480A00C11DA2224A10F34E86FCC8C9E81793CC</vt:lpwstr>
  </property>
  <property fmtid="{D5CDD505-2E9C-101B-9397-08002B2CF9AE}" pid="8" name="_dlc_DocIdItemGuid">
    <vt:lpwstr>57120afd-c835-40b5-b774-931b27a23914</vt:lpwstr>
  </property>
  <property fmtid="{D5CDD505-2E9C-101B-9397-08002B2CF9AE}" pid="9" name="DocumentType_0">
    <vt:lpwstr>CORR|66f52533-c5ed-432d-87bc-4f6e99d16bfe</vt:lpwstr>
  </property>
  <property fmtid="{D5CDD505-2E9C-101B-9397-08002B2CF9AE}" pid="10" name="AvailableTranslations">
    <vt:lpwstr>33;#EL|6d4f4d51-af9b-4650-94b4-4276bee85c91;#37;#LT|a7ff5ce7-6123-4f68-865a-a57c31810414;#40;#HR|2f555653-ed1a-4fe6-8362-9082d95989e5;#16;#HU|6b229040-c589-4408-b4c1-4285663d20a8;#23;#SK|46d9fce0-ef79-4f71-b89b-cd6aa82426b8;#13;#DA|5d49c027-8956-412b-aa16</vt:lpwstr>
  </property>
  <property fmtid="{D5CDD505-2E9C-101B-9397-08002B2CF9AE}" pid="11" name="DossierName_0">
    <vt:lpwstr>INT|e1edfecb-ed43-427b-bb02-d45fe6645386</vt:lpwstr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2235</vt:i4>
  </property>
  <property fmtid="{D5CDD505-2E9C-101B-9397-08002B2CF9AE}" pid="15" name="DocumentVersion">
    <vt:i4>2</vt:i4>
  </property>
  <property fmtid="{D5CDD505-2E9C-101B-9397-08002B2CF9AE}" pid="16" name="DossierNumber">
    <vt:i4>850</vt:i4>
  </property>
  <property fmtid="{D5CDD505-2E9C-101B-9397-08002B2CF9AE}" pid="17" name="DocumentSource">
    <vt:lpwstr>1;#EESC|422833ec-8d7e-4e65-8e4e-8bed07ffb729</vt:lpwstr>
  </property>
  <property fmtid="{D5CDD505-2E9C-101B-9397-08002B2CF9AE}" pid="18" name="DocumentType">
    <vt:lpwstr>180;#CORR|66f52533-c5ed-432d-87bc-4f6e99d16bfe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>9;#INT|e1edfecb-ed43-427b-bb02-d45fe6645386</vt:lpwstr>
  </property>
  <property fmtid="{D5CDD505-2E9C-101B-9397-08002B2CF9AE}" pid="21" name="DocumentPart">
    <vt:i4>0</vt:i4>
  </property>
  <property fmtid="{D5CDD505-2E9C-101B-9397-08002B2CF9AE}" pid="22" name="RequestingService">
    <vt:lpwstr>Marché unique, production, consommation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INT|7a7bdbd3-7680-4ca3-a249-1ff8060217b0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51;#INT|7a7bdbd3-7680-4ca3-a249-1ff8060217b0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MeetingDate">
    <vt:filetime>2018-06-07T12:00:00Z</vt:filetime>
  </property>
  <property fmtid="{D5CDD505-2E9C-101B-9397-08002B2CF9AE}" pid="31" name="TaxCatchAll">
    <vt:lpwstr>22;#FI|87606a43-d45f-42d6-b8c9-e1a3457db5b7;#19;#SL|98a412ae-eb01-49e9-ae3d-585a81724cfc;#180;#CORR|66f52533-c5ed-432d-87bc-4f6e99d16bfe;#40;#HR|2f555653-ed1a-4fe6-8362-9082d95989e5;#14;#NL|55c6556c-b4f4-441d-9acf-c498d4f838bd;#28;#BG|1a1b3951-7821-4e6a-8</vt:lpwstr>
  </property>
  <property fmtid="{D5CDD505-2E9C-101B-9397-08002B2CF9AE}" pid="32" name="AvailableTranslations_0">
    <vt:lpwstr>HR|2f555653-ed1a-4fe6-8362-9082d95989e5;EN|f2175f21-25d7-44a3-96da-d6a61b075e1b;ET|ff6c3f4c-b02c-4c3c-ab07-2c37995a7a0a;SL|98a412ae-eb01-49e9-ae3d-585a81724cfc;BG|1a1b3951-7821-4e6a-85f5-5673fc08bd2c;NL|55c6556c-b4f4-441d-9acf-c498d4f838bd;FI|87606a43-d45</vt:lpwstr>
  </property>
  <property fmtid="{D5CDD505-2E9C-101B-9397-08002B2CF9AE}" pid="33" name="VersionStatus">
    <vt:lpwstr>6;#Final|ea5e6674-7b27-4bac-b091-73adbb394efe</vt:lpwstr>
  </property>
  <property fmtid="{D5CDD505-2E9C-101B-9397-08002B2CF9AE}" pid="34" name="Rapporteur">
    <vt:lpwstr>SEARS</vt:lpwstr>
  </property>
  <property fmtid="{D5CDD505-2E9C-101B-9397-08002B2CF9AE}" pid="35" name="VersionStatus_0">
    <vt:lpwstr>Final|ea5e6674-7b27-4bac-b091-73adbb394efe</vt:lpwstr>
  </property>
  <property fmtid="{D5CDD505-2E9C-101B-9397-08002B2CF9AE}" pid="36" name="FicheNumber">
    <vt:i4>6754</vt:i4>
  </property>
  <property fmtid="{D5CDD505-2E9C-101B-9397-08002B2CF9AE}" pid="37" name="DocumentYear">
    <vt:i4>2018</vt:i4>
  </property>
  <property fmtid="{D5CDD505-2E9C-101B-9397-08002B2CF9AE}" pid="38" name="DocumentLanguage">
    <vt:lpwstr>20;#PL|1e03da61-4678-4e07-b136-b5024ca9197b</vt:lpwstr>
  </property>
</Properties>
</file>