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0DCC" w:rsidRPr="00CC6E58" w:rsidRDefault="00A41B6C" w:rsidP="00286500">
      <w:pPr>
        <w:jc w:val="center"/>
      </w:pPr>
      <w:r w:rsidRPr="00CC6E58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FDD6C8" wp14:editId="2725A062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B6C" w:rsidRPr="00CC6E58" w:rsidRDefault="00A41B6C" w:rsidP="002865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CC6E58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" o:allowincell="f" filled="f" stroked="f">
                <v:textbox>
                  <w:txbxContent>
                    <w:p w:rsidR="00A41B6C" w:rsidRPr="00CC6E58" w:rsidRDefault="00A41B6C" w:rsidP="0028650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CC6E58">
                        <w:rPr>
                          <w:rFonts w:ascii="Arial" w:hAnsi="Arial" w:cs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0DCC" w:rsidRPr="00CC6E58">
        <w:rPr>
          <w:noProof/>
          <w:lang w:val="fr-BE" w:eastAsia="fr-BE"/>
        </w:rPr>
        <w:drawing>
          <wp:inline distT="0" distB="0" distL="0" distR="0" wp14:anchorId="392CB449" wp14:editId="030D3601">
            <wp:extent cx="874395" cy="56451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84" w:rsidRPr="00CC6E58" w:rsidRDefault="006F0DCC" w:rsidP="00286500">
      <w:pPr>
        <w:jc w:val="center"/>
      </w:pPr>
      <w:r w:rsidRPr="00CC6E58">
        <w:rPr>
          <w:rFonts w:ascii="Arial" w:hAnsi="Arial" w:cs="Arial"/>
          <w:b/>
          <w:i/>
          <w:sz w:val="20"/>
        </w:rPr>
        <w:t>Europejski Komitet Ekonomiczno-Społeczny</w:t>
      </w:r>
    </w:p>
    <w:p w:rsidR="00646AC2" w:rsidRPr="00CC6E58" w:rsidRDefault="00646AC2" w:rsidP="00286500"/>
    <w:p w:rsidR="00017E74" w:rsidRPr="00CC6E58" w:rsidRDefault="00017E74" w:rsidP="00286500">
      <w:pPr>
        <w:jc w:val="right"/>
        <w:rPr>
          <w:b/>
        </w:rPr>
      </w:pPr>
      <w:r w:rsidRPr="00CC6E58">
        <w:rPr>
          <w:b/>
        </w:rPr>
        <w:t>INT/847</w:t>
      </w:r>
    </w:p>
    <w:p w:rsidR="00563C84" w:rsidRPr="00CC6E58" w:rsidRDefault="00242D66" w:rsidP="00286500">
      <w:pPr>
        <w:jc w:val="right"/>
      </w:pPr>
      <w:r w:rsidRPr="00CC6E58">
        <w:rPr>
          <w:b/>
        </w:rPr>
        <w:t>SEPA / Rozszerzenie</w:t>
      </w:r>
    </w:p>
    <w:p w:rsidR="009B30AA" w:rsidRPr="00CC6E58" w:rsidRDefault="009B30AA" w:rsidP="00286500"/>
    <w:p w:rsidR="009B30AA" w:rsidRPr="00CC6E58" w:rsidRDefault="009B30AA" w:rsidP="00286500"/>
    <w:p w:rsidR="00646AC2" w:rsidRPr="00CC6E58" w:rsidRDefault="008D396F" w:rsidP="00286500">
      <w:pPr>
        <w:jc w:val="center"/>
      </w:pPr>
      <w:r w:rsidRPr="00CC6E58">
        <w:rPr>
          <w:b/>
          <w:sz w:val="28"/>
        </w:rPr>
        <w:t>PROJEKT OPINII</w:t>
      </w:r>
      <w:r w:rsidRPr="00CC6E58">
        <w:cr/>
      </w:r>
      <w:r w:rsidRPr="00CC6E58">
        <w:br/>
        <w:t>Sekcja Jednolitego Rynku, Produkcji i Konsumpcji</w:t>
      </w:r>
      <w:r w:rsidRPr="00CC6E58">
        <w:br/>
      </w:r>
      <w:r w:rsidRPr="00CC6E58">
        <w:cr/>
      </w:r>
      <w:r w:rsidRPr="00CC6E58">
        <w:rPr>
          <w:b/>
        </w:rPr>
        <w:t>Wniosek dotyczący rozporządzenia Parlamentu Europejskiego i Rady zmieniającego rozporządzenie (WE) nr 924/2009 w odniesieniu do niektórych opłat za płatności transgraniczne w Unii i opłat za przeliczenie waluty</w:t>
      </w:r>
      <w:r w:rsidRPr="00CC6E58">
        <w:cr/>
      </w:r>
      <w:r w:rsidRPr="00CC6E58">
        <w:br/>
        <w:t xml:space="preserve">[COM(2018) 163 </w:t>
      </w:r>
      <w:proofErr w:type="spellStart"/>
      <w:r w:rsidRPr="00CC6E58">
        <w:t>final</w:t>
      </w:r>
      <w:proofErr w:type="spellEnd"/>
      <w:r w:rsidRPr="00CC6E58">
        <w:t xml:space="preserve"> – 2018/0076 (COD)]</w:t>
      </w:r>
    </w:p>
    <w:p w:rsidR="009B30AA" w:rsidRPr="00CC6E58" w:rsidRDefault="009B30AA" w:rsidP="00286500">
      <w:pPr>
        <w:jc w:val="center"/>
      </w:pPr>
    </w:p>
    <w:tbl>
      <w:tblPr>
        <w:tblpPr w:leftFromText="181" w:rightFromText="181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525F6C" w:rsidRPr="00CC6E58" w:rsidTr="00782F80">
        <w:tc>
          <w:tcPr>
            <w:tcW w:w="9289" w:type="dxa"/>
            <w:gridSpan w:val="2"/>
          </w:tcPr>
          <w:p w:rsidR="00525F6C" w:rsidRPr="00CC6E58" w:rsidRDefault="001C0ABE" w:rsidP="00286500">
            <w:r w:rsidRPr="00CC6E58">
              <w:t>Do członków sekcji</w:t>
            </w:r>
          </w:p>
        </w:tc>
      </w:tr>
      <w:tr w:rsidR="001C0ABE" w:rsidRPr="00CC6E58" w:rsidTr="00782F80">
        <w:tc>
          <w:tcPr>
            <w:tcW w:w="9289" w:type="dxa"/>
            <w:gridSpan w:val="2"/>
          </w:tcPr>
          <w:p w:rsidR="001C0ABE" w:rsidRPr="00CC6E58" w:rsidRDefault="001C0ABE" w:rsidP="00286500"/>
        </w:tc>
      </w:tr>
      <w:tr w:rsidR="00C40106" w:rsidRPr="00CC6E58" w:rsidTr="001D79CF">
        <w:tc>
          <w:tcPr>
            <w:tcW w:w="3085" w:type="dxa"/>
          </w:tcPr>
          <w:p w:rsidR="00C40106" w:rsidRPr="00CC6E58" w:rsidRDefault="00AF35A1" w:rsidP="00286500">
            <w:r w:rsidRPr="00CC6E58">
              <w:t>Posiedzenie sekcji</w:t>
            </w:r>
          </w:p>
        </w:tc>
        <w:tc>
          <w:tcPr>
            <w:tcW w:w="6204" w:type="dxa"/>
          </w:tcPr>
          <w:p w:rsidR="00C40106" w:rsidRPr="00CC6E58" w:rsidRDefault="00515EF5" w:rsidP="00286500">
            <w:r w:rsidRPr="00CC6E58">
              <w:t>07/06/2018, 10:00</w:t>
            </w:r>
          </w:p>
        </w:tc>
      </w:tr>
      <w:tr w:rsidR="00515EF5" w:rsidRPr="00CC6E58" w:rsidTr="001D79CF">
        <w:tc>
          <w:tcPr>
            <w:tcW w:w="3085" w:type="dxa"/>
          </w:tcPr>
          <w:p w:rsidR="00515EF5" w:rsidRPr="00CC6E58" w:rsidRDefault="00515EF5" w:rsidP="00286500">
            <w:r w:rsidRPr="00CC6E58">
              <w:rPr>
                <w:b/>
              </w:rPr>
              <w:t>Termin zgłaszania poprawek</w:t>
            </w:r>
          </w:p>
        </w:tc>
        <w:tc>
          <w:tcPr>
            <w:tcW w:w="6204" w:type="dxa"/>
          </w:tcPr>
          <w:p w:rsidR="00515EF5" w:rsidRPr="00CC6E58" w:rsidDel="00AF35A1" w:rsidRDefault="00515EF5" w:rsidP="00286500">
            <w:r w:rsidRPr="00CC6E58">
              <w:rPr>
                <w:b/>
              </w:rPr>
              <w:t>04/06/2018, 10:00</w:t>
            </w:r>
          </w:p>
        </w:tc>
      </w:tr>
      <w:tr w:rsidR="00515EF5" w:rsidRPr="00CC6E58" w:rsidTr="00CD4855">
        <w:tc>
          <w:tcPr>
            <w:tcW w:w="3085" w:type="dxa"/>
          </w:tcPr>
          <w:p w:rsidR="00515EF5" w:rsidRPr="00CC6E58" w:rsidRDefault="00515EF5" w:rsidP="00286500">
            <w:r w:rsidRPr="00CC6E58">
              <w:t>Kontakt</w:t>
            </w:r>
          </w:p>
        </w:tc>
        <w:tc>
          <w:tcPr>
            <w:tcW w:w="6204" w:type="dxa"/>
          </w:tcPr>
          <w:p w:rsidR="00515EF5" w:rsidRPr="00CC6E58" w:rsidRDefault="003F4842" w:rsidP="00286500">
            <w:hyperlink r:id="rId14" w:history="1">
              <w:r w:rsidR="00813443" w:rsidRPr="00CC6E58">
                <w:rPr>
                  <w:rStyle w:val="Hyperlink"/>
                  <w:color w:val="auto"/>
                </w:rPr>
                <w:t>int@eesc.europa.eu</w:t>
              </w:r>
            </w:hyperlink>
          </w:p>
        </w:tc>
      </w:tr>
      <w:tr w:rsidR="00515EF5" w:rsidRPr="00CC6E58" w:rsidTr="00CD4855">
        <w:tc>
          <w:tcPr>
            <w:tcW w:w="3085" w:type="dxa"/>
          </w:tcPr>
          <w:p w:rsidR="00515EF5" w:rsidRPr="00CC6E58" w:rsidRDefault="00515EF5" w:rsidP="00286500">
            <w:r w:rsidRPr="00CC6E58">
              <w:t>Administratorka</w:t>
            </w:r>
          </w:p>
        </w:tc>
        <w:tc>
          <w:tcPr>
            <w:tcW w:w="6204" w:type="dxa"/>
          </w:tcPr>
          <w:p w:rsidR="00515EF5" w:rsidRPr="00CC6E58" w:rsidRDefault="00515EF5" w:rsidP="00286500">
            <w:r w:rsidRPr="00CC6E58">
              <w:t>Claudia DREWES-WRAN</w:t>
            </w:r>
          </w:p>
        </w:tc>
      </w:tr>
      <w:tr w:rsidR="00515EF5" w:rsidRPr="00CC6E58" w:rsidTr="00CD4855">
        <w:tc>
          <w:tcPr>
            <w:tcW w:w="3085" w:type="dxa"/>
          </w:tcPr>
          <w:p w:rsidR="00515EF5" w:rsidRPr="00CC6E58" w:rsidRDefault="00515EF5" w:rsidP="00286500">
            <w:r w:rsidRPr="00CC6E58">
              <w:t>Data dokumentu</w:t>
            </w:r>
          </w:p>
        </w:tc>
        <w:tc>
          <w:tcPr>
            <w:tcW w:w="6204" w:type="dxa"/>
          </w:tcPr>
          <w:p w:rsidR="00515EF5" w:rsidRPr="00CC6E58" w:rsidRDefault="00B75887" w:rsidP="00286500">
            <w:r w:rsidRPr="00CC6E58">
              <w:t>29/05/2018</w:t>
            </w:r>
          </w:p>
        </w:tc>
      </w:tr>
    </w:tbl>
    <w:p w:rsidR="00704FBB" w:rsidRPr="00CC6E58" w:rsidRDefault="007F5E0D" w:rsidP="00286500">
      <w:pPr>
        <w:jc w:val="center"/>
      </w:pPr>
      <w:r w:rsidRPr="00CC6E58">
        <w:t xml:space="preserve">Sprawozdawca: </w:t>
      </w:r>
      <w:r w:rsidRPr="00CC6E58">
        <w:rPr>
          <w:b/>
        </w:rPr>
        <w:t>Daniel MAREELS</w:t>
      </w:r>
    </w:p>
    <w:p w:rsidR="00704FBB" w:rsidRPr="00CC6E58" w:rsidRDefault="00704FBB" w:rsidP="00286500"/>
    <w:p w:rsidR="00646AC2" w:rsidRPr="00CC6E58" w:rsidRDefault="00646AC2" w:rsidP="00286500"/>
    <w:p w:rsidR="00646AC2" w:rsidRPr="00CC6E58" w:rsidRDefault="00646AC2" w:rsidP="00286500">
      <w:pPr>
        <w:sectPr w:rsidR="00646AC2" w:rsidRPr="00CC6E58" w:rsidSect="00286500">
          <w:footerReference w:type="default" r:id="rId15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4"/>
      </w:tblGrid>
      <w:tr w:rsidR="0011656A" w:rsidRPr="00CC6E58" w:rsidTr="00CD4855">
        <w:tc>
          <w:tcPr>
            <w:tcW w:w="3085" w:type="dxa"/>
          </w:tcPr>
          <w:p w:rsidR="0011656A" w:rsidRPr="00CC6E58" w:rsidRDefault="00242D66" w:rsidP="00286500">
            <w:r w:rsidRPr="00CC6E58">
              <w:lastRenderedPageBreak/>
              <w:t>Grupa redakcyjna</w:t>
            </w:r>
          </w:p>
        </w:tc>
        <w:tc>
          <w:tcPr>
            <w:tcW w:w="6204" w:type="dxa"/>
          </w:tcPr>
          <w:p w:rsidR="0011656A" w:rsidRPr="00CC6E58" w:rsidRDefault="008E7F29" w:rsidP="00286500">
            <w:r w:rsidRPr="00CC6E58">
              <w:t>SEPA / Rozszerzenie</w:t>
            </w:r>
          </w:p>
        </w:tc>
      </w:tr>
      <w:tr w:rsidR="00033913" w:rsidRPr="00CC6E58" w:rsidTr="00CD4855">
        <w:tc>
          <w:tcPr>
            <w:tcW w:w="3085" w:type="dxa"/>
          </w:tcPr>
          <w:p w:rsidR="00033913" w:rsidRPr="00CC6E58" w:rsidRDefault="00033913" w:rsidP="00286500"/>
        </w:tc>
        <w:tc>
          <w:tcPr>
            <w:tcW w:w="6204" w:type="dxa"/>
          </w:tcPr>
          <w:p w:rsidR="00033913" w:rsidRPr="00CC6E58" w:rsidRDefault="00033913" w:rsidP="00286500"/>
        </w:tc>
      </w:tr>
      <w:tr w:rsidR="0011656A" w:rsidRPr="00CC6E58" w:rsidTr="00CD4855">
        <w:tc>
          <w:tcPr>
            <w:tcW w:w="3085" w:type="dxa"/>
          </w:tcPr>
          <w:p w:rsidR="0011656A" w:rsidRPr="00CC6E58" w:rsidRDefault="0011656A" w:rsidP="00286500">
            <w:r w:rsidRPr="00CC6E58">
              <w:t>Sprawozdawca</w:t>
            </w:r>
          </w:p>
        </w:tc>
        <w:tc>
          <w:tcPr>
            <w:tcW w:w="6204" w:type="dxa"/>
          </w:tcPr>
          <w:p w:rsidR="008E7F29" w:rsidRPr="00CC6E58" w:rsidRDefault="00F62F7E" w:rsidP="00286500">
            <w:r w:rsidRPr="00CC6E58">
              <w:t>Daniel MAREELS (BE - I)</w:t>
            </w:r>
          </w:p>
          <w:p w:rsidR="0011656A" w:rsidRPr="00CC6E58" w:rsidRDefault="0011656A" w:rsidP="00286500"/>
        </w:tc>
      </w:tr>
      <w:tr w:rsidR="0011656A" w:rsidRPr="00CC6E58" w:rsidTr="00CD4855">
        <w:tc>
          <w:tcPr>
            <w:tcW w:w="3085" w:type="dxa"/>
          </w:tcPr>
          <w:p w:rsidR="0011656A" w:rsidRPr="00CC6E58" w:rsidRDefault="0011656A" w:rsidP="00286500">
            <w:r w:rsidRPr="00CC6E58">
              <w:t>Członkowie</w:t>
            </w:r>
          </w:p>
        </w:tc>
        <w:tc>
          <w:tcPr>
            <w:tcW w:w="6204" w:type="dxa"/>
          </w:tcPr>
          <w:p w:rsidR="008E7F29" w:rsidRPr="00CC6E58" w:rsidRDefault="00F62F7E" w:rsidP="00286500">
            <w:proofErr w:type="spellStart"/>
            <w:r w:rsidRPr="00CC6E58">
              <w:t>Reine</w:t>
            </w:r>
            <w:proofErr w:type="spellEnd"/>
            <w:r w:rsidRPr="00CC6E58">
              <w:t>-Claude MADER (FR - III)</w:t>
            </w:r>
          </w:p>
          <w:p w:rsidR="0011656A" w:rsidRPr="00CC6E58" w:rsidRDefault="00F62F7E" w:rsidP="00286500">
            <w:proofErr w:type="spellStart"/>
            <w:r w:rsidRPr="00CC6E58">
              <w:t>Stefano</w:t>
            </w:r>
            <w:proofErr w:type="spellEnd"/>
            <w:r w:rsidRPr="00CC6E58">
              <w:t xml:space="preserve"> PALMIERI (IT - II)</w:t>
            </w:r>
          </w:p>
        </w:tc>
      </w:tr>
      <w:tr w:rsidR="00033913" w:rsidRPr="00CC6E58" w:rsidTr="00CD4855">
        <w:tc>
          <w:tcPr>
            <w:tcW w:w="3085" w:type="dxa"/>
          </w:tcPr>
          <w:p w:rsidR="00033913" w:rsidRPr="00CC6E58" w:rsidRDefault="00033913" w:rsidP="00286500"/>
        </w:tc>
        <w:tc>
          <w:tcPr>
            <w:tcW w:w="6204" w:type="dxa"/>
          </w:tcPr>
          <w:p w:rsidR="00033913" w:rsidRPr="00CC6E58" w:rsidRDefault="00033913" w:rsidP="00286500"/>
        </w:tc>
      </w:tr>
      <w:tr w:rsidR="0011656A" w:rsidRPr="00CC6E58" w:rsidTr="00CD4855">
        <w:tc>
          <w:tcPr>
            <w:tcW w:w="3085" w:type="dxa"/>
          </w:tcPr>
          <w:p w:rsidR="0011656A" w:rsidRPr="00CC6E58" w:rsidRDefault="0090053A" w:rsidP="00286500">
            <w:r w:rsidRPr="00CC6E58">
              <w:t>Ekspertka</w:t>
            </w:r>
          </w:p>
        </w:tc>
        <w:tc>
          <w:tcPr>
            <w:tcW w:w="6204" w:type="dxa"/>
          </w:tcPr>
          <w:p w:rsidR="0090053A" w:rsidRPr="00CC6E58" w:rsidRDefault="008E7F29" w:rsidP="00286500">
            <w:r w:rsidRPr="00CC6E58">
              <w:t>Isabelle MARCHAND (z ramienia sprawozdawcy, grupa I)</w:t>
            </w:r>
          </w:p>
        </w:tc>
      </w:tr>
    </w:tbl>
    <w:p w:rsidR="0012220C" w:rsidRPr="00CC6E58" w:rsidRDefault="0012220C" w:rsidP="00286500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4"/>
      </w:tblGrid>
      <w:tr w:rsidR="0011656A" w:rsidRPr="00CC6E58" w:rsidTr="00CD4855">
        <w:tc>
          <w:tcPr>
            <w:tcW w:w="3085" w:type="dxa"/>
          </w:tcPr>
          <w:p w:rsidR="0011656A" w:rsidRPr="00CC6E58" w:rsidRDefault="0090053A" w:rsidP="00CC6E58">
            <w:r w:rsidRPr="00CC6E58">
              <w:t xml:space="preserve">Wniosek o konsultację </w:t>
            </w:r>
          </w:p>
        </w:tc>
        <w:tc>
          <w:tcPr>
            <w:tcW w:w="6204" w:type="dxa"/>
          </w:tcPr>
          <w:p w:rsidR="008E7F29" w:rsidRPr="00CC6E58" w:rsidRDefault="00E47D19" w:rsidP="00286500">
            <w:r w:rsidRPr="00CC6E58">
              <w:t>Parlament Europejski, 19/04/2018</w:t>
            </w:r>
          </w:p>
          <w:p w:rsidR="008E7F29" w:rsidRPr="00CC6E58" w:rsidRDefault="00E47D19" w:rsidP="00286500">
            <w:r w:rsidRPr="00CC6E58">
              <w:t>Rada Europejska, 03/05/2018</w:t>
            </w:r>
          </w:p>
          <w:p w:rsidR="00E47D19" w:rsidRPr="00CC6E58" w:rsidRDefault="00E47D19" w:rsidP="00286500"/>
        </w:tc>
      </w:tr>
      <w:tr w:rsidR="0016503F" w:rsidRPr="00CC6E58" w:rsidTr="00CD4855">
        <w:trPr>
          <w:trHeight w:val="251"/>
        </w:trPr>
        <w:tc>
          <w:tcPr>
            <w:tcW w:w="3085" w:type="dxa"/>
          </w:tcPr>
          <w:p w:rsidR="0016503F" w:rsidRPr="00CC6E58" w:rsidRDefault="0016503F" w:rsidP="00286500">
            <w:r w:rsidRPr="00CC6E58">
              <w:t>Podstawa prawna</w:t>
            </w:r>
          </w:p>
        </w:tc>
        <w:tc>
          <w:tcPr>
            <w:tcW w:w="6204" w:type="dxa"/>
          </w:tcPr>
          <w:p w:rsidR="0016503F" w:rsidRPr="00CC6E58" w:rsidRDefault="0016503F" w:rsidP="00286500">
            <w:r w:rsidRPr="00CC6E58">
              <w:t>Art. 114 Traktatu o funkcjonowaniu Unii Europejskiej</w:t>
            </w:r>
          </w:p>
        </w:tc>
      </w:tr>
      <w:tr w:rsidR="0016503F" w:rsidRPr="00CC6E58" w:rsidTr="00CD4855">
        <w:trPr>
          <w:trHeight w:val="250"/>
        </w:trPr>
        <w:tc>
          <w:tcPr>
            <w:tcW w:w="3085" w:type="dxa"/>
          </w:tcPr>
          <w:p w:rsidR="0016503F" w:rsidRPr="00CC6E58" w:rsidRDefault="0016503F" w:rsidP="00286500"/>
        </w:tc>
        <w:tc>
          <w:tcPr>
            <w:tcW w:w="6204" w:type="dxa"/>
          </w:tcPr>
          <w:p w:rsidR="0016503F" w:rsidRPr="00CC6E58" w:rsidRDefault="0016503F" w:rsidP="00286500"/>
        </w:tc>
      </w:tr>
      <w:tr w:rsidR="00DF5B64" w:rsidRPr="00CC6E58" w:rsidTr="00CD4855">
        <w:tc>
          <w:tcPr>
            <w:tcW w:w="3085" w:type="dxa"/>
          </w:tcPr>
          <w:p w:rsidR="00DF5B64" w:rsidRPr="00CC6E58" w:rsidRDefault="00AD4B4F" w:rsidP="00286500">
            <w:r w:rsidRPr="00CC6E58">
              <w:t>Sekcja odpowiedzialna</w:t>
            </w:r>
          </w:p>
        </w:tc>
        <w:tc>
          <w:tcPr>
            <w:tcW w:w="6204" w:type="dxa"/>
          </w:tcPr>
          <w:p w:rsidR="00DF5B64" w:rsidRPr="00CC6E58" w:rsidRDefault="008E7F29" w:rsidP="00286500">
            <w:r w:rsidRPr="00CC6E58">
              <w:t>Sekcja Jednolitego Rynku, Produkcji i Konsumpcji</w:t>
            </w:r>
          </w:p>
        </w:tc>
      </w:tr>
      <w:tr w:rsidR="00A156E6" w:rsidRPr="00CC6E58" w:rsidTr="00CD4855">
        <w:tc>
          <w:tcPr>
            <w:tcW w:w="3085" w:type="dxa"/>
          </w:tcPr>
          <w:p w:rsidR="00A156E6" w:rsidRPr="00CC6E58" w:rsidRDefault="00A156E6" w:rsidP="00286500">
            <w:r w:rsidRPr="00CC6E58">
              <w:t>Data przyjęcia przez sekcję</w:t>
            </w:r>
          </w:p>
        </w:tc>
        <w:tc>
          <w:tcPr>
            <w:tcW w:w="6204" w:type="dxa"/>
          </w:tcPr>
          <w:p w:rsidR="00A156E6" w:rsidRPr="00CC6E58" w:rsidRDefault="003439AB" w:rsidP="00286500">
            <w:r w:rsidRPr="00CC6E58">
              <w:t>DD/MM/RRRR</w:t>
            </w:r>
          </w:p>
        </w:tc>
      </w:tr>
      <w:tr w:rsidR="00A156E6" w:rsidRPr="00CC6E58" w:rsidTr="007B7F00">
        <w:tc>
          <w:tcPr>
            <w:tcW w:w="3085" w:type="dxa"/>
          </w:tcPr>
          <w:p w:rsidR="00A156E6" w:rsidRPr="00CC6E58" w:rsidRDefault="00A156E6" w:rsidP="00286500">
            <w:r w:rsidRPr="00CC6E58">
              <w:t>Data przyjęcia na sesji plenarnej</w:t>
            </w:r>
          </w:p>
        </w:tc>
        <w:tc>
          <w:tcPr>
            <w:tcW w:w="6204" w:type="dxa"/>
            <w:vAlign w:val="bottom"/>
          </w:tcPr>
          <w:p w:rsidR="00A156E6" w:rsidRPr="00CC6E58" w:rsidRDefault="003439AB" w:rsidP="00286500">
            <w:r w:rsidRPr="00CC6E58">
              <w:t>DD/MM/RRRR</w:t>
            </w:r>
          </w:p>
        </w:tc>
      </w:tr>
      <w:tr w:rsidR="00BA1290" w:rsidRPr="00CC6E58" w:rsidTr="001D79CF">
        <w:tc>
          <w:tcPr>
            <w:tcW w:w="3085" w:type="dxa"/>
          </w:tcPr>
          <w:p w:rsidR="00BA1290" w:rsidRPr="00CC6E58" w:rsidRDefault="00BA1290" w:rsidP="00286500">
            <w:r w:rsidRPr="00CC6E58">
              <w:t>Sesja plenarna nr</w:t>
            </w:r>
          </w:p>
        </w:tc>
        <w:tc>
          <w:tcPr>
            <w:tcW w:w="6204" w:type="dxa"/>
          </w:tcPr>
          <w:p w:rsidR="00BA1290" w:rsidRPr="00CC6E58" w:rsidRDefault="00BA1290" w:rsidP="00286500">
            <w:r w:rsidRPr="00CC6E58">
              <w:t>…</w:t>
            </w:r>
          </w:p>
        </w:tc>
      </w:tr>
      <w:tr w:rsidR="00A156E6" w:rsidRPr="00CC6E58" w:rsidTr="00093DE0">
        <w:tc>
          <w:tcPr>
            <w:tcW w:w="3085" w:type="dxa"/>
          </w:tcPr>
          <w:p w:rsidR="00D423D4" w:rsidRPr="00CC6E58" w:rsidRDefault="0043024C" w:rsidP="00286500">
            <w:r w:rsidRPr="00CC6E58">
              <w:t>Wynik głosowania</w:t>
            </w:r>
            <w:r w:rsidRPr="00CC6E58">
              <w:cr/>
            </w:r>
            <w:r w:rsidRPr="00CC6E58">
              <w:br/>
              <w:t>(</w:t>
            </w:r>
            <w:proofErr w:type="gramStart"/>
            <w:r w:rsidRPr="00CC6E58">
              <w:t>za</w:t>
            </w:r>
            <w:proofErr w:type="gramEnd"/>
            <w:r w:rsidRPr="00CC6E58">
              <w:t xml:space="preserve"> / przeciw / wstrzymało się)</w:t>
            </w:r>
          </w:p>
        </w:tc>
        <w:tc>
          <w:tcPr>
            <w:tcW w:w="6204" w:type="dxa"/>
            <w:vAlign w:val="bottom"/>
          </w:tcPr>
          <w:p w:rsidR="00A156E6" w:rsidRPr="00CC6E58" w:rsidRDefault="00A156E6" w:rsidP="00286500">
            <w:r w:rsidRPr="00CC6E58">
              <w:t>…/…/…</w:t>
            </w:r>
          </w:p>
        </w:tc>
      </w:tr>
    </w:tbl>
    <w:p w:rsidR="0090053A" w:rsidRPr="00CC6E58" w:rsidRDefault="0090053A" w:rsidP="00286500"/>
    <w:p w:rsidR="00646AC2" w:rsidRPr="00CC6E58" w:rsidRDefault="00646AC2" w:rsidP="00286500">
      <w:r w:rsidRPr="00CC6E58">
        <w:br w:type="page"/>
      </w:r>
    </w:p>
    <w:p w:rsidR="00194B36" w:rsidRPr="00CC6E58" w:rsidRDefault="00194B36" w:rsidP="00286500">
      <w:pPr>
        <w:pStyle w:val="Heading1"/>
        <w:keepNext/>
        <w:rPr>
          <w:b/>
        </w:rPr>
      </w:pPr>
      <w:r w:rsidRPr="00CC6E58">
        <w:rPr>
          <w:b/>
        </w:rPr>
        <w:lastRenderedPageBreak/>
        <w:t>Wnioski i zalecenia</w:t>
      </w:r>
    </w:p>
    <w:p w:rsidR="00194B36" w:rsidRPr="00CC6E58" w:rsidRDefault="00194B36" w:rsidP="00286500">
      <w:pPr>
        <w:keepNext/>
        <w:ind w:left="142" w:hanging="142"/>
      </w:pPr>
    </w:p>
    <w:p w:rsidR="00194B36" w:rsidRPr="00CC6E58" w:rsidRDefault="002D3902" w:rsidP="00286500">
      <w:pPr>
        <w:pStyle w:val="Heading2"/>
      </w:pPr>
      <w:r w:rsidRPr="00CC6E58">
        <w:t>EKES z zadowoleniem przyjmuje przedmiotowy wniosek, który pozwoli zmniejszyć koszt płatności transgranicznych w euro w państwach członkowskich spoza strefy euro i zwiększyć przejrzystość w zakresie opłat za wymianę walut. Wzywa do rychłego wdrożenia tego wniosku.</w:t>
      </w:r>
    </w:p>
    <w:p w:rsidR="002D3902" w:rsidRPr="00CC6E58" w:rsidRDefault="002D3902" w:rsidP="00286500"/>
    <w:p w:rsidR="002D3902" w:rsidRPr="00CC6E58" w:rsidRDefault="002D3902" w:rsidP="00286500">
      <w:pPr>
        <w:pStyle w:val="Heading2"/>
      </w:pPr>
      <w:r w:rsidRPr="00CC6E58">
        <w:t>Bezpośrednie skutki wniosku będą odczuwalne głównie w państwach członkowskich spoza strefy euro. Stosowane tam wysokie opłaty za wewnątrzunijne płatności transgraniczne w euro znikną, ponieważ będą musiały zostać dostosowane do niższych</w:t>
      </w:r>
      <w:r w:rsidR="00CC6E58">
        <w:t xml:space="preserve"> opłat za transakcje krajowe w </w:t>
      </w:r>
      <w:r w:rsidRPr="00CC6E58">
        <w:t xml:space="preserve">walucie krajowej. EKES z zadowoleniem przyjmuje </w:t>
      </w:r>
      <w:r w:rsidR="00CC6E58">
        <w:t>to obniżenie opłat, korzystne w </w:t>
      </w:r>
      <w:r w:rsidRPr="00CC6E58">
        <w:t>szczególności dla konsumentów i przedsiębiorstw, zwłaszcza MŚP.</w:t>
      </w:r>
    </w:p>
    <w:p w:rsidR="002D3902" w:rsidRPr="00CC6E58" w:rsidRDefault="002D3902" w:rsidP="00286500"/>
    <w:p w:rsidR="002D3902" w:rsidRPr="00CC6E58" w:rsidRDefault="002D3902" w:rsidP="00286500">
      <w:pPr>
        <w:pStyle w:val="Heading2"/>
      </w:pPr>
      <w:r w:rsidRPr="00CC6E58">
        <w:t>Z kolei obniżenie opłat niewątpliwie doprowadzi do zwiększenia swobodnego przepływu transgranicznego i wolnego handlu w całej UE, przynosząc korzyści wszystkim państwom członkowskim Unii. Pogłębienie jednolitego rynku i pozytywne skutki gospodarcze, które w ten sposób można uzyskać, są ważne zdaniem EKES-u.</w:t>
      </w:r>
    </w:p>
    <w:p w:rsidR="002D3902" w:rsidRPr="00CC6E58" w:rsidRDefault="002D3902" w:rsidP="00286500"/>
    <w:p w:rsidR="002D3902" w:rsidRPr="00CC6E58" w:rsidRDefault="002D3902" w:rsidP="00286500">
      <w:pPr>
        <w:pStyle w:val="Heading2"/>
      </w:pPr>
      <w:r w:rsidRPr="00CC6E58">
        <w:t>EKES z zadowoleniem stwierdza, że w ten sposób osiągnięty zostanie też początkowy cel projektu SEPA, by traktować wszystkie wewnątrzunijne płatności w euro jak płatności krajowe. Jednocześnie przyczyni się to do budowy jednolitego rynku detalicznych usług finansowych, jako że zlikwidowany zostanie obecny podział tego rynku n</w:t>
      </w:r>
      <w:r w:rsidR="00CC6E58">
        <w:t>a użytkowników ze strefy euro i </w:t>
      </w:r>
      <w:r w:rsidRPr="00CC6E58">
        <w:t>spoza strefy euro. Niższe opłaty ponoszone przez użytkowników w strefie euro zostaną w ten sposób udostępnione również użytkownikom spoza strefy euro.</w:t>
      </w:r>
    </w:p>
    <w:p w:rsidR="002D3902" w:rsidRPr="00CC6E58" w:rsidRDefault="002D3902" w:rsidP="00286500"/>
    <w:p w:rsidR="002D3902" w:rsidRPr="00CC6E58" w:rsidRDefault="002D3902" w:rsidP="00286500">
      <w:pPr>
        <w:pStyle w:val="Heading2"/>
      </w:pPr>
      <w:r w:rsidRPr="00CC6E58">
        <w:t xml:space="preserve">W kontekście swych wielokrotnych apeli o zachowanie różnorodności środowiska </w:t>
      </w:r>
      <w:proofErr w:type="gramStart"/>
      <w:r w:rsidRPr="00CC6E58">
        <w:t>bankowego jako</w:t>
      </w:r>
      <w:proofErr w:type="gramEnd"/>
      <w:r w:rsidRPr="00CC6E58">
        <w:t xml:space="preserve"> gwarancji stabilności i efektywności systemu oraz w celu uwzględnienia różnych przyszłościowych zmian i wyzwań EKES wzywa do poświęcenia większej uwagi aspektowi kosztów, z którym będą miały do czynienia banki w następstwie przedmiotowego wniosku.</w:t>
      </w:r>
    </w:p>
    <w:p w:rsidR="002D3902" w:rsidRPr="00CC6E58" w:rsidRDefault="002D3902" w:rsidP="00286500"/>
    <w:p w:rsidR="002D3902" w:rsidRPr="00CC6E58" w:rsidRDefault="002D3902" w:rsidP="00286500">
      <w:pPr>
        <w:pStyle w:val="Heading2"/>
      </w:pPr>
      <w:r w:rsidRPr="00CC6E58">
        <w:t>Uczestnicy rynku zostaną zobowiązani do publikowania pełnych kosztów wymiany walut za granicą i informowania o nich osób zainteresowanych przed przystąpieniem przez nie do operacji. Zdaniem EKES-u te nowe dodatkowe obowiązki dotyczące przejrzystości są uzasadnione, ponieważ pozwolą konsumentom na dokonywanie właściwego wyboru podczas operacji za odpowiednią cenę. Ale również w tym przypadku ważne jest, aby wziąć pod uwagę bardzo złożony pod względem technicznym charakter tej kwestii oraz związane z nią koszty ponoszone przez dostawców.</w:t>
      </w:r>
    </w:p>
    <w:p w:rsidR="009C4041" w:rsidRPr="00CC6E58" w:rsidRDefault="009C4041" w:rsidP="00286500"/>
    <w:p w:rsidR="009C4041" w:rsidRPr="00CC6E58" w:rsidRDefault="009C4041" w:rsidP="00286500">
      <w:pPr>
        <w:pStyle w:val="Heading2"/>
      </w:pPr>
      <w:r w:rsidRPr="00CC6E58">
        <w:t xml:space="preserve">Wreszcie Komitet wskazuje również, </w:t>
      </w:r>
      <w:proofErr w:type="gramStart"/>
      <w:r w:rsidRPr="00CC6E58">
        <w:t>że mimo iż</w:t>
      </w:r>
      <w:proofErr w:type="gramEnd"/>
      <w:r w:rsidRPr="00CC6E58">
        <w:t xml:space="preserve"> dotyczy to bardzo technicznej kwestii, pojawia się tu ogromna szansa na dobrą i jasną komunikację z wszystkimi obywatelami Unii. Można by wykorzystać wprowadzane w tym zakresie zmiany do wyjaśnienia, w jaki sposób UE wprowadza pozytywne dla każdego zmiany i rozwiązuje problemy dnia powszedniego.</w:t>
      </w:r>
    </w:p>
    <w:p w:rsidR="00194B36" w:rsidRPr="00CC6E58" w:rsidRDefault="00194B36" w:rsidP="00286500"/>
    <w:p w:rsidR="001B2D02" w:rsidRPr="00CC6E58" w:rsidRDefault="002D3902" w:rsidP="00286500">
      <w:pPr>
        <w:pStyle w:val="Heading1"/>
        <w:keepNext/>
      </w:pPr>
      <w:r w:rsidRPr="00CC6E58">
        <w:rPr>
          <w:b/>
        </w:rPr>
        <w:t>Kontekst</w:t>
      </w:r>
    </w:p>
    <w:p w:rsidR="002D3902" w:rsidRPr="00CC6E58" w:rsidRDefault="002D3902" w:rsidP="00286500">
      <w:pPr>
        <w:keepNext/>
      </w:pPr>
    </w:p>
    <w:p w:rsidR="002D3902" w:rsidRPr="00CC6E58" w:rsidRDefault="002D3902" w:rsidP="00286500">
      <w:pPr>
        <w:pStyle w:val="Heading2"/>
      </w:pPr>
      <w:r w:rsidRPr="00CC6E58">
        <w:t xml:space="preserve">Od początku lat 2000 prowadzone są działania mające na celu harmonizację płatności bezgotówkowych w Europie. Dlatego już od wprowadzenia euro rozpoczęto prace nad </w:t>
      </w:r>
      <w:r w:rsidRPr="00CC6E58">
        <w:lastRenderedPageBreak/>
        <w:t xml:space="preserve">jednolitym obszarem płatności w euro – Single Euro </w:t>
      </w:r>
      <w:proofErr w:type="spellStart"/>
      <w:r w:rsidRPr="00CC6E58">
        <w:t>Payments</w:t>
      </w:r>
      <w:proofErr w:type="spellEnd"/>
      <w:r w:rsidRPr="00CC6E58">
        <w:t xml:space="preserve"> </w:t>
      </w:r>
      <w:proofErr w:type="spellStart"/>
      <w:r w:rsidRPr="00CC6E58">
        <w:t>Area</w:t>
      </w:r>
      <w:proofErr w:type="spellEnd"/>
      <w:r w:rsidRPr="00CC6E58">
        <w:t xml:space="preserve"> (w skrócie SEPA)</w:t>
      </w:r>
      <w:r w:rsidRPr="00CC6E58">
        <w:rPr>
          <w:rStyle w:val="FootnoteReference"/>
        </w:rPr>
        <w:footnoteReference w:id="1"/>
      </w:r>
      <w:r w:rsidRPr="00CC6E58">
        <w:t>. W tym kontekście przeprowadzono stopniowe przejście z krajowych systemów płatności na europejski. Proces ten został zakończony w 2014 r.</w:t>
      </w:r>
    </w:p>
    <w:p w:rsidR="002D3902" w:rsidRPr="00CC6E58" w:rsidRDefault="002D3902" w:rsidP="00286500"/>
    <w:p w:rsidR="002D3902" w:rsidRPr="00CC6E58" w:rsidRDefault="002D3902" w:rsidP="00286500">
      <w:pPr>
        <w:pStyle w:val="Heading2"/>
      </w:pPr>
      <w:r w:rsidRPr="00CC6E58">
        <w:t xml:space="preserve">Na tej podstawie rządy, handlowcy i przedsiębiorstwa mogą z </w:t>
      </w:r>
      <w:r w:rsidR="00CC6E58">
        <w:t>łatwością dokonywać płatności w </w:t>
      </w:r>
      <w:r w:rsidRPr="00CC6E58">
        <w:t>dowolnym miejscu w strefie euro i Unii Europejskiej</w:t>
      </w:r>
      <w:r w:rsidRPr="00CC6E58">
        <w:rPr>
          <w:rStyle w:val="FootnoteReference"/>
        </w:rPr>
        <w:footnoteReference w:id="2"/>
      </w:r>
      <w:r w:rsidRPr="00CC6E58">
        <w:t xml:space="preserve"> dzięki zastosowaniu identycznych środków płatności: kart, poleceń przelewu i poleceń zapłaty. Niezależnie od kraju nie czyni się rozróżnienia – wszystkie płatności są traktowane jak europejskie płatności wewnętrzne.</w:t>
      </w:r>
    </w:p>
    <w:p w:rsidR="002D3902" w:rsidRPr="00CC6E58" w:rsidRDefault="002D3902" w:rsidP="00286500"/>
    <w:p w:rsidR="002D3902" w:rsidRPr="00CC6E58" w:rsidRDefault="002D3902" w:rsidP="00286500">
      <w:pPr>
        <w:pStyle w:val="Heading2"/>
      </w:pPr>
      <w:r w:rsidRPr="00CC6E58">
        <w:t xml:space="preserve">Ponadto przedsięwzięto różne inne inicjatywy mające na celu nie tylko zwiększenie przejrzystości kosztów płatności, ale i zmniejszenie tych kosztów. Na tej podstawie między innymi opłaty za wewnątrzunijne płatności transgraniczne w </w:t>
      </w:r>
      <w:r w:rsidR="00CC6E58">
        <w:t>euro zostały obecnie zrównane z </w:t>
      </w:r>
      <w:r w:rsidRPr="00CC6E58">
        <w:t>opłatami za krajowe płatności w tej walucie. Dokonano tego na podstawie rozporządzenia (WE) nr 2560/2001, zastąpionego później rozporządzeniem (WE) nr 924/2009.</w:t>
      </w:r>
    </w:p>
    <w:p w:rsidR="002D3902" w:rsidRPr="00CC6E58" w:rsidRDefault="002D3902" w:rsidP="00286500"/>
    <w:p w:rsidR="002D3902" w:rsidRPr="00CC6E58" w:rsidRDefault="002D3902" w:rsidP="00286500">
      <w:pPr>
        <w:pStyle w:val="Heading2"/>
      </w:pPr>
      <w:r w:rsidRPr="00CC6E58">
        <w:t>De facto zmiana ta miała wpływ jedynie na państwa członkowskie strefy euro</w:t>
      </w:r>
      <w:r w:rsidRPr="00CC6E58">
        <w:rPr>
          <w:rStyle w:val="FootnoteReference"/>
        </w:rPr>
        <w:footnoteReference w:id="3"/>
      </w:r>
      <w:r w:rsidRPr="00CC6E58">
        <w:t>, a także na Szwecję, która skorzystała z możliwości</w:t>
      </w:r>
      <w:r w:rsidRPr="00CC6E58">
        <w:rPr>
          <w:rStyle w:val="FootnoteReference"/>
        </w:rPr>
        <w:footnoteReference w:id="4"/>
      </w:r>
      <w:r w:rsidRPr="00CC6E58">
        <w:t xml:space="preserve"> przewidzianej dla innych państw członkowskich, by rozszerzyć ten system na walutę krajową.</w:t>
      </w:r>
    </w:p>
    <w:p w:rsidR="002D3902" w:rsidRPr="00CC6E58" w:rsidRDefault="002D3902" w:rsidP="00286500"/>
    <w:p w:rsidR="002D3902" w:rsidRPr="00CC6E58" w:rsidRDefault="002D3902" w:rsidP="00286500">
      <w:pPr>
        <w:pStyle w:val="Heading2"/>
      </w:pPr>
      <w:r w:rsidRPr="00CC6E58">
        <w:t>W ramach „Planu działania w sprawie detalicznych usług finansowych: szersza oferta i lepsze produkty” z marca 2017 r. Komisja zobowiązała się do przygotowania środków w celu zmniejszenia kosztów transakcji transgranicznych we wszys</w:t>
      </w:r>
      <w:r w:rsidR="00CC6E58">
        <w:t>tkich państwach członkowskich i </w:t>
      </w:r>
      <w:r w:rsidRPr="00CC6E58">
        <w:t>oceny praktyk w dziedzinie dynamicznego przeliczania walut</w:t>
      </w:r>
      <w:r w:rsidRPr="00CC6E58">
        <w:rPr>
          <w:rStyle w:val="FootnoteReference"/>
        </w:rPr>
        <w:footnoteReference w:id="5"/>
      </w:r>
      <w:r w:rsidRPr="00CC6E58">
        <w:t>.</w:t>
      </w:r>
    </w:p>
    <w:p w:rsidR="002D3902" w:rsidRPr="00CC6E58" w:rsidRDefault="002D3902" w:rsidP="00286500"/>
    <w:p w:rsidR="002D3902" w:rsidRPr="00CC6E58" w:rsidRDefault="002D3902" w:rsidP="00286500">
      <w:pPr>
        <w:pStyle w:val="Heading2"/>
      </w:pPr>
      <w:r w:rsidRPr="00CC6E58">
        <w:t>Omawiany wniosek</w:t>
      </w:r>
      <w:r w:rsidRPr="00CC6E58">
        <w:rPr>
          <w:rStyle w:val="FootnoteReference"/>
        </w:rPr>
        <w:footnoteReference w:id="6"/>
      </w:r>
      <w:r w:rsidRPr="00CC6E58">
        <w:t xml:space="preserve"> dotyczący zmiany rozporządzenia (WE) nr 924/2009 ma na celu rozszerzenie wspomnianego wyżej systemu wewnątrzunijnych transakcji w euro z korzyścią dla osób fizycznych i przedsiębiorstw w państwach członkowskich spoza strefy euro. W ten sposób można zmniejszyć koszty wewnątrzunijnych płatności transgranicznych, dostosowując je do opłat za transakcje krajowe w walucie krajowej państwa członkowskiego.</w:t>
      </w:r>
    </w:p>
    <w:p w:rsidR="002D3902" w:rsidRPr="00CC6E58" w:rsidRDefault="002D3902" w:rsidP="00286500"/>
    <w:p w:rsidR="002D3902" w:rsidRPr="00CC6E58" w:rsidRDefault="002D3902" w:rsidP="00CC6E58">
      <w:pPr>
        <w:pStyle w:val="Heading2"/>
        <w:keepNext/>
        <w:keepLines/>
      </w:pPr>
      <w:r w:rsidRPr="00CC6E58">
        <w:t>Jednocześnie</w:t>
      </w:r>
      <w:r w:rsidRPr="00CC6E58">
        <w:rPr>
          <w:rStyle w:val="FootnoteReference"/>
        </w:rPr>
        <w:footnoteReference w:id="7"/>
      </w:r>
      <w:r w:rsidRPr="00CC6E58">
        <w:t xml:space="preserve"> nakłada się dodatkowe obowiązki w zakresie przejrzystości w odniesieniu do wymiany walut. W rezultacie koszty transakcji transgranicznej będą w przyszłości jawne.</w:t>
      </w:r>
    </w:p>
    <w:p w:rsidR="002D3902" w:rsidRPr="00CC6E58" w:rsidRDefault="002D3902" w:rsidP="00286500"/>
    <w:p w:rsidR="002D3902" w:rsidRPr="00CC6E58" w:rsidRDefault="002D3902" w:rsidP="00286500">
      <w:pPr>
        <w:pStyle w:val="Heading2"/>
      </w:pPr>
      <w:r w:rsidRPr="00CC6E58">
        <w:lastRenderedPageBreak/>
        <w:t>EKES z zadowoleniem przyjmuje fakt, że w przypadku wymiany walut na uczestników rynku nałożono również szereg dodatkowych obowiązków w zakresie przejrzystości. Dzięki temu osoby zainteresowane będą znały pełny koszt transakcji transgranicznej przed przystąpieniem do operacji.</w:t>
      </w:r>
    </w:p>
    <w:p w:rsidR="002D3902" w:rsidRPr="00CC6E58" w:rsidRDefault="002D3902" w:rsidP="00286500"/>
    <w:p w:rsidR="00D95BD0" w:rsidRPr="00CC6E58" w:rsidRDefault="00D95BD0" w:rsidP="00286500">
      <w:pPr>
        <w:pStyle w:val="Heading1"/>
        <w:keepNext/>
        <w:rPr>
          <w:b/>
        </w:rPr>
      </w:pPr>
      <w:r w:rsidRPr="00CC6E58">
        <w:rPr>
          <w:b/>
        </w:rPr>
        <w:t>Komentarze i uwagi</w:t>
      </w:r>
    </w:p>
    <w:p w:rsidR="00D95BD0" w:rsidRPr="00CC6E58" w:rsidRDefault="00D95BD0" w:rsidP="00286500">
      <w:pPr>
        <w:keepNext/>
      </w:pPr>
    </w:p>
    <w:p w:rsidR="00D95BD0" w:rsidRPr="00CC6E58" w:rsidRDefault="00D95BD0" w:rsidP="00286500">
      <w:pPr>
        <w:pStyle w:val="Heading2"/>
      </w:pPr>
      <w:r w:rsidRPr="00CC6E58">
        <w:t>EKES z zadowoleniem przyjmuje propozycje rozszerzenia korzyści płynących z SEPA na obywateli i przedsiębiorstwa z państw członkowskich spoza strefy euro. W ten sposób zostaną zmniejszone koszty wewnątrzunijnych transgranicznych płatności w euro, zwłaszcza w tych ostatnich państwach członkowskich. Jednocześnie rozszerzony zostanie obowiązek przejrzystości w odniesieniu do opłat za wymianę walut.</w:t>
      </w:r>
    </w:p>
    <w:p w:rsidR="00D95BD0" w:rsidRPr="00CC6E58" w:rsidRDefault="00D95BD0" w:rsidP="00286500"/>
    <w:p w:rsidR="00D95BD0" w:rsidRPr="00CC6E58" w:rsidRDefault="00D95BD0" w:rsidP="00286500">
      <w:pPr>
        <w:pStyle w:val="Heading2"/>
      </w:pPr>
      <w:r w:rsidRPr="00CC6E58">
        <w:t xml:space="preserve">Wnioski te przyczynią </w:t>
      </w:r>
      <w:proofErr w:type="gramStart"/>
      <w:r w:rsidRPr="00CC6E58">
        <w:t>się zatem</w:t>
      </w:r>
      <w:proofErr w:type="gramEnd"/>
      <w:r w:rsidRPr="00CC6E58">
        <w:t xml:space="preserve"> do budowy jednolitego rynku detalicznych usług finansowych, jako że zlikwidowany zostanie obecny podział rynku wewnątrzunijnych płatności transgranicznych w euro. Użytkownicy w strefie euro </w:t>
      </w:r>
      <w:r w:rsidR="00CC6E58">
        <w:t>mogą w pełni korzystać z SEPA w </w:t>
      </w:r>
      <w:r w:rsidRPr="00CC6E58">
        <w:t>zakresie tego rodzaju płatności, podczas gdy obecnie tak się nie dzieje w przypadku użytkowników w państwach członkowskich, których walutą nie jest euro.</w:t>
      </w:r>
    </w:p>
    <w:p w:rsidR="00D95BD0" w:rsidRPr="00CC6E58" w:rsidRDefault="00D95BD0" w:rsidP="00286500"/>
    <w:p w:rsidR="00D95BD0" w:rsidRPr="00CC6E58" w:rsidRDefault="00D95BD0" w:rsidP="00286500">
      <w:pPr>
        <w:pStyle w:val="Heading2"/>
      </w:pPr>
      <w:r w:rsidRPr="00CC6E58">
        <w:t>Większość użytkowników w strefie euro może dokonywać płatności, o których tu mowa, uiszczając niskie lub wręcz pomijalne opłaty, w przeciwieństwie do użytkowników spoza strefy euro – z reguły ponoszą oni wysokie koszty w tym zakresie. Niezwykle istotne jest, by położyć kres tej sytuacji. Dostawcy usług płatniczych w tych państwach członkowskich będą musieli zrównać swoje opłaty za transakcje transgraniczne w euro ze zwykle niższymi opłatami za transakcje krajowe w walucie krajowej.</w:t>
      </w:r>
    </w:p>
    <w:p w:rsidR="00D95BD0" w:rsidRPr="00CC6E58" w:rsidRDefault="00D95BD0" w:rsidP="00286500"/>
    <w:p w:rsidR="00D95BD0" w:rsidRPr="00CC6E58" w:rsidRDefault="00D95BD0" w:rsidP="00286500">
      <w:pPr>
        <w:pStyle w:val="Heading2"/>
      </w:pPr>
      <w:r w:rsidRPr="00CC6E58">
        <w:t>To obniżenie opłat pozytywnie wpłynie na swobodny przepływ transgraniczny i wolny handel w UE, i to we wszystkich państwach członkowskich. W ten sposób konsumenci spoza strefy euro będą mieć łatwiejszy dostęp do rynków w strefie euro, czerpiąc z tego korzyści. Ten sam łatwiejszy dostęp dotyczyć będzie również przedsiębiorstw, w szczególności MŚP, które będą mogły poprawić swoją pozycję na rynkach i zwiększyć konkurencyjność, r</w:t>
      </w:r>
      <w:r w:rsidR="00CC6E58">
        <w:t>ównież czerpiąc z </w:t>
      </w:r>
      <w:r w:rsidRPr="00CC6E58">
        <w:t>tego korzyści.</w:t>
      </w:r>
    </w:p>
    <w:p w:rsidR="00D95BD0" w:rsidRPr="00CC6E58" w:rsidRDefault="00D95BD0" w:rsidP="00286500"/>
    <w:p w:rsidR="00D95BD0" w:rsidRPr="00CC6E58" w:rsidRDefault="00D95BD0" w:rsidP="00286500">
      <w:pPr>
        <w:pStyle w:val="Heading2"/>
      </w:pPr>
      <w:r w:rsidRPr="00CC6E58">
        <w:t>EKES popiera decyzję o skoncentrowaniu się w ramach proponowanego programu na transakcjach w euro. W istocie, w swojej opinii w sprawie planu działania w sprawie detalicznych usług finansowych EKES z zadowoleniem przyjął fakt, że „na obecnym etapie Komisja Europejska nie podejmuje działań regulacyjnych</w:t>
      </w:r>
      <w:r w:rsidR="00E33C50" w:rsidRPr="00CC6E58">
        <w:rPr>
          <w:rStyle w:val="FootnoteReference"/>
        </w:rPr>
        <w:footnoteReference w:id="8"/>
      </w:r>
      <w:r w:rsidRPr="00CC6E58">
        <w:t>”. Jednocześnie jest to wielki krok naprzód dla zainteresowanych państw członkowskich, które od pewnego czasu miały możliwość podjęcia tego kroku, ale tego nie zrobiły</w:t>
      </w:r>
      <w:r w:rsidR="00E33C50" w:rsidRPr="00CC6E58">
        <w:rPr>
          <w:rStyle w:val="FootnoteReference"/>
        </w:rPr>
        <w:footnoteReference w:id="9"/>
      </w:r>
      <w:r w:rsidRPr="00CC6E58">
        <w:t>.</w:t>
      </w:r>
    </w:p>
    <w:p w:rsidR="00D95BD0" w:rsidRPr="00CC6E58" w:rsidRDefault="00D95BD0" w:rsidP="00286500"/>
    <w:p w:rsidR="00D95BD0" w:rsidRPr="00CC6E58" w:rsidRDefault="00D95BD0" w:rsidP="00286500">
      <w:pPr>
        <w:pStyle w:val="Heading2"/>
      </w:pPr>
      <w:r w:rsidRPr="00CC6E58">
        <w:lastRenderedPageBreak/>
        <w:t>Nie umniejszając szeregu innych powodów</w:t>
      </w:r>
      <w:r w:rsidR="00E33C50" w:rsidRPr="00CC6E58">
        <w:rPr>
          <w:rStyle w:val="FootnoteReference"/>
        </w:rPr>
        <w:footnoteReference w:id="10"/>
      </w:r>
      <w:r w:rsidRPr="00CC6E58">
        <w:t xml:space="preserve"> wybór ten stanowi również kompromis między wyraźniejszymi żądaniami ze strony zarówno dostawców usług płatniczych</w:t>
      </w:r>
      <w:r w:rsidR="00E33C50" w:rsidRPr="00CC6E58">
        <w:rPr>
          <w:rStyle w:val="FootnoteReference"/>
        </w:rPr>
        <w:footnoteReference w:id="11"/>
      </w:r>
      <w:r w:rsidR="00CC6E58">
        <w:t>, jak i </w:t>
      </w:r>
      <w:r w:rsidRPr="00CC6E58">
        <w:t>użytkowników tych usług</w:t>
      </w:r>
      <w:r w:rsidR="00E33C50" w:rsidRPr="00CC6E58">
        <w:rPr>
          <w:rStyle w:val="FootnoteReference"/>
        </w:rPr>
        <w:footnoteReference w:id="12"/>
      </w:r>
      <w:r w:rsidRPr="00CC6E58">
        <w:t xml:space="preserve">. Co więcej, proponowane rozwiązanie lepiej pasuje do idei rozwiązania „na </w:t>
      </w:r>
      <w:proofErr w:type="gramStart"/>
      <w:r w:rsidRPr="00CC6E58">
        <w:t>miarę”. Umożliwia bowiem</w:t>
      </w:r>
      <w:proofErr w:type="gramEnd"/>
      <w:r w:rsidRPr="00CC6E58">
        <w:t xml:space="preserve"> uwzględnienie specyfiki i sytuacji zainteresowanych państw członkowskich, m.in. na poziomie systemów płatności i dostawców usług płatniczych.</w:t>
      </w:r>
    </w:p>
    <w:p w:rsidR="00D95BD0" w:rsidRPr="00CC6E58" w:rsidRDefault="00D95BD0" w:rsidP="00286500"/>
    <w:p w:rsidR="003C494D" w:rsidRPr="00CC6E58" w:rsidRDefault="00D95BD0" w:rsidP="00286500">
      <w:pPr>
        <w:pStyle w:val="Heading2"/>
      </w:pPr>
      <w:r w:rsidRPr="00CC6E58">
        <w:t xml:space="preserve">Aby umożliwić konsumentom dokonanie właściwego wyboru w zakresie wymiany walut za granicą, co obecnie wydaje się trudne z uwagi na brak odpowiednich informacji we właściwym czasie, na uczestników rynku nakłada się również szereg dodatkowych obowiązków w zakresie przejrzystości. Dzięki temu pełne koszty transakcji transgranicznej będą publikowane i znane osobom zainteresowanym przed przystąpieniem do operacji. </w:t>
      </w:r>
    </w:p>
    <w:p w:rsidR="003C494D" w:rsidRPr="00CC6E58" w:rsidRDefault="003C494D" w:rsidP="00286500"/>
    <w:p w:rsidR="00D95BD0" w:rsidRPr="00CC6E58" w:rsidRDefault="00D95BD0" w:rsidP="00286500">
      <w:pPr>
        <w:pStyle w:val="Heading2"/>
      </w:pPr>
      <w:r w:rsidRPr="00CC6E58">
        <w:t>EKES uważa, że obowiązek przejrzystości z korzyścią dla użytkowników i konsumentów jest bardzo ważny, podobnie jak bezpieczeństwo transakcji. Równie ważne jest ustalenie górnej granicy kosztów tego rodzaju usług, w oczekiwaniu na opracowanie konkretnych środków wykonawczych</w:t>
      </w:r>
      <w:r w:rsidR="00E33C50" w:rsidRPr="00CC6E58">
        <w:rPr>
          <w:rStyle w:val="FootnoteReference"/>
        </w:rPr>
        <w:footnoteReference w:id="13"/>
      </w:r>
      <w:r w:rsidRPr="00CC6E58">
        <w:t>. Dla dostawców usług płatniczych jest to bardzo skomplikowane i trudne zagadnienie, a w związku z tym należy zwrócić pewną uwagę na związany z tym aspekt kosztowy.</w:t>
      </w:r>
    </w:p>
    <w:p w:rsidR="00D95BD0" w:rsidRPr="00CC6E58" w:rsidRDefault="00D95BD0" w:rsidP="00286500"/>
    <w:p w:rsidR="00D95BD0" w:rsidRPr="00CC6E58" w:rsidRDefault="00D95BD0" w:rsidP="00286500">
      <w:pPr>
        <w:pStyle w:val="Heading2"/>
      </w:pPr>
      <w:r w:rsidRPr="00CC6E58">
        <w:t>Znaczące są koszty i zmniejszone dochody, jakie wnioski te spowodują u dostawców usług płatniczych</w:t>
      </w:r>
      <w:r w:rsidR="00E33C50" w:rsidRPr="00CC6E58">
        <w:rPr>
          <w:rStyle w:val="FootnoteReference"/>
        </w:rPr>
        <w:footnoteReference w:id="14"/>
      </w:r>
      <w:r w:rsidRPr="00CC6E58">
        <w:t>. Nawet o ile obecna sytuacja nie jest może w pełni satysfakcjonująca, a straty można będzie w pewnym stopniu złagodzić w dłuższej perspektywie, nadal należy zwrócić odpowiednią uwagę na ten aspekt kosztów.</w:t>
      </w:r>
    </w:p>
    <w:p w:rsidR="00D95BD0" w:rsidRPr="00CC6E58" w:rsidRDefault="00D95BD0" w:rsidP="00286500"/>
    <w:p w:rsidR="003C494D" w:rsidRPr="00CC6E58" w:rsidRDefault="00D95BD0" w:rsidP="00286500">
      <w:pPr>
        <w:pStyle w:val="Heading2"/>
      </w:pPr>
      <w:r w:rsidRPr="00CC6E58">
        <w:t xml:space="preserve"> Jak ostatnio podkreślił EKES</w:t>
      </w:r>
      <w:r w:rsidR="00E33C50" w:rsidRPr="00CC6E58">
        <w:rPr>
          <w:rStyle w:val="FootnoteReference"/>
        </w:rPr>
        <w:footnoteReference w:id="15"/>
      </w:r>
      <w:r w:rsidRPr="00CC6E58">
        <w:t xml:space="preserve"> w kontekście apelu o różnorodność w środowisku bankowym, należy koniecznie zwrócić uwagę na aspekt </w:t>
      </w:r>
      <w:proofErr w:type="gramStart"/>
      <w:r w:rsidRPr="00CC6E58">
        <w:t>kosztów jako</w:t>
      </w:r>
      <w:proofErr w:type="gramEnd"/>
      <w:r w:rsidRPr="00CC6E58">
        <w:t xml:space="preserve"> gwarancję stabilności i skuteczności systemu</w:t>
      </w:r>
      <w:r w:rsidR="00E33C50" w:rsidRPr="00CC6E58">
        <w:rPr>
          <w:rStyle w:val="FootnoteReference"/>
        </w:rPr>
        <w:footnoteReference w:id="16"/>
      </w:r>
      <w:r w:rsidRPr="00CC6E58">
        <w:t>. Należy też wziąć pod uwagę, że obecnie banki muszą stawiać czoła wielu ważnym wyzwaniom, m.in. związanym z ramami regulacyjnymi i nadzorczymi, szeregiem zmian przyszłościowych</w:t>
      </w:r>
      <w:r w:rsidR="00E33C50" w:rsidRPr="00CC6E58">
        <w:rPr>
          <w:rStyle w:val="FootnoteReference"/>
        </w:rPr>
        <w:footnoteReference w:id="17"/>
      </w:r>
      <w:r w:rsidRPr="00CC6E58">
        <w:t>, długotrwale niskimi stopami oprocentowania i wieloma innymi sytuacjami</w:t>
      </w:r>
      <w:r w:rsidR="00E33C50" w:rsidRPr="00CC6E58">
        <w:rPr>
          <w:rStyle w:val="FootnoteReference"/>
        </w:rPr>
        <w:footnoteReference w:id="18"/>
      </w:r>
      <w:r w:rsidRPr="00CC6E58">
        <w:t>.</w:t>
      </w:r>
    </w:p>
    <w:p w:rsidR="003C494D" w:rsidRPr="00CC6E58" w:rsidRDefault="003C494D" w:rsidP="00286500">
      <w:pPr>
        <w:pStyle w:val="Heading2"/>
      </w:pPr>
      <w:r w:rsidRPr="00CC6E58">
        <w:lastRenderedPageBreak/>
        <w:t xml:space="preserve">Wreszcie Komitet wskazuje również, </w:t>
      </w:r>
      <w:proofErr w:type="gramStart"/>
      <w:r w:rsidRPr="00CC6E58">
        <w:t>że mimo iż</w:t>
      </w:r>
      <w:proofErr w:type="gramEnd"/>
      <w:r w:rsidRPr="00CC6E58">
        <w:t xml:space="preserve"> dotyczy to bardzo technicznej kwestii, pojawia się tu ogromna szansa na dobrą i jasną komunikację z wszystkimi obywatelami Unii. W istocie można by wykorzystać wprowadzane w tym zakresie zmiany do wyjaśnienia, w jaki sposób UE wprowadza zmiany pozytywne dla przedsiębiorców, obywateli i konsumentów oraz rozwiązuje problemy dnia powszedniego, na przykład pojawiające się podczas podróży.</w:t>
      </w:r>
    </w:p>
    <w:p w:rsidR="00D95BD0" w:rsidRPr="00CC6E58" w:rsidRDefault="00D95BD0" w:rsidP="00286500"/>
    <w:p w:rsidR="00646AC2" w:rsidRPr="00CC6E58" w:rsidRDefault="00646AC2" w:rsidP="00286500">
      <w:pPr>
        <w:jc w:val="center"/>
      </w:pPr>
      <w:r w:rsidRPr="00CC6E58">
        <w:t>____________</w:t>
      </w:r>
    </w:p>
    <w:sectPr w:rsidR="00646AC2" w:rsidRPr="00CC6E58" w:rsidSect="002865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E6" w:rsidRDefault="00B949E6">
      <w:r>
        <w:separator/>
      </w:r>
    </w:p>
  </w:endnote>
  <w:endnote w:type="continuationSeparator" w:id="0">
    <w:p w:rsidR="00B949E6" w:rsidRDefault="00B9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3C" w:rsidRPr="00286500" w:rsidRDefault="00B75887" w:rsidP="00B75887">
    <w:pPr>
      <w:pStyle w:val="Footer"/>
    </w:pPr>
    <w:r w:rsidRPr="00286500">
      <w:t xml:space="preserve">INT/847 – EESC-2018-01993-00-00-PA-TRA (NL) </w:t>
    </w:r>
    <w:r w:rsidRPr="00286500">
      <w:fldChar w:fldCharType="begin"/>
    </w:r>
    <w:r w:rsidRPr="00286500">
      <w:instrText xml:space="preserve"> PAGE  \* Arabic  \* MERGEFORMAT </w:instrText>
    </w:r>
    <w:r w:rsidRPr="00286500">
      <w:fldChar w:fldCharType="separate"/>
    </w:r>
    <w:r w:rsidR="003F4842">
      <w:rPr>
        <w:noProof/>
      </w:rPr>
      <w:t>1</w:t>
    </w:r>
    <w:r w:rsidRPr="00286500">
      <w:fldChar w:fldCharType="end"/>
    </w:r>
    <w:r w:rsidRPr="00286500">
      <w:t>/</w:t>
    </w:r>
    <w:r w:rsidRPr="00286500">
      <w:fldChar w:fldCharType="begin"/>
    </w:r>
    <w:r w:rsidRPr="00286500">
      <w:instrText xml:space="preserve"> = </w:instrText>
    </w:r>
    <w:fldSimple w:instr=" NUMPAGES ">
      <w:r w:rsidR="003F4842">
        <w:rPr>
          <w:noProof/>
        </w:rPr>
        <w:instrText>7</w:instrText>
      </w:r>
    </w:fldSimple>
    <w:r w:rsidRPr="00286500">
      <w:instrText xml:space="preserve"> </w:instrText>
    </w:r>
    <w:r w:rsidRPr="00286500">
      <w:fldChar w:fldCharType="separate"/>
    </w:r>
    <w:r w:rsidR="003F4842">
      <w:rPr>
        <w:noProof/>
      </w:rPr>
      <w:t>7</w:t>
    </w:r>
    <w:r w:rsidRPr="002865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AA" w:rsidRPr="00B75887" w:rsidRDefault="00B43AAA" w:rsidP="00B75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C2" w:rsidRPr="00286500" w:rsidRDefault="00B75887" w:rsidP="00B75887">
    <w:pPr>
      <w:pStyle w:val="Footer"/>
    </w:pPr>
    <w:r w:rsidRPr="00286500">
      <w:t xml:space="preserve">INT/847 – EESC-2018-01993-00-00-PA-TRA (NL) </w:t>
    </w:r>
    <w:r w:rsidRPr="00286500">
      <w:fldChar w:fldCharType="begin"/>
    </w:r>
    <w:r w:rsidRPr="00286500">
      <w:instrText xml:space="preserve"> PAGE  \* Arabic  \* MERGEFORMAT </w:instrText>
    </w:r>
    <w:r w:rsidRPr="00286500">
      <w:fldChar w:fldCharType="separate"/>
    </w:r>
    <w:r w:rsidR="003F4842">
      <w:rPr>
        <w:noProof/>
      </w:rPr>
      <w:t>7</w:t>
    </w:r>
    <w:r w:rsidRPr="00286500">
      <w:fldChar w:fldCharType="end"/>
    </w:r>
    <w:r w:rsidRPr="00286500">
      <w:t>/</w:t>
    </w:r>
    <w:r w:rsidRPr="00286500">
      <w:fldChar w:fldCharType="begin"/>
    </w:r>
    <w:r w:rsidRPr="00286500">
      <w:instrText xml:space="preserve"> = </w:instrText>
    </w:r>
    <w:fldSimple w:instr=" NUMPAGES ">
      <w:r w:rsidR="003F4842">
        <w:rPr>
          <w:noProof/>
        </w:rPr>
        <w:instrText>7</w:instrText>
      </w:r>
    </w:fldSimple>
    <w:r w:rsidRPr="00286500">
      <w:instrText xml:space="preserve"> </w:instrText>
    </w:r>
    <w:r w:rsidRPr="00286500">
      <w:fldChar w:fldCharType="separate"/>
    </w:r>
    <w:r w:rsidR="003F4842">
      <w:rPr>
        <w:noProof/>
      </w:rPr>
      <w:t>7</w:t>
    </w:r>
    <w:r w:rsidRPr="00286500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AA" w:rsidRPr="00B75887" w:rsidRDefault="00B43AAA" w:rsidP="00B75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E6" w:rsidRDefault="00B949E6">
      <w:r>
        <w:separator/>
      </w:r>
    </w:p>
  </w:footnote>
  <w:footnote w:type="continuationSeparator" w:id="0">
    <w:p w:rsidR="00B949E6" w:rsidRDefault="00B949E6">
      <w:r>
        <w:continuationSeparator/>
      </w:r>
    </w:p>
  </w:footnote>
  <w:footnote w:id="1">
    <w:p w:rsidR="002D3902" w:rsidRPr="00CC6E58" w:rsidRDefault="002D3902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 xml:space="preserve">Więcej informacji o SEPA: zob. strona internetowa Europejskiej Rady ds. Płatności; zob. </w:t>
      </w:r>
      <w:hyperlink r:id="rId1" w:history="1">
        <w:r w:rsidRPr="00CC6E58">
          <w:rPr>
            <w:rStyle w:val="Hyperlink"/>
            <w:color w:val="auto"/>
          </w:rPr>
          <w:t>https://www.europeanpaymentscouncil.eu/</w:t>
        </w:r>
      </w:hyperlink>
      <w:r w:rsidRPr="00CC6E58">
        <w:t>.</w:t>
      </w:r>
    </w:p>
  </w:footnote>
  <w:footnote w:id="2">
    <w:p w:rsidR="002D3902" w:rsidRPr="00CC6E58" w:rsidRDefault="002D3902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>Zakres geograficzny SEPA obejmuje obecnie ponad 34 kraje i terytoria: 28 państw członkowskich UE oraz Islandię, Norwegię, Liechtenstein, Szwajcarię, Monako i San Marino. Zob. strona internetowa w przypisie 1.</w:t>
      </w:r>
    </w:p>
  </w:footnote>
  <w:footnote w:id="3">
    <w:p w:rsidR="002D3902" w:rsidRPr="00CC6E58" w:rsidRDefault="002D3902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>I w konsekwencji dla płatności w euro.</w:t>
      </w:r>
    </w:p>
  </w:footnote>
  <w:footnote w:id="4">
    <w:p w:rsidR="002D3902" w:rsidRPr="00CC6E58" w:rsidRDefault="002D3902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>Możliwość przewidziana dla wszystkich państw członkowskich w rozporządzeniu (WE) nr 2560/2001 i zastępującym je rozporządzeniu (WE) nr 924/2009 w sprawie płatności transgranicznych.</w:t>
      </w:r>
    </w:p>
  </w:footnote>
  <w:footnote w:id="5">
    <w:p w:rsidR="002D3902" w:rsidRPr="00CC6E58" w:rsidRDefault="002D3902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 xml:space="preserve">Zob. COM(2017) 139 </w:t>
      </w:r>
      <w:proofErr w:type="spellStart"/>
      <w:r w:rsidRPr="00CC6E58">
        <w:t>final</w:t>
      </w:r>
      <w:proofErr w:type="spellEnd"/>
      <w:r w:rsidRPr="00CC6E58">
        <w:t xml:space="preserve">; </w:t>
      </w:r>
      <w:hyperlink r:id="rId2" w:history="1">
        <w:r w:rsidRPr="00CC6E58">
          <w:rPr>
            <w:rStyle w:val="Hyperlink"/>
            <w:color w:val="auto"/>
          </w:rPr>
          <w:t>http://eur-lex.europa.eu/legal-content/PL/TXT/?uri=CELEX:52017DC0139</w:t>
        </w:r>
      </w:hyperlink>
      <w:r w:rsidRPr="00CC6E58">
        <w:t>. Zob. w szczególności proponowane działania 1 i 2.</w:t>
      </w:r>
    </w:p>
  </w:footnote>
  <w:footnote w:id="6">
    <w:p w:rsidR="002D3902" w:rsidRPr="00CC6E58" w:rsidRDefault="002D3902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 xml:space="preserve">Wniosek dotyczący rozporządzenia Parlamentu Europejskiego i Rady zmieniającego rozporządzenie (WE) nr 924/2009 w odniesieniu do niektórych opłat za płatności transgraniczne w Unii i opłat za przeliczenie waluty, zob. </w:t>
      </w:r>
      <w:hyperlink r:id="rId3" w:history="1">
        <w:r w:rsidRPr="00CC6E58">
          <w:rPr>
            <w:rStyle w:val="Hyperlink"/>
            <w:color w:val="auto"/>
          </w:rPr>
          <w:t>https://eur-lex.europa.eu/legal-content/PL/TXT/?qid=1524213305690&amp;uri=CELEX:52018PC0163</w:t>
        </w:r>
      </w:hyperlink>
      <w:r w:rsidRPr="00CC6E58">
        <w:t>.</w:t>
      </w:r>
    </w:p>
  </w:footnote>
  <w:footnote w:id="7">
    <w:p w:rsidR="002D3902" w:rsidRPr="00CC6E58" w:rsidRDefault="002D3902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>W tym samym wniosku dotyczącym rozporządzenia.</w:t>
      </w:r>
    </w:p>
  </w:footnote>
  <w:footnote w:id="8">
    <w:p w:rsidR="00E33C50" w:rsidRPr="00CC6E58" w:rsidRDefault="00E33C50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 xml:space="preserve">Opinia EKES-u INT/822 „Detaliczne usługi finansowe”, Dz.U. C 434 z 15.12.2017, </w:t>
      </w:r>
      <w:proofErr w:type="gramStart"/>
      <w:r w:rsidRPr="00CC6E58">
        <w:t>s</w:t>
      </w:r>
      <w:proofErr w:type="gramEnd"/>
      <w:r w:rsidRPr="00CC6E58">
        <w:t>. 51; pkt 1.1.</w:t>
      </w:r>
    </w:p>
  </w:footnote>
  <w:footnote w:id="9">
    <w:p w:rsidR="00E33C50" w:rsidRPr="00CC6E58" w:rsidRDefault="00E33C50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>Zob. opcja opisana w pkt 2.4.</w:t>
      </w:r>
    </w:p>
  </w:footnote>
  <w:footnote w:id="10">
    <w:p w:rsidR="00E33C50" w:rsidRPr="00CC6E58" w:rsidRDefault="00E33C50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 xml:space="preserve">Niektóre z nich zostały zebrane w komunikacie prasowym „Często zadawane pytania: płatności transgraniczne” dotyczącym aktualnych wniosków. Zob. </w:t>
      </w:r>
      <w:hyperlink r:id="rId4" w:history="1">
        <w:r w:rsidRPr="00CC6E58">
          <w:rPr>
            <w:rStyle w:val="Hyperlink"/>
            <w:color w:val="auto"/>
          </w:rPr>
          <w:t>http://europa.eu/rapid/press-release_MEMO-18-2424_en.htm</w:t>
        </w:r>
      </w:hyperlink>
      <w:r w:rsidRPr="00CC6E58">
        <w:t>.</w:t>
      </w:r>
    </w:p>
  </w:footnote>
  <w:footnote w:id="11">
    <w:p w:rsidR="00E33C50" w:rsidRPr="00CC6E58" w:rsidRDefault="00E33C50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 xml:space="preserve">Którzy wcześniej popierali status </w:t>
      </w:r>
      <w:proofErr w:type="gramStart"/>
      <w:r w:rsidRPr="00CC6E58">
        <w:t>quo.</w:t>
      </w:r>
      <w:proofErr w:type="gramEnd"/>
    </w:p>
  </w:footnote>
  <w:footnote w:id="12">
    <w:p w:rsidR="00E33C50" w:rsidRPr="00CC6E58" w:rsidRDefault="00E33C50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 xml:space="preserve">Którzy wcześniej byli za regulacją jeszcze większej liczby </w:t>
      </w:r>
      <w:proofErr w:type="gramStart"/>
      <w:r w:rsidRPr="00CC6E58">
        <w:t>transakcji.</w:t>
      </w:r>
      <w:proofErr w:type="gramEnd"/>
    </w:p>
  </w:footnote>
  <w:footnote w:id="13">
    <w:p w:rsidR="00E33C50" w:rsidRPr="00CC6E58" w:rsidRDefault="00E33C50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>Ze względu na szybko zmieniające się otoczenie i techniczny charakter tego zagadnienia przewidz</w:t>
      </w:r>
      <w:r w:rsidR="00CC6E58">
        <w:t>iano nieprzekraczalny termin 36 </w:t>
      </w:r>
      <w:r w:rsidRPr="00CC6E58">
        <w:t>miesięcy od wejścia w życie rozporządzenia.</w:t>
      </w:r>
    </w:p>
  </w:footnote>
  <w:footnote w:id="14">
    <w:p w:rsidR="00E33C50" w:rsidRPr="00CC6E58" w:rsidRDefault="00E33C50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>W uzasadnieniu dotyczącym wniosku wskazano kwotę 900 mln EUR rocznie w odniesieniu do transakcji transgranicznych w euro.</w:t>
      </w:r>
    </w:p>
  </w:footnote>
  <w:footnote w:id="15">
    <w:p w:rsidR="00E33C50" w:rsidRPr="00CC6E58" w:rsidRDefault="00E33C50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 xml:space="preserve">Zob. Dz.U. C 434 z 15.12.2017, </w:t>
      </w:r>
      <w:proofErr w:type="gramStart"/>
      <w:r w:rsidRPr="00CC6E58">
        <w:t>s</w:t>
      </w:r>
      <w:proofErr w:type="gramEnd"/>
      <w:r w:rsidRPr="00CC6E58">
        <w:t>. 51; opinia INT/822, pkt 3.6.</w:t>
      </w:r>
    </w:p>
  </w:footnote>
  <w:footnote w:id="16">
    <w:p w:rsidR="00E33C50" w:rsidRPr="00CC6E58" w:rsidRDefault="00E33C50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>Zob. m.in. opinie ECO/371 „Znaczenie banków spółdzielczych i kas oszczędnościowych dla spójnośc</w:t>
      </w:r>
      <w:r w:rsidR="00CC6E58">
        <w:t>i terytorialnej”, Dz.U. C 251 z </w:t>
      </w:r>
      <w:r w:rsidRPr="00CC6E58">
        <w:t xml:space="preserve">31.7.2015, </w:t>
      </w:r>
      <w:proofErr w:type="gramStart"/>
      <w:r w:rsidRPr="00CC6E58">
        <w:t>s</w:t>
      </w:r>
      <w:proofErr w:type="gramEnd"/>
      <w:r w:rsidRPr="00CC6E58">
        <w:t xml:space="preserve">. 7, pkt 1.1. i INT/717 „Reforma strukturalna banków w UE”, Dz.U. C 451 z 16.12.2014, </w:t>
      </w:r>
      <w:proofErr w:type="gramStart"/>
      <w:r w:rsidRPr="00CC6E58">
        <w:t>s</w:t>
      </w:r>
      <w:proofErr w:type="gramEnd"/>
      <w:r w:rsidRPr="00CC6E58">
        <w:t>. 45, pkt 1.11.</w:t>
      </w:r>
    </w:p>
  </w:footnote>
  <w:footnote w:id="17">
    <w:p w:rsidR="00E33C50" w:rsidRPr="00CC6E58" w:rsidRDefault="00E33C50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 xml:space="preserve">Na przykład w zakresie technologii </w:t>
      </w:r>
      <w:proofErr w:type="spellStart"/>
      <w:r w:rsidRPr="00CC6E58">
        <w:t>FinTech</w:t>
      </w:r>
      <w:proofErr w:type="spellEnd"/>
      <w:r w:rsidRPr="00CC6E58">
        <w:t xml:space="preserve"> i </w:t>
      </w:r>
      <w:proofErr w:type="spellStart"/>
      <w:r w:rsidRPr="00CC6E58">
        <w:t>blockchain</w:t>
      </w:r>
      <w:proofErr w:type="spellEnd"/>
      <w:r w:rsidRPr="00CC6E58">
        <w:t>, a także finansowania zrównoważonych gospodarek. W odniesieniu do „Planu działania: finansowanie zrównoważonego wzrostu gospodarczego” zob. (</w:t>
      </w:r>
      <w:hyperlink r:id="rId5" w:history="1">
        <w:r w:rsidRPr="00CC6E58">
          <w:rPr>
            <w:rStyle w:val="Hyperlink"/>
            <w:color w:val="auto"/>
          </w:rPr>
          <w:t>https://ec.europa.eu/info/publications/180308-action-plan-sustainable-growth_en</w:t>
        </w:r>
      </w:hyperlink>
      <w:r w:rsidRPr="00CC6E58">
        <w:t>) COM</w:t>
      </w:r>
      <w:proofErr w:type="gramStart"/>
      <w:r w:rsidRPr="00CC6E58">
        <w:t xml:space="preserve">(2018)97 </w:t>
      </w:r>
      <w:proofErr w:type="spellStart"/>
      <w:r w:rsidRPr="00CC6E58">
        <w:t>final</w:t>
      </w:r>
      <w:proofErr w:type="spellEnd"/>
      <w:proofErr w:type="gramEnd"/>
      <w:r w:rsidRPr="00CC6E58">
        <w:t>.</w:t>
      </w:r>
    </w:p>
  </w:footnote>
  <w:footnote w:id="18">
    <w:p w:rsidR="00E33C50" w:rsidRPr="00CC6E58" w:rsidRDefault="00E33C50" w:rsidP="00286500">
      <w:pPr>
        <w:pStyle w:val="FootnoteText"/>
      </w:pPr>
      <w:r w:rsidRPr="00CC6E58">
        <w:rPr>
          <w:rStyle w:val="FootnoteReference"/>
        </w:rPr>
        <w:footnoteRef/>
      </w:r>
      <w:r w:rsidRPr="00CC6E58">
        <w:rPr>
          <w:rStyle w:val="FootnoteReference"/>
        </w:rPr>
        <w:t xml:space="preserve"> </w:t>
      </w:r>
      <w:r w:rsidR="00286500" w:rsidRPr="00CC6E58">
        <w:tab/>
      </w:r>
      <w:r w:rsidRPr="00CC6E58">
        <w:t>M.in. podejście UE do kredytów zagrożonych (</w:t>
      </w:r>
      <w:hyperlink r:id="rId6" w:history="1">
        <w:r w:rsidRPr="00CC6E58">
          <w:rPr>
            <w:rStyle w:val="Hyperlink"/>
            <w:color w:val="auto"/>
          </w:rPr>
          <w:t>https://ec.europa.eu/info/business-economy-euro/banking-and-finance/financial-supervision-and-risk-management/managing-risks-banks-and-financial-institutions/non-performing-loans-npls_en</w:t>
        </w:r>
      </w:hyperlink>
      <w:r w:rsidRPr="00CC6E5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AA" w:rsidRPr="00B75887" w:rsidRDefault="00B43AAA" w:rsidP="00B75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C2" w:rsidRPr="00286500" w:rsidRDefault="00646AC2" w:rsidP="00B75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AA" w:rsidRPr="00B75887" w:rsidRDefault="00B43AAA" w:rsidP="00B75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376A3B2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288242A6"/>
    <w:multiLevelType w:val="multilevel"/>
    <w:tmpl w:val="B2D4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0851191"/>
    <w:multiLevelType w:val="multilevel"/>
    <w:tmpl w:val="AB70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5">
    <w:abstractNumId w:val="1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F"/>
    <w:rsid w:val="00005AB9"/>
    <w:rsid w:val="00005EB9"/>
    <w:rsid w:val="00006E24"/>
    <w:rsid w:val="00007A40"/>
    <w:rsid w:val="00017B45"/>
    <w:rsid w:val="00017E74"/>
    <w:rsid w:val="00020E6E"/>
    <w:rsid w:val="00031A4B"/>
    <w:rsid w:val="00033913"/>
    <w:rsid w:val="00033DB4"/>
    <w:rsid w:val="00033E5B"/>
    <w:rsid w:val="000357A8"/>
    <w:rsid w:val="000430A6"/>
    <w:rsid w:val="00044923"/>
    <w:rsid w:val="0005249C"/>
    <w:rsid w:val="000534A5"/>
    <w:rsid w:val="0005680D"/>
    <w:rsid w:val="00063FB4"/>
    <w:rsid w:val="0006793E"/>
    <w:rsid w:val="00072E0F"/>
    <w:rsid w:val="000735E5"/>
    <w:rsid w:val="0007392F"/>
    <w:rsid w:val="00083850"/>
    <w:rsid w:val="00087B39"/>
    <w:rsid w:val="00093DE0"/>
    <w:rsid w:val="00096502"/>
    <w:rsid w:val="000A49BB"/>
    <w:rsid w:val="000C3441"/>
    <w:rsid w:val="000C7F53"/>
    <w:rsid w:val="000D2F8E"/>
    <w:rsid w:val="000F196B"/>
    <w:rsid w:val="00105361"/>
    <w:rsid w:val="001101F8"/>
    <w:rsid w:val="0011206F"/>
    <w:rsid w:val="0011656A"/>
    <w:rsid w:val="0012220C"/>
    <w:rsid w:val="00136EA3"/>
    <w:rsid w:val="00137575"/>
    <w:rsid w:val="00144231"/>
    <w:rsid w:val="00150434"/>
    <w:rsid w:val="00155721"/>
    <w:rsid w:val="0016503F"/>
    <w:rsid w:val="00165BD3"/>
    <w:rsid w:val="00166351"/>
    <w:rsid w:val="0016674F"/>
    <w:rsid w:val="00167CA0"/>
    <w:rsid w:val="0017120D"/>
    <w:rsid w:val="001714F6"/>
    <w:rsid w:val="00176168"/>
    <w:rsid w:val="00177158"/>
    <w:rsid w:val="00184FD4"/>
    <w:rsid w:val="00186B04"/>
    <w:rsid w:val="00186F1E"/>
    <w:rsid w:val="00190836"/>
    <w:rsid w:val="00193930"/>
    <w:rsid w:val="00194B36"/>
    <w:rsid w:val="001963A5"/>
    <w:rsid w:val="00196F1E"/>
    <w:rsid w:val="00197FCA"/>
    <w:rsid w:val="001A27DB"/>
    <w:rsid w:val="001A6852"/>
    <w:rsid w:val="001B286A"/>
    <w:rsid w:val="001B2D02"/>
    <w:rsid w:val="001B3647"/>
    <w:rsid w:val="001B77FA"/>
    <w:rsid w:val="001C0ABE"/>
    <w:rsid w:val="001C5852"/>
    <w:rsid w:val="001D45F0"/>
    <w:rsid w:val="001E1335"/>
    <w:rsid w:val="001E4A33"/>
    <w:rsid w:val="001E5C27"/>
    <w:rsid w:val="001F602B"/>
    <w:rsid w:val="001F6AC8"/>
    <w:rsid w:val="002037D5"/>
    <w:rsid w:val="00206F90"/>
    <w:rsid w:val="00212B03"/>
    <w:rsid w:val="00215C10"/>
    <w:rsid w:val="00215C2D"/>
    <w:rsid w:val="002252C4"/>
    <w:rsid w:val="0023140A"/>
    <w:rsid w:val="0023183E"/>
    <w:rsid w:val="00235138"/>
    <w:rsid w:val="00242D66"/>
    <w:rsid w:val="00243E36"/>
    <w:rsid w:val="0024540B"/>
    <w:rsid w:val="00245EF4"/>
    <w:rsid w:val="00250E11"/>
    <w:rsid w:val="00251383"/>
    <w:rsid w:val="002522C9"/>
    <w:rsid w:val="00252A21"/>
    <w:rsid w:val="00253E4F"/>
    <w:rsid w:val="002542E4"/>
    <w:rsid w:val="00261053"/>
    <w:rsid w:val="00262FDE"/>
    <w:rsid w:val="00263629"/>
    <w:rsid w:val="00266675"/>
    <w:rsid w:val="002769BD"/>
    <w:rsid w:val="002809EA"/>
    <w:rsid w:val="002842D6"/>
    <w:rsid w:val="00284962"/>
    <w:rsid w:val="00286500"/>
    <w:rsid w:val="00287B0E"/>
    <w:rsid w:val="00290651"/>
    <w:rsid w:val="002917C1"/>
    <w:rsid w:val="0029549C"/>
    <w:rsid w:val="002A0B53"/>
    <w:rsid w:val="002A0EEF"/>
    <w:rsid w:val="002A5709"/>
    <w:rsid w:val="002B2DF7"/>
    <w:rsid w:val="002B6DD7"/>
    <w:rsid w:val="002C3BF4"/>
    <w:rsid w:val="002C749F"/>
    <w:rsid w:val="002D3902"/>
    <w:rsid w:val="002F059B"/>
    <w:rsid w:val="002F5B0B"/>
    <w:rsid w:val="00300924"/>
    <w:rsid w:val="0030596E"/>
    <w:rsid w:val="003073C3"/>
    <w:rsid w:val="00316A34"/>
    <w:rsid w:val="00323637"/>
    <w:rsid w:val="00324E8A"/>
    <w:rsid w:val="00331D87"/>
    <w:rsid w:val="00332850"/>
    <w:rsid w:val="00334478"/>
    <w:rsid w:val="003346B4"/>
    <w:rsid w:val="00334AE6"/>
    <w:rsid w:val="003365D0"/>
    <w:rsid w:val="003439AB"/>
    <w:rsid w:val="00351924"/>
    <w:rsid w:val="00354695"/>
    <w:rsid w:val="0035549B"/>
    <w:rsid w:val="003755C8"/>
    <w:rsid w:val="00375687"/>
    <w:rsid w:val="00380AE0"/>
    <w:rsid w:val="00383324"/>
    <w:rsid w:val="00387A75"/>
    <w:rsid w:val="003904FD"/>
    <w:rsid w:val="00394254"/>
    <w:rsid w:val="00396657"/>
    <w:rsid w:val="003C2BFB"/>
    <w:rsid w:val="003C436B"/>
    <w:rsid w:val="003C494D"/>
    <w:rsid w:val="003C5337"/>
    <w:rsid w:val="003C5F92"/>
    <w:rsid w:val="003C683B"/>
    <w:rsid w:val="003D7A8C"/>
    <w:rsid w:val="003D7C00"/>
    <w:rsid w:val="003E423D"/>
    <w:rsid w:val="003E56E5"/>
    <w:rsid w:val="003E7E60"/>
    <w:rsid w:val="003F00D4"/>
    <w:rsid w:val="003F2209"/>
    <w:rsid w:val="003F3D39"/>
    <w:rsid w:val="003F4842"/>
    <w:rsid w:val="003F646A"/>
    <w:rsid w:val="003F6761"/>
    <w:rsid w:val="003F6A0A"/>
    <w:rsid w:val="004024F5"/>
    <w:rsid w:val="00402DE1"/>
    <w:rsid w:val="00403D8B"/>
    <w:rsid w:val="004058F1"/>
    <w:rsid w:val="00407E7D"/>
    <w:rsid w:val="00411205"/>
    <w:rsid w:val="00411442"/>
    <w:rsid w:val="0041283D"/>
    <w:rsid w:val="00413AB4"/>
    <w:rsid w:val="00421373"/>
    <w:rsid w:val="00421FB7"/>
    <w:rsid w:val="0042763B"/>
    <w:rsid w:val="0043024C"/>
    <w:rsid w:val="00436706"/>
    <w:rsid w:val="00443D38"/>
    <w:rsid w:val="00450E7A"/>
    <w:rsid w:val="00456AF8"/>
    <w:rsid w:val="00470B15"/>
    <w:rsid w:val="00475869"/>
    <w:rsid w:val="00475A77"/>
    <w:rsid w:val="004801EB"/>
    <w:rsid w:val="004815C8"/>
    <w:rsid w:val="00482DDC"/>
    <w:rsid w:val="00483E6C"/>
    <w:rsid w:val="004866A9"/>
    <w:rsid w:val="00492774"/>
    <w:rsid w:val="00496D7A"/>
    <w:rsid w:val="004A31BC"/>
    <w:rsid w:val="004A3F1A"/>
    <w:rsid w:val="004A3F45"/>
    <w:rsid w:val="004B1AFA"/>
    <w:rsid w:val="004B6047"/>
    <w:rsid w:val="004B7088"/>
    <w:rsid w:val="004C5B76"/>
    <w:rsid w:val="004D02CD"/>
    <w:rsid w:val="004D0B24"/>
    <w:rsid w:val="004D4B90"/>
    <w:rsid w:val="004D6B95"/>
    <w:rsid w:val="004D7F41"/>
    <w:rsid w:val="004E03A2"/>
    <w:rsid w:val="004E317E"/>
    <w:rsid w:val="004E3954"/>
    <w:rsid w:val="004E5856"/>
    <w:rsid w:val="004F2330"/>
    <w:rsid w:val="004F53C6"/>
    <w:rsid w:val="004F69DB"/>
    <w:rsid w:val="004F6B87"/>
    <w:rsid w:val="00501C2D"/>
    <w:rsid w:val="00502637"/>
    <w:rsid w:val="00511140"/>
    <w:rsid w:val="00513CFE"/>
    <w:rsid w:val="00515EF5"/>
    <w:rsid w:val="00523B6A"/>
    <w:rsid w:val="00525F6C"/>
    <w:rsid w:val="00546AB4"/>
    <w:rsid w:val="005514E5"/>
    <w:rsid w:val="00563C84"/>
    <w:rsid w:val="0057287D"/>
    <w:rsid w:val="005762F6"/>
    <w:rsid w:val="00584FBE"/>
    <w:rsid w:val="00585483"/>
    <w:rsid w:val="00587378"/>
    <w:rsid w:val="00587C05"/>
    <w:rsid w:val="00590AAB"/>
    <w:rsid w:val="005938C3"/>
    <w:rsid w:val="0059468C"/>
    <w:rsid w:val="00595125"/>
    <w:rsid w:val="005957EA"/>
    <w:rsid w:val="00596F21"/>
    <w:rsid w:val="005B1CDD"/>
    <w:rsid w:val="005B1E19"/>
    <w:rsid w:val="005B55FC"/>
    <w:rsid w:val="005C2D5E"/>
    <w:rsid w:val="005C3B81"/>
    <w:rsid w:val="005C650C"/>
    <w:rsid w:val="005D086C"/>
    <w:rsid w:val="005D11D3"/>
    <w:rsid w:val="005D4E1F"/>
    <w:rsid w:val="005D4FB3"/>
    <w:rsid w:val="005D6E0D"/>
    <w:rsid w:val="005E2F07"/>
    <w:rsid w:val="005E2FEA"/>
    <w:rsid w:val="005E536E"/>
    <w:rsid w:val="005F314B"/>
    <w:rsid w:val="00611AF2"/>
    <w:rsid w:val="0061212B"/>
    <w:rsid w:val="006127AF"/>
    <w:rsid w:val="00615FB2"/>
    <w:rsid w:val="00616630"/>
    <w:rsid w:val="00617BD1"/>
    <w:rsid w:val="00617CE8"/>
    <w:rsid w:val="006278A0"/>
    <w:rsid w:val="0063095F"/>
    <w:rsid w:val="00645514"/>
    <w:rsid w:val="00646AC2"/>
    <w:rsid w:val="00650390"/>
    <w:rsid w:val="00654DAB"/>
    <w:rsid w:val="0066204A"/>
    <w:rsid w:val="00670E3C"/>
    <w:rsid w:val="00671728"/>
    <w:rsid w:val="00675ED3"/>
    <w:rsid w:val="00677F57"/>
    <w:rsid w:val="00681088"/>
    <w:rsid w:val="00685603"/>
    <w:rsid w:val="0069577E"/>
    <w:rsid w:val="0069634B"/>
    <w:rsid w:val="00696623"/>
    <w:rsid w:val="00697C04"/>
    <w:rsid w:val="006A04E9"/>
    <w:rsid w:val="006A4A03"/>
    <w:rsid w:val="006A7543"/>
    <w:rsid w:val="006B725C"/>
    <w:rsid w:val="006C273D"/>
    <w:rsid w:val="006C5C4F"/>
    <w:rsid w:val="006C6282"/>
    <w:rsid w:val="006C762A"/>
    <w:rsid w:val="006D10CD"/>
    <w:rsid w:val="006D5FF9"/>
    <w:rsid w:val="006D7045"/>
    <w:rsid w:val="006E0772"/>
    <w:rsid w:val="006E0F86"/>
    <w:rsid w:val="006F0B15"/>
    <w:rsid w:val="006F0DCC"/>
    <w:rsid w:val="00703DF9"/>
    <w:rsid w:val="007048EB"/>
    <w:rsid w:val="00704FBB"/>
    <w:rsid w:val="0070726A"/>
    <w:rsid w:val="0071226B"/>
    <w:rsid w:val="00717040"/>
    <w:rsid w:val="00717184"/>
    <w:rsid w:val="00766CC0"/>
    <w:rsid w:val="007750A2"/>
    <w:rsid w:val="007817D6"/>
    <w:rsid w:val="00787912"/>
    <w:rsid w:val="0079177A"/>
    <w:rsid w:val="00794836"/>
    <w:rsid w:val="007948D5"/>
    <w:rsid w:val="007A15C9"/>
    <w:rsid w:val="007A6676"/>
    <w:rsid w:val="007B7F00"/>
    <w:rsid w:val="007B7FF5"/>
    <w:rsid w:val="007C3FC6"/>
    <w:rsid w:val="007C5639"/>
    <w:rsid w:val="007D2CE9"/>
    <w:rsid w:val="007D4FED"/>
    <w:rsid w:val="007D69DA"/>
    <w:rsid w:val="007D70B1"/>
    <w:rsid w:val="007D7140"/>
    <w:rsid w:val="007E1C73"/>
    <w:rsid w:val="007E1CDB"/>
    <w:rsid w:val="007E408C"/>
    <w:rsid w:val="007E7E21"/>
    <w:rsid w:val="007F0460"/>
    <w:rsid w:val="007F0DA2"/>
    <w:rsid w:val="007F39CE"/>
    <w:rsid w:val="007F5E0D"/>
    <w:rsid w:val="007F748E"/>
    <w:rsid w:val="00801085"/>
    <w:rsid w:val="00801A89"/>
    <w:rsid w:val="00812138"/>
    <w:rsid w:val="00813443"/>
    <w:rsid w:val="008151F2"/>
    <w:rsid w:val="0081777A"/>
    <w:rsid w:val="008210E0"/>
    <w:rsid w:val="00824079"/>
    <w:rsid w:val="00831F0A"/>
    <w:rsid w:val="00833A78"/>
    <w:rsid w:val="0084585F"/>
    <w:rsid w:val="00853E53"/>
    <w:rsid w:val="00864D76"/>
    <w:rsid w:val="008656C9"/>
    <w:rsid w:val="0086711C"/>
    <w:rsid w:val="00867535"/>
    <w:rsid w:val="00875C5B"/>
    <w:rsid w:val="00883C5F"/>
    <w:rsid w:val="008868E9"/>
    <w:rsid w:val="00891C7D"/>
    <w:rsid w:val="00892FA7"/>
    <w:rsid w:val="008A3301"/>
    <w:rsid w:val="008A4DF1"/>
    <w:rsid w:val="008A5636"/>
    <w:rsid w:val="008B125E"/>
    <w:rsid w:val="008B241C"/>
    <w:rsid w:val="008B408B"/>
    <w:rsid w:val="008B4F11"/>
    <w:rsid w:val="008C2362"/>
    <w:rsid w:val="008C3049"/>
    <w:rsid w:val="008D396F"/>
    <w:rsid w:val="008D4AE9"/>
    <w:rsid w:val="008D5CF3"/>
    <w:rsid w:val="008D62AF"/>
    <w:rsid w:val="008D6EFD"/>
    <w:rsid w:val="008D7D39"/>
    <w:rsid w:val="008E4574"/>
    <w:rsid w:val="008E7F29"/>
    <w:rsid w:val="008F4016"/>
    <w:rsid w:val="008F42FE"/>
    <w:rsid w:val="008F4A00"/>
    <w:rsid w:val="008F5402"/>
    <w:rsid w:val="0090053A"/>
    <w:rsid w:val="00901C2A"/>
    <w:rsid w:val="009076F9"/>
    <w:rsid w:val="009118C7"/>
    <w:rsid w:val="00915185"/>
    <w:rsid w:val="009225B6"/>
    <w:rsid w:val="0092469F"/>
    <w:rsid w:val="00925397"/>
    <w:rsid w:val="00933A21"/>
    <w:rsid w:val="00934C10"/>
    <w:rsid w:val="0093662A"/>
    <w:rsid w:val="0094060C"/>
    <w:rsid w:val="009606A5"/>
    <w:rsid w:val="00962F1F"/>
    <w:rsid w:val="00965304"/>
    <w:rsid w:val="00971293"/>
    <w:rsid w:val="00973A3B"/>
    <w:rsid w:val="00983EAE"/>
    <w:rsid w:val="0098760B"/>
    <w:rsid w:val="00994FF3"/>
    <w:rsid w:val="009A11DD"/>
    <w:rsid w:val="009B30AA"/>
    <w:rsid w:val="009B4D5B"/>
    <w:rsid w:val="009B5217"/>
    <w:rsid w:val="009C4041"/>
    <w:rsid w:val="009C4798"/>
    <w:rsid w:val="009C48DE"/>
    <w:rsid w:val="009E1E1E"/>
    <w:rsid w:val="009E33E3"/>
    <w:rsid w:val="009E7F16"/>
    <w:rsid w:val="009F5052"/>
    <w:rsid w:val="00A04C85"/>
    <w:rsid w:val="00A05CE8"/>
    <w:rsid w:val="00A100F0"/>
    <w:rsid w:val="00A156E6"/>
    <w:rsid w:val="00A27D86"/>
    <w:rsid w:val="00A316C0"/>
    <w:rsid w:val="00A33151"/>
    <w:rsid w:val="00A36970"/>
    <w:rsid w:val="00A41B6C"/>
    <w:rsid w:val="00A41EB4"/>
    <w:rsid w:val="00A44BFF"/>
    <w:rsid w:val="00A501E3"/>
    <w:rsid w:val="00A50F0C"/>
    <w:rsid w:val="00A5511B"/>
    <w:rsid w:val="00A56441"/>
    <w:rsid w:val="00A736DD"/>
    <w:rsid w:val="00A82869"/>
    <w:rsid w:val="00A8758C"/>
    <w:rsid w:val="00A87CF0"/>
    <w:rsid w:val="00AA127E"/>
    <w:rsid w:val="00AA19AE"/>
    <w:rsid w:val="00AA423D"/>
    <w:rsid w:val="00AA6A95"/>
    <w:rsid w:val="00AB10DE"/>
    <w:rsid w:val="00AB3668"/>
    <w:rsid w:val="00AB5ED7"/>
    <w:rsid w:val="00AC0B4C"/>
    <w:rsid w:val="00AC0F38"/>
    <w:rsid w:val="00AD0AEE"/>
    <w:rsid w:val="00AD49E3"/>
    <w:rsid w:val="00AD4B4F"/>
    <w:rsid w:val="00AF0616"/>
    <w:rsid w:val="00AF0E28"/>
    <w:rsid w:val="00AF35A1"/>
    <w:rsid w:val="00AF6F9B"/>
    <w:rsid w:val="00B01409"/>
    <w:rsid w:val="00B10DBD"/>
    <w:rsid w:val="00B15629"/>
    <w:rsid w:val="00B2372C"/>
    <w:rsid w:val="00B32F70"/>
    <w:rsid w:val="00B373D0"/>
    <w:rsid w:val="00B43AAA"/>
    <w:rsid w:val="00B53139"/>
    <w:rsid w:val="00B562CE"/>
    <w:rsid w:val="00B60B84"/>
    <w:rsid w:val="00B62DE2"/>
    <w:rsid w:val="00B62EAA"/>
    <w:rsid w:val="00B74417"/>
    <w:rsid w:val="00B75887"/>
    <w:rsid w:val="00B77246"/>
    <w:rsid w:val="00B866CD"/>
    <w:rsid w:val="00B93034"/>
    <w:rsid w:val="00B949E6"/>
    <w:rsid w:val="00B97C5D"/>
    <w:rsid w:val="00BA1290"/>
    <w:rsid w:val="00BB2792"/>
    <w:rsid w:val="00BB76BF"/>
    <w:rsid w:val="00BC1AD1"/>
    <w:rsid w:val="00BC1E77"/>
    <w:rsid w:val="00BC4A58"/>
    <w:rsid w:val="00BC613B"/>
    <w:rsid w:val="00BD51D9"/>
    <w:rsid w:val="00BD64E2"/>
    <w:rsid w:val="00BE4995"/>
    <w:rsid w:val="00BF3A1B"/>
    <w:rsid w:val="00BF429A"/>
    <w:rsid w:val="00BF62BE"/>
    <w:rsid w:val="00C07126"/>
    <w:rsid w:val="00C16853"/>
    <w:rsid w:val="00C263F0"/>
    <w:rsid w:val="00C32B4A"/>
    <w:rsid w:val="00C33D41"/>
    <w:rsid w:val="00C40106"/>
    <w:rsid w:val="00C40AFD"/>
    <w:rsid w:val="00C41E20"/>
    <w:rsid w:val="00C42E3E"/>
    <w:rsid w:val="00C51C13"/>
    <w:rsid w:val="00C525A5"/>
    <w:rsid w:val="00C5300F"/>
    <w:rsid w:val="00C66CE0"/>
    <w:rsid w:val="00C71BED"/>
    <w:rsid w:val="00C747C0"/>
    <w:rsid w:val="00C81B53"/>
    <w:rsid w:val="00C82AD2"/>
    <w:rsid w:val="00C90FB6"/>
    <w:rsid w:val="00C9220E"/>
    <w:rsid w:val="00C932BD"/>
    <w:rsid w:val="00C93429"/>
    <w:rsid w:val="00CA16C5"/>
    <w:rsid w:val="00CA415A"/>
    <w:rsid w:val="00CA7A35"/>
    <w:rsid w:val="00CB1536"/>
    <w:rsid w:val="00CB5F3C"/>
    <w:rsid w:val="00CB7FB8"/>
    <w:rsid w:val="00CC1F71"/>
    <w:rsid w:val="00CC5EB3"/>
    <w:rsid w:val="00CC6E58"/>
    <w:rsid w:val="00CD0E7B"/>
    <w:rsid w:val="00CD2ABD"/>
    <w:rsid w:val="00CD4024"/>
    <w:rsid w:val="00CD4617"/>
    <w:rsid w:val="00CD4855"/>
    <w:rsid w:val="00CE6D43"/>
    <w:rsid w:val="00CE7888"/>
    <w:rsid w:val="00D10E1C"/>
    <w:rsid w:val="00D14774"/>
    <w:rsid w:val="00D161A3"/>
    <w:rsid w:val="00D22E49"/>
    <w:rsid w:val="00D233CF"/>
    <w:rsid w:val="00D23716"/>
    <w:rsid w:val="00D25ED8"/>
    <w:rsid w:val="00D27F8F"/>
    <w:rsid w:val="00D316B8"/>
    <w:rsid w:val="00D31CFC"/>
    <w:rsid w:val="00D3255D"/>
    <w:rsid w:val="00D340C3"/>
    <w:rsid w:val="00D409CD"/>
    <w:rsid w:val="00D41394"/>
    <w:rsid w:val="00D423D4"/>
    <w:rsid w:val="00D42CAF"/>
    <w:rsid w:val="00D4763B"/>
    <w:rsid w:val="00D601EF"/>
    <w:rsid w:val="00D61533"/>
    <w:rsid w:val="00D63B2F"/>
    <w:rsid w:val="00D70747"/>
    <w:rsid w:val="00D7261D"/>
    <w:rsid w:val="00D755FC"/>
    <w:rsid w:val="00D76B6D"/>
    <w:rsid w:val="00D84D07"/>
    <w:rsid w:val="00D8526A"/>
    <w:rsid w:val="00D90E91"/>
    <w:rsid w:val="00D95BD0"/>
    <w:rsid w:val="00DC1347"/>
    <w:rsid w:val="00DC39F1"/>
    <w:rsid w:val="00DE4B35"/>
    <w:rsid w:val="00DE6DAE"/>
    <w:rsid w:val="00DF19C1"/>
    <w:rsid w:val="00DF54CA"/>
    <w:rsid w:val="00DF5B64"/>
    <w:rsid w:val="00E02794"/>
    <w:rsid w:val="00E043E3"/>
    <w:rsid w:val="00E0505B"/>
    <w:rsid w:val="00E11280"/>
    <w:rsid w:val="00E12359"/>
    <w:rsid w:val="00E152FF"/>
    <w:rsid w:val="00E2461B"/>
    <w:rsid w:val="00E24886"/>
    <w:rsid w:val="00E276FB"/>
    <w:rsid w:val="00E32595"/>
    <w:rsid w:val="00E33A74"/>
    <w:rsid w:val="00E33C50"/>
    <w:rsid w:val="00E4030B"/>
    <w:rsid w:val="00E41D56"/>
    <w:rsid w:val="00E457DF"/>
    <w:rsid w:val="00E46642"/>
    <w:rsid w:val="00E47D19"/>
    <w:rsid w:val="00E5139A"/>
    <w:rsid w:val="00E5413D"/>
    <w:rsid w:val="00E57977"/>
    <w:rsid w:val="00E635D7"/>
    <w:rsid w:val="00E70576"/>
    <w:rsid w:val="00E83954"/>
    <w:rsid w:val="00E91730"/>
    <w:rsid w:val="00E94209"/>
    <w:rsid w:val="00E9667C"/>
    <w:rsid w:val="00E96F04"/>
    <w:rsid w:val="00E97AEC"/>
    <w:rsid w:val="00EA20FE"/>
    <w:rsid w:val="00EB491E"/>
    <w:rsid w:val="00EB681B"/>
    <w:rsid w:val="00EC4FAD"/>
    <w:rsid w:val="00EE3CFA"/>
    <w:rsid w:val="00EE69E4"/>
    <w:rsid w:val="00EF2A7F"/>
    <w:rsid w:val="00EF7E90"/>
    <w:rsid w:val="00F002B6"/>
    <w:rsid w:val="00F10AFE"/>
    <w:rsid w:val="00F15C6C"/>
    <w:rsid w:val="00F17173"/>
    <w:rsid w:val="00F224DC"/>
    <w:rsid w:val="00F2687F"/>
    <w:rsid w:val="00F27F29"/>
    <w:rsid w:val="00F32D54"/>
    <w:rsid w:val="00F36C54"/>
    <w:rsid w:val="00F418EA"/>
    <w:rsid w:val="00F41A29"/>
    <w:rsid w:val="00F44C1C"/>
    <w:rsid w:val="00F518DF"/>
    <w:rsid w:val="00F544DB"/>
    <w:rsid w:val="00F62F7E"/>
    <w:rsid w:val="00F6502E"/>
    <w:rsid w:val="00F65663"/>
    <w:rsid w:val="00F707BB"/>
    <w:rsid w:val="00F756C0"/>
    <w:rsid w:val="00F75A40"/>
    <w:rsid w:val="00F77637"/>
    <w:rsid w:val="00F8435D"/>
    <w:rsid w:val="00F87DD0"/>
    <w:rsid w:val="00F93360"/>
    <w:rsid w:val="00F93FE4"/>
    <w:rsid w:val="00F969AD"/>
    <w:rsid w:val="00F97E4E"/>
    <w:rsid w:val="00FA217B"/>
    <w:rsid w:val="00FB0BC5"/>
    <w:rsid w:val="00FB0BCC"/>
    <w:rsid w:val="00FB21FB"/>
    <w:rsid w:val="00FC0FE5"/>
    <w:rsid w:val="00FD1ABC"/>
    <w:rsid w:val="00FD7DDF"/>
    <w:rsid w:val="00FE377A"/>
    <w:rsid w:val="00FE4C92"/>
    <w:rsid w:val="00FF0FAA"/>
    <w:rsid w:val="00FF277C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nl-NL" w:bidi="nl-NL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iPriority="0" w:unhideWhenUsed="1"/>
    <w:lsdException w:name="header" w:locked="1" w:uiPriority="0" w:qFormat="1"/>
    <w:lsdException w:name="footer" w:locked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E58"/>
    <w:pPr>
      <w:spacing w:line="288" w:lineRule="auto"/>
      <w:jc w:val="both"/>
    </w:pPr>
    <w:rPr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C6E58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C6E58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C6E58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C6E58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C6E58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C6E58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C6E58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C6E58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C6E58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B1536"/>
    <w:rPr>
      <w:kern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CB1536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CB1536"/>
    <w:rPr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CB1536"/>
    <w:rPr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CB1536"/>
    <w:rPr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CB1536"/>
    <w:rPr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CB1536"/>
    <w:rPr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1536"/>
    <w:rPr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CB1536"/>
    <w:rPr>
      <w:lang w:val="en-US" w:eastAsia="en-US" w:bidi="ar-SA"/>
    </w:rPr>
  </w:style>
  <w:style w:type="paragraph" w:styleId="Footer">
    <w:name w:val="footer"/>
    <w:basedOn w:val="Normal"/>
    <w:link w:val="FooterChar"/>
    <w:qFormat/>
    <w:rsid w:val="00CC6E58"/>
  </w:style>
  <w:style w:type="character" w:customStyle="1" w:styleId="FooterChar">
    <w:name w:val="Footer Char"/>
    <w:basedOn w:val="DefaultParagraphFont"/>
    <w:link w:val="Footer"/>
    <w:locked/>
    <w:rsid w:val="00CB1536"/>
    <w:rPr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CC6E5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CB1536"/>
    <w:rPr>
      <w:sz w:val="16"/>
      <w:lang w:val="en-US" w:eastAsia="en-US" w:bidi="ar-SA"/>
    </w:rPr>
  </w:style>
  <w:style w:type="paragraph" w:styleId="Header">
    <w:name w:val="header"/>
    <w:basedOn w:val="Normal"/>
    <w:link w:val="HeaderChar"/>
    <w:qFormat/>
    <w:rsid w:val="00CC6E58"/>
  </w:style>
  <w:style w:type="character" w:customStyle="1" w:styleId="HeaderChar">
    <w:name w:val="Header Char"/>
    <w:basedOn w:val="DefaultParagraphFont"/>
    <w:link w:val="Header"/>
    <w:locked/>
    <w:rsid w:val="00CB1536"/>
    <w:rPr>
      <w:lang w:val="en-US" w:eastAsia="en-US" w:bidi="ar-SA"/>
    </w:rPr>
  </w:style>
  <w:style w:type="character" w:styleId="Hyperlink">
    <w:name w:val="Hyperlink"/>
    <w:basedOn w:val="DefaultParagraphFont"/>
    <w:uiPriority w:val="99"/>
    <w:rsid w:val="00934C10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CC6E58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">
    <w:name w:val="Revision"/>
    <w:hidden/>
    <w:uiPriority w:val="99"/>
    <w:semiHidden/>
    <w:rsid w:val="00B2372C"/>
  </w:style>
  <w:style w:type="paragraph" w:customStyle="1" w:styleId="quotes">
    <w:name w:val="quotes"/>
    <w:basedOn w:val="Normal"/>
    <w:next w:val="Normal"/>
    <w:rsid w:val="00CC6E58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42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nl-NL" w:bidi="nl-NL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iPriority="0" w:unhideWhenUsed="1"/>
    <w:lsdException w:name="header" w:locked="1" w:uiPriority="0" w:qFormat="1"/>
    <w:lsdException w:name="footer" w:locked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E58"/>
    <w:pPr>
      <w:spacing w:line="288" w:lineRule="auto"/>
      <w:jc w:val="both"/>
    </w:pPr>
    <w:rPr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C6E58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C6E58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C6E58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C6E58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C6E58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C6E58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C6E58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C6E58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C6E58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B1536"/>
    <w:rPr>
      <w:kern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CB1536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CB1536"/>
    <w:rPr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CB1536"/>
    <w:rPr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CB1536"/>
    <w:rPr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CB1536"/>
    <w:rPr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CB1536"/>
    <w:rPr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1536"/>
    <w:rPr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CB1536"/>
    <w:rPr>
      <w:lang w:val="en-US" w:eastAsia="en-US" w:bidi="ar-SA"/>
    </w:rPr>
  </w:style>
  <w:style w:type="paragraph" w:styleId="Footer">
    <w:name w:val="footer"/>
    <w:basedOn w:val="Normal"/>
    <w:link w:val="FooterChar"/>
    <w:qFormat/>
    <w:rsid w:val="00CC6E58"/>
  </w:style>
  <w:style w:type="character" w:customStyle="1" w:styleId="FooterChar">
    <w:name w:val="Footer Char"/>
    <w:basedOn w:val="DefaultParagraphFont"/>
    <w:link w:val="Footer"/>
    <w:locked/>
    <w:rsid w:val="00CB1536"/>
    <w:rPr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CC6E5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CB1536"/>
    <w:rPr>
      <w:sz w:val="16"/>
      <w:lang w:val="en-US" w:eastAsia="en-US" w:bidi="ar-SA"/>
    </w:rPr>
  </w:style>
  <w:style w:type="paragraph" w:styleId="Header">
    <w:name w:val="header"/>
    <w:basedOn w:val="Normal"/>
    <w:link w:val="HeaderChar"/>
    <w:qFormat/>
    <w:rsid w:val="00CC6E58"/>
  </w:style>
  <w:style w:type="character" w:customStyle="1" w:styleId="HeaderChar">
    <w:name w:val="Header Char"/>
    <w:basedOn w:val="DefaultParagraphFont"/>
    <w:link w:val="Header"/>
    <w:locked/>
    <w:rsid w:val="00CB1536"/>
    <w:rPr>
      <w:lang w:val="en-US" w:eastAsia="en-US" w:bidi="ar-SA"/>
    </w:rPr>
  </w:style>
  <w:style w:type="character" w:styleId="Hyperlink">
    <w:name w:val="Hyperlink"/>
    <w:basedOn w:val="DefaultParagraphFont"/>
    <w:uiPriority w:val="99"/>
    <w:rsid w:val="00934C10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CC6E58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">
    <w:name w:val="Revision"/>
    <w:hidden/>
    <w:uiPriority w:val="99"/>
    <w:semiHidden/>
    <w:rsid w:val="00B2372C"/>
  </w:style>
  <w:style w:type="paragraph" w:customStyle="1" w:styleId="quotes">
    <w:name w:val="quotes"/>
    <w:basedOn w:val="Normal"/>
    <w:next w:val="Normal"/>
    <w:rsid w:val="00CC6E58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42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t@eesc.europa.eu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PL/TXT/?qid=1524213305690&amp;uri=CELEX:52018PC0163" TargetMode="External"/><Relationship Id="rId2" Type="http://schemas.openxmlformats.org/officeDocument/2006/relationships/hyperlink" Target="http://eur-lex.europa.eu/legal-content/PL/TXT/?uri=CELEX:52017DC0139" TargetMode="External"/><Relationship Id="rId1" Type="http://schemas.openxmlformats.org/officeDocument/2006/relationships/hyperlink" Target="https://www.europeanpaymentscouncil.eu/" TargetMode="External"/><Relationship Id="rId6" Type="http://schemas.openxmlformats.org/officeDocument/2006/relationships/hyperlink" Target="https://ec.europa.eu/info/business-economy-euro/banking-and-finance/financial-supervision-and-risk-management/managing-risks-banks-and-financial-institutions/non-performing-loans-npls_en" TargetMode="External"/><Relationship Id="rId5" Type="http://schemas.openxmlformats.org/officeDocument/2006/relationships/hyperlink" Target="https://ec.europa.eu/info/publications/180308-action-plan-sustainable-growth_en" TargetMode="External"/><Relationship Id="rId4" Type="http://schemas.openxmlformats.org/officeDocument/2006/relationships/hyperlink" Target="http://europa.eu/rapid/press-release_MEMO-18-2424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RCSZ5D2JPTA3-4-6543</_dlc_DocId>
    <_dlc_DocIdUrl xmlns="8975caae-a2e4-4a1b-856a-87d8a7cad937">
      <Url>http://dm/EESC/2018/_layouts/DocIdRedir.aspx?ID=RCSZ5D2JPTA3-4-6543</Url>
      <Description>RCSZ5D2JPTA3-4-6543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</TermName>
          <TermId xmlns="http://schemas.microsoft.com/office/infopath/2007/PartnerControls">ef6fd07e-7d84-45ad-8a75-9a9414a8759c</TermId>
        </TermInfo>
      </Terms>
    </DocumentType_0>
    <Procedure xmlns="8975caae-a2e4-4a1b-856a-87d8a7cad937">2018/0076(COD)</Procedure>
    <MeetingNumber xmlns="72fbe377-228b-440d-9c80-c8fc7584a534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e1edfecb-ed43-427b-bb02-d45fe6645386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2018-05-29T12:00:00+00:00</ProductionDate>
    <DocumentNumber xmlns="72fbe377-228b-440d-9c80-c8fc7584a534">1993</DocumentNumber>
    <FicheYear xmlns="8975caae-a2e4-4a1b-856a-87d8a7cad937">2018</FicheYear>
    <DocumentVersion xmlns="8975caae-a2e4-4a1b-856a-87d8a7cad937">0</DocumentVersion>
    <DossierNumber xmlns="8975caae-a2e4-4a1b-856a-87d8a7cad937">847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2018-06-07T12:00:00+00:00</MeetingDate>
    <TaxCatchAll xmlns="8975caae-a2e4-4a1b-856a-87d8a7cad937">
      <Value>45</Value>
      <Value>41</Value>
      <Value>40</Value>
      <Value>39</Value>
      <Value>38</Value>
      <Value>37</Value>
      <Value>83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4</Value>
      <Value>9</Value>
      <Value>8</Value>
      <Value>7</Value>
      <Value>6</Value>
      <Value>5</Value>
      <Value>51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Rapporteur xmlns="8975caae-a2e4-4a1b-856a-87d8a7cad937">MAREELS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975caae-a2e4-4a1b-856a-87d8a7cad937">5994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7a7bdbd3-7680-4ca3-a249-1ff8060217b0</TermId>
        </TermInfo>
      </Terms>
    </MeetingName_0>
    <RequestingService xmlns="8975caae-a2e4-4a1b-856a-87d8a7cad937">Marché unique, production, consommation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0676-BA11-4F02-B286-5FDA13F4F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BD04E-6A5E-48AF-A4C2-39AF8D6C755C}">
  <ds:schemaRefs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8975caae-a2e4-4a1b-856a-87d8a7cad937"/>
    <ds:schemaRef ds:uri="http://schemas.openxmlformats.org/package/2006/metadata/core-properties"/>
    <ds:schemaRef ds:uri="72fbe377-228b-440d-9c80-c8fc7584a5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390060-A928-40B0-9566-06731F92B6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6EB162-B9F8-43DD-A4C9-B024AF9B2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72fbe377-228b-440d-9c80-c8fc758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3F2262-8D1E-4EFD-9EF4-9F37D330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1545</Words>
  <Characters>9825</Characters>
  <Application>Microsoft Office Word</Application>
  <DocSecurity>4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SEPA / Rozszerzenie</vt:lpstr>
      <vt:lpstr>European Agenda on Migration: Second implementation package - A permanent crisis relocation mechanism under the Dublin system</vt:lpstr>
    </vt:vector>
  </TitlesOfParts>
  <Company>CESE-CdR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 / Rozszerzenie</dc:title>
  <dc:creator>Emma Nieddu</dc:creator>
  <cp:keywords>EESC-2018-01993-00-00-PA-TRA-NL</cp:keywords>
  <dc:description>Rapporteur: MAREELS - Original language: NL - Date of document: 29/05/2018 - Date of meeting: 07/06/2018 - External documents: COM(2018)163-final - Administrator: Mme Drewes-Wran Claudia Bettina</dc:description>
  <cp:lastModifiedBy>Lech Pilawski</cp:lastModifiedBy>
  <cp:revision>2</cp:revision>
  <cp:lastPrinted>2018-05-23T14:51:00Z</cp:lastPrinted>
  <dcterms:created xsi:type="dcterms:W3CDTF">2018-06-07T10:35:00Z</dcterms:created>
  <dcterms:modified xsi:type="dcterms:W3CDTF">2018-06-07T10:35:00Z</dcterms:modified>
  <cp:category>INT/847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23/05/2018, 26/04/2018, 04/11/2015, 27/10/2015, 19/10/2015, 09/10/2015, 05/10/2015, 05/10/2015, 26/08/2015, 26/08/2015, 25/08/2015</vt:lpwstr>
  </property>
  <property fmtid="{D5CDD505-2E9C-101B-9397-08002B2CF9AE}" pid="4" name="Pref_Time">
    <vt:lpwstr>17:20:30, 09:11:10, 12/10/07, 14:44:02, 16/04/16, 14:09:30, 16:24:55, 16:04:02, 08:56:14, 07:27:56, 17:31:53</vt:lpwstr>
  </property>
  <property fmtid="{D5CDD505-2E9C-101B-9397-08002B2CF9AE}" pid="5" name="Pref_User">
    <vt:lpwstr>enied, tvoc, ssex, enied, amett, tvoc, mreg, mreg, amett, enied, ssex</vt:lpwstr>
  </property>
  <property fmtid="{D5CDD505-2E9C-101B-9397-08002B2CF9AE}" pid="6" name="Pref_FileName">
    <vt:lpwstr>EESC-2018-01993-00-00-PA-TRA-NL-CRR.docx, EESC-2018-01993-00-00-APA-TRA-NL-CRR.docx, EESC-2015-05408-00-00-PA-CRR-EN.docx, EESC-2015-05408-00-01-APA-ORI.docx, EESC-2015-04319-00-00-TCD-ORI.docx, EESC-2015-04319-00-01-APA-ORI.docx, EESC-2015-04319-00-00-AP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90df47ad-7d66-4168-9f25-323ecddc5e4d</vt:lpwstr>
  </property>
  <property fmtid="{D5CDD505-2E9C-101B-9397-08002B2CF9AE}" pid="9" name="DocumentType_0">
    <vt:lpwstr>PA|ef6fd07e-7d84-45ad-8a75-9a9414a8759c</vt:lpwstr>
  </property>
  <property fmtid="{D5CDD505-2E9C-101B-9397-08002B2CF9AE}" pid="10" name="Procedure">
    <vt:lpwstr>2018/0076(COD)</vt:lpwstr>
  </property>
  <property fmtid="{D5CDD505-2E9C-101B-9397-08002B2CF9AE}" pid="11" name="AvailableTranslations">
    <vt:lpwstr>21;#CS|72f9705b-0217-4fd3-bea2-cbc7ed80e26e;#40;#HR|2f555653-ed1a-4fe6-8362-9082d95989e5;#8;#FR|d2afafd3-4c81-4f60-8f52-ee33f2f54ff3;#33;#EL|6d4f4d51-af9b-4650-94b4-4276bee85c91;#20;#PL|1e03da61-4678-4e07-b136-b5024ca9197b;#16;#HU|6b229040-c589-4408-b4c1-</vt:lpwstr>
  </property>
  <property fmtid="{D5CDD505-2E9C-101B-9397-08002B2CF9AE}" pid="12" name="DossierName_0">
    <vt:lpwstr>INT|e1edfecb-ed43-427b-bb02-d45fe6645386</vt:lpwstr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2018</vt:i4>
  </property>
  <property fmtid="{D5CDD505-2E9C-101B-9397-08002B2CF9AE}" pid="15" name="DocumentNumber">
    <vt:i4>1993</vt:i4>
  </property>
  <property fmtid="{D5CDD505-2E9C-101B-9397-08002B2CF9AE}" pid="16" name="DocumentVersion">
    <vt:i4>0</vt:i4>
  </property>
  <property fmtid="{D5CDD505-2E9C-101B-9397-08002B2CF9AE}" pid="17" name="DossierNumber">
    <vt:i4>847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83;#PA|ef6fd07e-7d84-45ad-8a75-9a9414a8759c</vt:lpwstr>
  </property>
  <property fmtid="{D5CDD505-2E9C-101B-9397-08002B2CF9AE}" pid="20" name="DocumentStatus">
    <vt:lpwstr>7;#TRA|150d2a88-1431-44e6-a8ca-0bb753ab8672</vt:lpwstr>
  </property>
  <property fmtid="{D5CDD505-2E9C-101B-9397-08002B2CF9AE}" pid="21" name="DossierName">
    <vt:lpwstr>9;#INT|e1edfecb-ed43-427b-bb02-d45fe6645386</vt:lpwstr>
  </property>
  <property fmtid="{D5CDD505-2E9C-101B-9397-08002B2CF9AE}" pid="22" name="DocumentPart">
    <vt:i4>0</vt:i4>
  </property>
  <property fmtid="{D5CDD505-2E9C-101B-9397-08002B2CF9AE}" pid="23" name="RequestingService">
    <vt:lpwstr>Marché unique, production, consommation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>INT|7a7bdbd3-7680-4ca3-a249-1ff8060217b0</vt:lpwstr>
  </property>
  <property fmtid="{D5CDD505-2E9C-101B-9397-08002B2CF9AE}" pid="27" name="OriginalLanguage">
    <vt:lpwstr>14;#NL|55c6556c-b4f4-441d-9acf-c498d4f838bd</vt:lpwstr>
  </property>
  <property fmtid="{D5CDD505-2E9C-101B-9397-08002B2CF9AE}" pid="28" name="MeetingName">
    <vt:lpwstr>51;#INT|7a7bdbd3-7680-4ca3-a249-1ff8060217b0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NL|55c6556c-b4f4-441d-9acf-c498d4f838bd</vt:lpwstr>
  </property>
  <property fmtid="{D5CDD505-2E9C-101B-9397-08002B2CF9AE}" pid="31" name="MeetingDate">
    <vt:filetime>2018-06-07T12:00:00Z</vt:filetime>
  </property>
  <property fmtid="{D5CDD505-2E9C-101B-9397-08002B2CF9AE}" pid="32" name="TaxCatchAll">
    <vt:lpwstr>45;#MT|7df99101-6854-4a26-b53a-b88c0da02c26;#41;#SV|c2ed69e7-a339-43d7-8f22-d93680a92aa0;#40;#HR|2f555653-ed1a-4fe6-8362-9082d95989e5;#39;#LV|46f7e311-5d9f-4663-b433-18aeccb7ace7;#38;#IT|0774613c-01ed-4e5d-a25d-11d2388de825;#37;#LT|a7ff5ce7-6123-4f68-865a</vt:lpwstr>
  </property>
  <property fmtid="{D5CDD505-2E9C-101B-9397-08002B2CF9AE}" pid="33" name="AvailableTranslations_0">
    <vt:lpwstr>CS|72f9705b-0217-4fd3-bea2-cbc7ed80e26e;HR|2f555653-ed1a-4fe6-8362-9082d95989e5;FR|d2afafd3-4c81-4f60-8f52-ee33f2f54ff3;EL|6d4f4d51-af9b-4650-94b4-4276bee85c91;HU|6b229040-c589-4408-b4c1-4285663d20a8;LT|a7ff5ce7-6123-4f68-865a-a57c31810414;NL|55c6556c-b4f</vt:lpwstr>
  </property>
  <property fmtid="{D5CDD505-2E9C-101B-9397-08002B2CF9AE}" pid="34" name="VersionStatus">
    <vt:lpwstr>6;#Final|ea5e6674-7b27-4bac-b091-73adbb394efe</vt:lpwstr>
  </property>
  <property fmtid="{D5CDD505-2E9C-101B-9397-08002B2CF9AE}" pid="35" name="Rapporteur">
    <vt:lpwstr>MAREELS</vt:lpwstr>
  </property>
  <property fmtid="{D5CDD505-2E9C-101B-9397-08002B2CF9AE}" pid="36" name="VersionStatus_0">
    <vt:lpwstr>Final|ea5e6674-7b27-4bac-b091-73adbb394efe</vt:lpwstr>
  </property>
  <property fmtid="{D5CDD505-2E9C-101B-9397-08002B2CF9AE}" pid="37" name="FicheNumber">
    <vt:i4>5994</vt:i4>
  </property>
  <property fmtid="{D5CDD505-2E9C-101B-9397-08002B2CF9AE}" pid="38" name="DocumentYear">
    <vt:i4>2018</vt:i4>
  </property>
  <property fmtid="{D5CDD505-2E9C-101B-9397-08002B2CF9AE}" pid="39" name="DocumentLanguage">
    <vt:lpwstr>20;#PL|1e03da61-4678-4e07-b136-b5024ca9197b</vt:lpwstr>
  </property>
</Properties>
</file>