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6C" w:rsidRDefault="00EA156C" w:rsidP="000B367E">
      <w:pPr>
        <w:tabs>
          <w:tab w:val="right" w:pos="10206"/>
        </w:tabs>
        <w:ind w:left="426" w:right="283" w:firstLine="2"/>
        <w:rPr>
          <w:rFonts w:asciiTheme="minorHAnsi" w:hAnsiTheme="minorHAnsi" w:cs="Tahoma"/>
          <w:noProof/>
          <w:color w:val="5B5B5E"/>
        </w:rPr>
      </w:pPr>
    </w:p>
    <w:p w:rsidR="00716E41" w:rsidRPr="001F7A28" w:rsidRDefault="00716E41" w:rsidP="000B367E">
      <w:pPr>
        <w:tabs>
          <w:tab w:val="right" w:pos="10206"/>
        </w:tabs>
        <w:ind w:left="426" w:right="283"/>
        <w:rPr>
          <w:rFonts w:asciiTheme="minorHAnsi" w:hAnsiTheme="minorHAnsi" w:cstheme="minorHAnsi"/>
          <w:noProof/>
          <w:color w:val="0D0D0D" w:themeColor="text1" w:themeTint="F2"/>
          <w:sz w:val="22"/>
          <w:szCs w:val="22"/>
        </w:rPr>
      </w:pPr>
    </w:p>
    <w:p w:rsidR="00716E41" w:rsidRPr="006557CA" w:rsidRDefault="00716E41" w:rsidP="000B367E">
      <w:pPr>
        <w:tabs>
          <w:tab w:val="right" w:pos="10206"/>
        </w:tabs>
        <w:ind w:left="426" w:right="283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6557CA">
        <w:rPr>
          <w:rFonts w:asciiTheme="minorHAnsi" w:hAnsiTheme="minorHAnsi" w:cstheme="minorHAnsi"/>
          <w:noProof/>
          <w:sz w:val="22"/>
          <w:szCs w:val="22"/>
        </w:rPr>
        <w:t>Warszawa,</w:t>
      </w:r>
      <w:r w:rsidR="00464FB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>3 sierpnia</w:t>
      </w:r>
      <w:r w:rsidRPr="006557CA">
        <w:rPr>
          <w:rFonts w:asciiTheme="minorHAnsi" w:hAnsiTheme="minorHAnsi" w:cstheme="minorHAnsi"/>
          <w:noProof/>
          <w:sz w:val="22"/>
          <w:szCs w:val="22"/>
        </w:rPr>
        <w:t xml:space="preserve"> 20</w:t>
      </w:r>
      <w:r>
        <w:rPr>
          <w:rFonts w:asciiTheme="minorHAnsi" w:hAnsiTheme="minorHAnsi" w:cstheme="minorHAnsi"/>
          <w:noProof/>
          <w:sz w:val="22"/>
          <w:szCs w:val="22"/>
        </w:rPr>
        <w:t>20</w:t>
      </w:r>
      <w:r w:rsidRPr="006557CA">
        <w:rPr>
          <w:rFonts w:asciiTheme="minorHAnsi" w:hAnsiTheme="minorHAnsi" w:cstheme="minorHAnsi"/>
          <w:noProof/>
          <w:sz w:val="22"/>
          <w:szCs w:val="22"/>
        </w:rPr>
        <w:t xml:space="preserve"> r.</w:t>
      </w:r>
    </w:p>
    <w:p w:rsidR="00716E41" w:rsidRDefault="00716E41" w:rsidP="000B367E">
      <w:pPr>
        <w:tabs>
          <w:tab w:val="right" w:pos="10206"/>
        </w:tabs>
        <w:ind w:left="426" w:right="283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KL/364/259/AZ/2020</w:t>
      </w:r>
    </w:p>
    <w:p w:rsidR="00716E41" w:rsidRPr="00F62EC1" w:rsidRDefault="00716E41" w:rsidP="000B367E">
      <w:pPr>
        <w:tabs>
          <w:tab w:val="right" w:pos="10206"/>
        </w:tabs>
        <w:ind w:left="426" w:right="283"/>
        <w:rPr>
          <w:rFonts w:asciiTheme="minorHAnsi" w:hAnsiTheme="minorHAnsi" w:cstheme="minorHAnsi"/>
          <w:noProof/>
          <w:sz w:val="22"/>
          <w:szCs w:val="22"/>
        </w:rPr>
      </w:pPr>
    </w:p>
    <w:p w:rsidR="00716E41" w:rsidRPr="00464FB9" w:rsidRDefault="00716E41" w:rsidP="000B367E">
      <w:pPr>
        <w:spacing w:line="288" w:lineRule="auto"/>
        <w:ind w:left="426" w:right="283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64FB9">
        <w:rPr>
          <w:rFonts w:ascii="Calibri" w:hAnsi="Calibri" w:cs="Calibri"/>
          <w:bCs/>
          <w:color w:val="000000"/>
          <w:sz w:val="22"/>
          <w:szCs w:val="22"/>
        </w:rPr>
        <w:t xml:space="preserve">Pan </w:t>
      </w:r>
    </w:p>
    <w:p w:rsidR="00716E41" w:rsidRPr="00414EC1" w:rsidRDefault="00716E41" w:rsidP="000B367E">
      <w:pPr>
        <w:spacing w:line="288" w:lineRule="auto"/>
        <w:ind w:left="426" w:right="2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Piotr Nowak</w:t>
      </w:r>
    </w:p>
    <w:p w:rsidR="00716E41" w:rsidRDefault="00716E41" w:rsidP="000B367E">
      <w:pPr>
        <w:spacing w:line="288" w:lineRule="auto"/>
        <w:ind w:left="426" w:right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Podsekretarz Stanu </w:t>
      </w:r>
    </w:p>
    <w:p w:rsidR="00716E41" w:rsidRDefault="00716E41" w:rsidP="000B367E">
      <w:pPr>
        <w:spacing w:line="288" w:lineRule="auto"/>
        <w:ind w:left="426" w:righ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464FB9">
        <w:rPr>
          <w:rFonts w:ascii="Calibri" w:hAnsi="Calibri" w:cs="Calibri"/>
          <w:color w:val="000000"/>
          <w:sz w:val="22"/>
          <w:szCs w:val="22"/>
        </w:rPr>
        <w:t xml:space="preserve">Ministerstwo Finansów </w:t>
      </w:r>
    </w:p>
    <w:p w:rsidR="00464FB9" w:rsidRPr="00464FB9" w:rsidRDefault="00464FB9" w:rsidP="000B367E">
      <w:pPr>
        <w:spacing w:line="288" w:lineRule="auto"/>
        <w:ind w:left="426" w:right="283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464FB9" w:rsidRPr="00464FB9" w:rsidRDefault="00464FB9" w:rsidP="000B367E">
      <w:pPr>
        <w:spacing w:line="288" w:lineRule="auto"/>
        <w:ind w:left="426" w:right="283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464FB9">
        <w:rPr>
          <w:rFonts w:ascii="Calibri" w:hAnsi="Calibri" w:cs="Calibri"/>
          <w:i/>
          <w:color w:val="000000"/>
          <w:sz w:val="22"/>
          <w:szCs w:val="22"/>
        </w:rPr>
        <w:t>Szanowny Panie Ministrze,</w:t>
      </w:r>
    </w:p>
    <w:p w:rsidR="00716E41" w:rsidRPr="00EE2401" w:rsidRDefault="00716E41" w:rsidP="000B367E">
      <w:pPr>
        <w:spacing w:line="288" w:lineRule="auto"/>
        <w:ind w:left="426" w:right="28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16E41" w:rsidRPr="006557CA" w:rsidRDefault="00716E41" w:rsidP="000B367E">
      <w:pPr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konsultacjami społecznymi w sprawie p</w:t>
      </w:r>
      <w:r w:rsidRPr="00D02632">
        <w:rPr>
          <w:rFonts w:asciiTheme="minorHAnsi" w:hAnsiTheme="minorHAnsi" w:cstheme="minorHAnsi"/>
          <w:sz w:val="22"/>
          <w:szCs w:val="22"/>
        </w:rPr>
        <w:t>rojekt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2632">
        <w:rPr>
          <w:rFonts w:asciiTheme="minorHAnsi" w:hAnsiTheme="minorHAnsi" w:cstheme="minorHAnsi"/>
          <w:sz w:val="22"/>
          <w:szCs w:val="22"/>
        </w:rPr>
        <w:t xml:space="preserve"> ustawy o zmianie ustawy o obligacjach </w:t>
      </w:r>
      <w:r>
        <w:rPr>
          <w:rFonts w:asciiTheme="minorHAnsi" w:hAnsiTheme="minorHAnsi" w:cstheme="minorHAnsi"/>
          <w:sz w:val="22"/>
          <w:szCs w:val="22"/>
        </w:rPr>
        <w:br/>
      </w:r>
      <w:r w:rsidRPr="00D02632">
        <w:rPr>
          <w:rFonts w:asciiTheme="minorHAnsi" w:hAnsiTheme="minorHAnsi" w:cstheme="minorHAnsi"/>
          <w:sz w:val="22"/>
          <w:szCs w:val="22"/>
        </w:rPr>
        <w:t>oraz niektórych innych ustaw</w:t>
      </w:r>
      <w:r>
        <w:rPr>
          <w:rFonts w:asciiTheme="minorHAnsi" w:hAnsiTheme="minorHAnsi" w:cstheme="minorHAnsi"/>
          <w:sz w:val="22"/>
          <w:szCs w:val="22"/>
        </w:rPr>
        <w:t xml:space="preserve"> (numer z wykazu UC32), Konfederacja Lewiatan przedstawia </w:t>
      </w:r>
      <w:bookmarkStart w:id="0" w:name="_Hlk38369998"/>
      <w:r>
        <w:rPr>
          <w:rFonts w:asciiTheme="minorHAnsi" w:hAnsiTheme="minorHAnsi" w:cstheme="minorHAnsi"/>
          <w:sz w:val="22"/>
          <w:szCs w:val="22"/>
        </w:rPr>
        <w:t xml:space="preserve">poniższe stanowisko.  </w:t>
      </w:r>
    </w:p>
    <w:p w:rsidR="00716E41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716E41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  <w:r w:rsidRPr="000430F5">
        <w:rPr>
          <w:rFonts w:asciiTheme="minorHAnsi" w:hAnsiTheme="minorHAnsi" w:cstheme="minorHAnsi"/>
          <w:sz w:val="22"/>
          <w:szCs w:val="22"/>
        </w:rPr>
        <w:t xml:space="preserve">Uprzejmie proszę o zapoznanie się ze stanowiskiem oraz o </w:t>
      </w:r>
      <w:r>
        <w:rPr>
          <w:rFonts w:asciiTheme="minorHAnsi" w:hAnsiTheme="minorHAnsi" w:cstheme="minorHAnsi"/>
          <w:sz w:val="22"/>
          <w:szCs w:val="22"/>
        </w:rPr>
        <w:t xml:space="preserve">rozważenie uwzględnienia zawartych w nim uwag w toku prac nad wskazanymi rozwiązaniami legislacyjnymi. </w:t>
      </w:r>
    </w:p>
    <w:p w:rsidR="00716E41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716E41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716E41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716E41" w:rsidRPr="006557CA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  <w:r w:rsidRPr="006557CA">
        <w:rPr>
          <w:rFonts w:asciiTheme="minorHAnsi" w:hAnsiTheme="minorHAnsi" w:cstheme="minorHAnsi"/>
          <w:sz w:val="22"/>
          <w:szCs w:val="22"/>
        </w:rPr>
        <w:t>Z poważaniem,</w:t>
      </w:r>
    </w:p>
    <w:p w:rsidR="00716E41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464FB9" w:rsidRPr="006557CA" w:rsidRDefault="00464FB9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716E41" w:rsidRPr="006557CA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Maciej Witucki</w:t>
      </w:r>
    </w:p>
    <w:p w:rsidR="00716E41" w:rsidRPr="006557CA" w:rsidRDefault="00716E41" w:rsidP="000B367E">
      <w:pPr>
        <w:tabs>
          <w:tab w:val="right" w:pos="10206"/>
        </w:tabs>
        <w:spacing w:line="320" w:lineRule="atLeast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  <w:r w:rsidRPr="006557CA">
        <w:rPr>
          <w:rFonts w:asciiTheme="minorHAnsi" w:hAnsiTheme="minorHAnsi" w:cstheme="minorHAnsi"/>
          <w:sz w:val="22"/>
          <w:szCs w:val="22"/>
        </w:rPr>
        <w:t>Prezydent Konfederacji Lewiatan</w:t>
      </w:r>
    </w:p>
    <w:p w:rsidR="00716E41" w:rsidRDefault="00716E41" w:rsidP="000B367E">
      <w:pPr>
        <w:ind w:left="426" w:right="283"/>
        <w:jc w:val="both"/>
        <w:outlineLvl w:val="1"/>
        <w:rPr>
          <w:rFonts w:ascii="Tahoma" w:hAnsi="Tahoma" w:cs="Tahoma"/>
          <w:b/>
          <w:color w:val="000000"/>
          <w:sz w:val="22"/>
          <w:szCs w:val="22"/>
        </w:rPr>
      </w:pPr>
    </w:p>
    <w:p w:rsidR="00716E41" w:rsidRDefault="00716E41" w:rsidP="000B367E">
      <w:pPr>
        <w:tabs>
          <w:tab w:val="right" w:pos="10206"/>
        </w:tabs>
        <w:spacing w:after="120" w:line="276" w:lineRule="auto"/>
        <w:ind w:left="426" w:right="283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</w:p>
    <w:p w:rsidR="00464FB9" w:rsidRDefault="00464FB9" w:rsidP="000B367E">
      <w:pPr>
        <w:tabs>
          <w:tab w:val="right" w:pos="10206"/>
        </w:tabs>
        <w:spacing w:after="120" w:line="276" w:lineRule="auto"/>
        <w:ind w:left="426" w:right="283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</w:p>
    <w:p w:rsidR="00464FB9" w:rsidRDefault="00464FB9" w:rsidP="000B367E">
      <w:pPr>
        <w:tabs>
          <w:tab w:val="right" w:pos="10206"/>
        </w:tabs>
        <w:spacing w:after="120" w:line="276" w:lineRule="auto"/>
        <w:ind w:left="426" w:right="283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</w:p>
    <w:p w:rsidR="00464FB9" w:rsidRDefault="00464FB9" w:rsidP="000B367E">
      <w:pPr>
        <w:tabs>
          <w:tab w:val="right" w:pos="10206"/>
        </w:tabs>
        <w:spacing w:after="120" w:line="276" w:lineRule="auto"/>
        <w:ind w:left="426" w:right="283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</w:p>
    <w:p w:rsidR="00716E41" w:rsidRDefault="00716E41" w:rsidP="000B367E">
      <w:pPr>
        <w:tabs>
          <w:tab w:val="right" w:pos="10206"/>
        </w:tabs>
        <w:spacing w:after="120" w:line="276" w:lineRule="auto"/>
        <w:ind w:left="426" w:right="283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</w:p>
    <w:p w:rsidR="00464FB9" w:rsidRDefault="00716E41" w:rsidP="000B367E">
      <w:pPr>
        <w:ind w:left="426" w:right="283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  <w:r w:rsidRPr="00464FB9">
        <w:rPr>
          <w:rFonts w:asciiTheme="minorHAnsi" w:eastAsia="Calibri" w:hAnsiTheme="minorHAnsi" w:cstheme="minorHAnsi"/>
          <w:sz w:val="22"/>
          <w:szCs w:val="22"/>
          <w:u w:val="single"/>
          <w:bdr w:val="nil"/>
        </w:rPr>
        <w:t>W załączeniu:</w:t>
      </w:r>
      <w:r w:rsidRP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 xml:space="preserve"> </w:t>
      </w:r>
      <w:bookmarkStart w:id="1" w:name="_Hlk47081590"/>
    </w:p>
    <w:p w:rsidR="00716E41" w:rsidRPr="00464FB9" w:rsidRDefault="00716E41" w:rsidP="000B367E">
      <w:pPr>
        <w:ind w:left="426" w:right="283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  <w:r w:rsidRP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>Stanowisko Konfederacji Lewiatan dotyczące projektu ustawy o zmianie ustawy o obligacjach oraz niektórych innych ustaw</w:t>
      </w:r>
      <w:bookmarkEnd w:id="1"/>
      <w:r w:rsid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>.</w:t>
      </w:r>
    </w:p>
    <w:p w:rsidR="00716E41" w:rsidRPr="00464FB9" w:rsidRDefault="00716E41" w:rsidP="000B367E">
      <w:pPr>
        <w:ind w:left="426" w:right="283"/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</w:pPr>
      <w:r w:rsidRP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>Stanowisko Konfederacji Lewiatan dotyczące projektu ustawy o zm</w:t>
      </w:r>
      <w:r w:rsidR="00464FB9" w:rsidRP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 xml:space="preserve">ianie ustawy o obligacjach </w:t>
      </w:r>
      <w:r w:rsidR="00464FB9" w:rsidRP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br/>
        <w:t xml:space="preserve">oraz </w:t>
      </w:r>
      <w:r w:rsidRP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>niektórych innych ustaw (dalej jaklo ,,Projekt”)</w:t>
      </w:r>
      <w:r w:rsidR="00464FB9">
        <w:rPr>
          <w:rFonts w:asciiTheme="minorHAnsi" w:eastAsia="Calibri" w:hAnsiTheme="minorHAnsi" w:cstheme="minorHAnsi"/>
          <w:sz w:val="22"/>
          <w:szCs w:val="22"/>
          <w:u w:color="000000"/>
          <w:bdr w:val="nil"/>
        </w:rPr>
        <w:t>.</w:t>
      </w:r>
    </w:p>
    <w:p w:rsidR="00716E41" w:rsidRDefault="00716E41" w:rsidP="000B367E">
      <w:pPr>
        <w:pStyle w:val="Bezodstpw"/>
        <w:ind w:right="283"/>
        <w:rPr>
          <w:rFonts w:eastAsia="Calibri"/>
          <w:u w:color="000000"/>
          <w:bdr w:val="nil"/>
        </w:rPr>
      </w:pPr>
    </w:p>
    <w:p w:rsidR="00464FB9" w:rsidRPr="00464FB9" w:rsidRDefault="00464FB9" w:rsidP="000B367E">
      <w:pPr>
        <w:ind w:left="426" w:right="283"/>
        <w:jc w:val="center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  <w:bookmarkStart w:id="2" w:name="_Hlk39141007"/>
      <w:r w:rsidRPr="00464FB9"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  <w:t>Stanowisko Konfederacji Lewiatan dotyczące projektu ustawy o zmianie ustawy o obligacjach oraz niektórych innych ustaw.</w:t>
      </w:r>
    </w:p>
    <w:p w:rsidR="00464FB9" w:rsidRPr="00464FB9" w:rsidRDefault="00464FB9" w:rsidP="000B367E">
      <w:pPr>
        <w:ind w:left="426" w:right="283"/>
        <w:jc w:val="center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  <w:r w:rsidRPr="00464FB9"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  <w:t xml:space="preserve">Stanowisko Konfederacji Lewiatan dotyczące projektu ustawy o zmianie ustawy o obligacjach </w:t>
      </w:r>
      <w:r w:rsidRPr="00464FB9"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  <w:br/>
        <w:t>oraz niektórych innych ustaw (dalej jaklo ,,Projekt”).</w:t>
      </w:r>
      <w:r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  <w:br/>
      </w:r>
    </w:p>
    <w:p w:rsidR="00716E41" w:rsidRDefault="00716E41" w:rsidP="000B367E">
      <w:pPr>
        <w:ind w:left="851" w:right="283"/>
        <w:rPr>
          <w:rFonts w:asciiTheme="minorHAnsi" w:eastAsia="Calibri" w:hAnsiTheme="minorHAnsi" w:cstheme="minorHAnsi"/>
          <w:b/>
          <w:sz w:val="22"/>
          <w:szCs w:val="22"/>
          <w:u w:color="000000"/>
          <w:bdr w:val="nil"/>
        </w:rPr>
      </w:pPr>
    </w:p>
    <w:bookmarkEnd w:id="2"/>
    <w:p w:rsidR="00716E41" w:rsidRDefault="00716E41" w:rsidP="000B367E">
      <w:pPr>
        <w:pStyle w:val="Akapitzlist"/>
        <w:numPr>
          <w:ilvl w:val="0"/>
          <w:numId w:val="1"/>
        </w:numPr>
        <w:ind w:left="851" w:right="283"/>
        <w:jc w:val="both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  <w:r w:rsidRPr="0001498D">
        <w:rPr>
          <w:rFonts w:asciiTheme="minorHAnsi" w:eastAsia="Calibri" w:hAnsiTheme="minorHAnsi" w:cstheme="minorHAnsi"/>
          <w:b/>
          <w:sz w:val="22"/>
          <w:u w:val="single"/>
          <w:bdr w:val="nil"/>
        </w:rPr>
        <w:t>Art. 1 pkt 3 Projektu dotyczący pr</w:t>
      </w:r>
      <w:r>
        <w:rPr>
          <w:rFonts w:asciiTheme="minorHAnsi" w:eastAsia="Calibri" w:hAnsiTheme="minorHAnsi" w:cstheme="minorHAnsi"/>
          <w:b/>
          <w:sz w:val="22"/>
          <w:u w:val="single"/>
          <w:bdr w:val="nil"/>
        </w:rPr>
        <w:t>ojektowanego</w:t>
      </w:r>
      <w:r w:rsidRPr="0001498D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</w:t>
      </w:r>
      <w:bookmarkStart w:id="3" w:name="_Hlk47086863"/>
      <w:r w:rsidRPr="0001498D">
        <w:rPr>
          <w:rFonts w:asciiTheme="minorHAnsi" w:eastAsia="Calibri" w:hAnsiTheme="minorHAnsi" w:cstheme="minorHAnsi"/>
          <w:b/>
          <w:sz w:val="22"/>
          <w:u w:val="single"/>
          <w:bdr w:val="nil"/>
        </w:rPr>
        <w:t>art. 77</w:t>
      </w:r>
      <w:r>
        <w:rPr>
          <w:rFonts w:asciiTheme="minorHAnsi" w:eastAsia="Calibri" w:hAnsiTheme="minorHAnsi" w:cstheme="minorHAnsi"/>
          <w:b/>
          <w:sz w:val="22"/>
          <w:u w:val="single"/>
          <w:bdr w:val="nil"/>
        </w:rPr>
        <w:t>c</w:t>
      </w:r>
      <w:r w:rsidRPr="0001498D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u w:val="single"/>
          <w:bdr w:val="nil"/>
        </w:rPr>
        <w:t>ust. 1</w:t>
      </w:r>
      <w:r w:rsidRPr="0001498D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</w:t>
      </w:r>
      <w:bookmarkStart w:id="4" w:name="_Hlk47090027"/>
      <w:r w:rsidRPr="0001498D">
        <w:rPr>
          <w:rFonts w:asciiTheme="minorHAnsi" w:eastAsia="Calibri" w:hAnsiTheme="minorHAnsi" w:cstheme="minorHAnsi"/>
          <w:b/>
          <w:sz w:val="22"/>
          <w:u w:val="single"/>
          <w:bdr w:val="nil"/>
        </w:rPr>
        <w:t>ustawy o obligacjach</w:t>
      </w:r>
      <w:bookmarkEnd w:id="3"/>
      <w:bookmarkEnd w:id="4"/>
      <w:r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oraz art. 2 pkt 3 Projektu dotyczący projektowanego art. 127c ust. 1 </w:t>
      </w:r>
      <w:r w:rsidRPr="00A64996">
        <w:rPr>
          <w:rFonts w:asciiTheme="minorHAnsi" w:eastAsia="Calibri" w:hAnsiTheme="minorHAnsi" w:cstheme="minorHAnsi"/>
          <w:b/>
          <w:sz w:val="22"/>
          <w:u w:val="single"/>
          <w:bdr w:val="nil"/>
        </w:rPr>
        <w:t>prawa bankowego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  <w:bookmarkStart w:id="5" w:name="_Hlk47089579"/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 xml:space="preserve">Proponowana następująca zmiana </w:t>
      </w:r>
      <w:r w:rsidRPr="00DB17CD">
        <w:rPr>
          <w:rFonts w:asciiTheme="minorHAnsi" w:eastAsia="Calibri" w:hAnsiTheme="minorHAnsi" w:cstheme="minorHAnsi"/>
          <w:bCs/>
          <w:sz w:val="22"/>
          <w:bdr w:val="nil"/>
        </w:rPr>
        <w:t>art. 77c ust. 1 ustawy o obligacjach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: </w:t>
      </w:r>
    </w:p>
    <w:bookmarkEnd w:id="5"/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  <w:r w:rsidRPr="00A21BE9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lastRenderedPageBreak/>
        <w:t xml:space="preserve">Art. 77c. 1. Obligacje kapitałowe mogą być oferowane wyłącznie klientom profesjonalnym </w:t>
      </w:r>
      <w:r w:rsidR="000B367E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br/>
      </w:r>
      <w:r w:rsidRPr="00A21BE9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w rozumieniu art. 3 pkt 39b lit a)-n) ustawy o obrocie instrumentami finansowymi.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</w:p>
    <w:p w:rsidR="00716E41" w:rsidRPr="00A64996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  <w:r w:rsidRPr="00A64996">
        <w:rPr>
          <w:rFonts w:asciiTheme="minorHAnsi" w:eastAsia="Calibri" w:hAnsiTheme="minorHAnsi" w:cstheme="minorHAnsi"/>
          <w:bCs/>
          <w:sz w:val="22"/>
          <w:bdr w:val="nil"/>
        </w:rPr>
        <w:t>Proponowana następująca zmiana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 </w:t>
      </w:r>
      <w:r w:rsidRPr="00A64996">
        <w:rPr>
          <w:rFonts w:asciiTheme="minorHAnsi" w:eastAsia="Calibri" w:hAnsiTheme="minorHAnsi" w:cstheme="minorHAnsi"/>
          <w:bCs/>
          <w:sz w:val="22"/>
          <w:bdr w:val="nil"/>
        </w:rPr>
        <w:t>art. 127c ust. 1 prawa bankowego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: 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  <w:r w:rsidRPr="00A6499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Art. 127c. 1. Bank może zawrzeć umowę pożyczki podporządkowanej w celu jej zakwalifikowania jako instrument dodatkowy w </w:t>
      </w:r>
      <w:proofErr w:type="spellStart"/>
      <w:r w:rsidRPr="00A6499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Tier</w:t>
      </w:r>
      <w:proofErr w:type="spellEnd"/>
      <w:r w:rsidRPr="00A6499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 I wyłącznie z podmiotem wskazanym w art. 3 pkt 39b lit a)-n) ustawy o obrocie instrumentami finansowym, jako klient profesjonalny (udzielający pożyczki).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 xml:space="preserve">Proponowane zmiany pozwalają określić krąg podmiotów zgodnie z uzasadnieniem Projektu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br/>
      </w:r>
      <w:r>
        <w:rPr>
          <w:rFonts w:asciiTheme="minorHAnsi" w:eastAsia="Calibri" w:hAnsiTheme="minorHAnsi" w:cstheme="minorHAnsi"/>
          <w:bCs/>
          <w:sz w:val="22"/>
          <w:bdr w:val="nil"/>
        </w:rPr>
        <w:t>tj. ograniczyć go do klientów profesjonalnych</w:t>
      </w:r>
      <w:r w:rsidR="00F7346E">
        <w:rPr>
          <w:rFonts w:asciiTheme="minorHAnsi" w:eastAsia="Calibri" w:hAnsiTheme="minorHAnsi" w:cstheme="minorHAnsi"/>
          <w:bCs/>
          <w:sz w:val="22"/>
          <w:bdr w:val="nil"/>
        </w:rPr>
        <w:t>,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 gdyż ,,</w:t>
      </w:r>
      <w:r w:rsidRPr="00865CF5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Obligacja kapitałowa jest instrumentem złożonym i wymaga profesjonalnej wiedzy inwestycyjnej, w tym oceny ryzyka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”. Wskazany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br/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w Projekcie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t>art. 77c ust.1</w:t>
      </w:r>
      <w:r w:rsidRPr="00865CF5">
        <w:rPr>
          <w:rFonts w:asciiTheme="minorHAnsi" w:eastAsia="Calibri" w:hAnsiTheme="minorHAnsi" w:cstheme="minorHAnsi"/>
          <w:bCs/>
          <w:sz w:val="22"/>
          <w:bdr w:val="nil"/>
        </w:rPr>
        <w:t>ustawy o obligacjach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 wskazuje na </w:t>
      </w:r>
      <w:r w:rsidRPr="00865CF5">
        <w:rPr>
          <w:rFonts w:asciiTheme="minorHAnsi" w:eastAsia="Calibri" w:hAnsiTheme="minorHAnsi" w:cstheme="minorHAnsi"/>
          <w:bCs/>
          <w:sz w:val="22"/>
          <w:bdr w:val="nil"/>
        </w:rPr>
        <w:t>art. 3 pkt 39c ustawy o obrocie instrumentami finansowymi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, czyli klienta detalicznego. 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</w:p>
    <w:p w:rsidR="00716E41" w:rsidRDefault="00716E41" w:rsidP="000B367E">
      <w:pPr>
        <w:pStyle w:val="Akapitzlist"/>
        <w:numPr>
          <w:ilvl w:val="0"/>
          <w:numId w:val="1"/>
        </w:numPr>
        <w:ind w:left="851" w:right="283"/>
        <w:jc w:val="both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  <w:bookmarkStart w:id="6" w:name="_Hlk47092325"/>
      <w:r w:rsidRPr="00DB17CD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Art. 2 pkt 1 Projektu dotyczący projektowanego art. 25 w ust. 4 pkt 3 prawa bankowego </w:t>
      </w:r>
    </w:p>
    <w:bookmarkEnd w:id="6"/>
    <w:p w:rsidR="00716E41" w:rsidRPr="00DB17CD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lastRenderedPageBreak/>
        <w:t xml:space="preserve">Proponowana następująca zmiana </w:t>
      </w:r>
      <w:r w:rsidRPr="00DB17CD">
        <w:rPr>
          <w:rFonts w:asciiTheme="minorHAnsi" w:eastAsia="Calibri" w:hAnsiTheme="minorHAnsi" w:cstheme="minorHAnsi"/>
          <w:bCs/>
          <w:sz w:val="22"/>
          <w:bdr w:val="nil"/>
        </w:rPr>
        <w:t>art. 25 w ust. 4 pkt 3 prawa bankowego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: 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  <w:r w:rsidRPr="00DB17CD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3) podmiotu, który otrzymał akcje banku w wyniku zamiany instrumentów kapitałowych zakwalifikowanych jako instrumenty dodatkowe w </w:t>
      </w:r>
      <w:proofErr w:type="spellStart"/>
      <w:r w:rsidRPr="00DB17CD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Tier</w:t>
      </w:r>
      <w:proofErr w:type="spellEnd"/>
      <w:r w:rsidRPr="00DB17CD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 I, przy czym obowiązek zawiadomienia Komisji Nadzoru Finansowego powstaje w takim przypadku niezwłocznie po powzięciu przez taki podmiot informacji o zamianie instrumentów kapitałowych na akcje banku.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</w:p>
    <w:p w:rsidR="00464FB9" w:rsidRPr="000B367E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 xml:space="preserve">Proponowana zmiana wynika z faktu, że zamiana obligacji kapitałowych na akcje może mieć źródło </w:t>
      </w:r>
      <w:r>
        <w:rPr>
          <w:rFonts w:asciiTheme="minorHAnsi" w:eastAsia="Calibri" w:hAnsiTheme="minorHAnsi" w:cstheme="minorHAnsi"/>
          <w:bCs/>
          <w:sz w:val="22"/>
          <w:bdr w:val="nil"/>
        </w:rPr>
        <w:br/>
        <w:t xml:space="preserve">w czynnikach zewnętrznych wobec obligatariusza (proponowany w Projekcie art. 77i </w:t>
      </w:r>
      <w:r w:rsidRPr="00DB17CD">
        <w:rPr>
          <w:rFonts w:asciiTheme="minorHAnsi" w:eastAsia="Calibri" w:hAnsiTheme="minorHAnsi" w:cstheme="minorHAnsi"/>
          <w:bCs/>
          <w:sz w:val="22"/>
          <w:bdr w:val="nil"/>
        </w:rPr>
        <w:t xml:space="preserve">ustawy </w:t>
      </w:r>
      <w:r>
        <w:rPr>
          <w:rFonts w:asciiTheme="minorHAnsi" w:eastAsia="Calibri" w:hAnsiTheme="minorHAnsi" w:cstheme="minorHAnsi"/>
          <w:bCs/>
          <w:sz w:val="22"/>
          <w:bdr w:val="nil"/>
        </w:rPr>
        <w:br/>
      </w:r>
      <w:r w:rsidRPr="00DB17CD">
        <w:rPr>
          <w:rFonts w:asciiTheme="minorHAnsi" w:eastAsia="Calibri" w:hAnsiTheme="minorHAnsi" w:cstheme="minorHAnsi"/>
          <w:bCs/>
          <w:sz w:val="22"/>
          <w:bdr w:val="nil"/>
        </w:rPr>
        <w:t>o obligacjach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), które z zasady powinny mieć charakter automatyczny. Tym samym zamiana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br/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ta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t xml:space="preserve">co do zasady nie jest zależna od intencji, a przy tym wiedzy obligatariusza. </w:t>
      </w:r>
      <w:r w:rsidR="000B367E" w:rsidRPr="007A2919">
        <w:rPr>
          <w:rFonts w:asciiTheme="minorHAnsi" w:eastAsia="Calibri" w:hAnsiTheme="minorHAnsi" w:cstheme="minorHAnsi"/>
          <w:bCs/>
          <w:sz w:val="22"/>
          <w:bdr w:val="nil"/>
        </w:rPr>
        <w:t>W t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t xml:space="preserve">ym kontekście, należy rozważyć, </w:t>
      </w:r>
      <w:r w:rsidR="000B367E" w:rsidRPr="007A2919">
        <w:rPr>
          <w:rFonts w:asciiTheme="minorHAnsi" w:eastAsia="Calibri" w:hAnsiTheme="minorHAnsi" w:cstheme="minorHAnsi"/>
          <w:bCs/>
          <w:sz w:val="22"/>
          <w:bdr w:val="nil"/>
        </w:rPr>
        <w:t xml:space="preserve">czy w ogóle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t xml:space="preserve">należy zmieniać </w:t>
      </w:r>
      <w:r w:rsidR="000B367E" w:rsidRPr="007A2919">
        <w:rPr>
          <w:rFonts w:asciiTheme="minorHAnsi" w:eastAsia="Calibri" w:hAnsiTheme="minorHAnsi" w:cstheme="minorHAnsi"/>
          <w:bCs/>
          <w:sz w:val="22"/>
          <w:bdr w:val="nil"/>
        </w:rPr>
        <w:t xml:space="preserve">art. 25 ust. 4 prawa bankowego, a jeżeli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br/>
      </w:r>
      <w:r w:rsidR="00F7346E">
        <w:rPr>
          <w:rFonts w:asciiTheme="minorHAnsi" w:eastAsia="Calibri" w:hAnsiTheme="minorHAnsi" w:cstheme="minorHAnsi"/>
          <w:bCs/>
          <w:sz w:val="22"/>
          <w:bdr w:val="nil"/>
        </w:rPr>
        <w:t xml:space="preserve">tak,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t xml:space="preserve">to </w:t>
      </w:r>
      <w:r w:rsidR="000B367E" w:rsidRPr="007A2919">
        <w:rPr>
          <w:rFonts w:asciiTheme="minorHAnsi" w:eastAsia="Calibri" w:hAnsiTheme="minorHAnsi" w:cstheme="minorHAnsi"/>
          <w:bCs/>
          <w:sz w:val="22"/>
          <w:bdr w:val="nil"/>
        </w:rPr>
        <w:t>czy</w:t>
      </w:r>
      <w:r w:rsidR="00AE5887" w:rsidRPr="00AE5887">
        <w:rPr>
          <w:rFonts w:asciiTheme="minorHAnsi" w:eastAsia="Calibri" w:hAnsiTheme="minorHAnsi" w:cstheme="minorHAnsi"/>
          <w:bCs/>
          <w:sz w:val="22"/>
          <w:bdr w:val="nil"/>
        </w:rPr>
        <w:t xml:space="preserve"> </w:t>
      </w:r>
      <w:r w:rsidR="00AE5887">
        <w:rPr>
          <w:rFonts w:asciiTheme="minorHAnsi" w:eastAsia="Calibri" w:hAnsiTheme="minorHAnsi" w:cstheme="minorHAnsi"/>
          <w:bCs/>
          <w:sz w:val="22"/>
          <w:bdr w:val="nil"/>
        </w:rPr>
        <w:t xml:space="preserve">analogiczne doprecyzowanie nie powinno zostać ujęte w art. 25r prawa </w:t>
      </w:r>
      <w:r w:rsidR="00AE5887" w:rsidRPr="007A2919">
        <w:rPr>
          <w:rFonts w:asciiTheme="minorHAnsi" w:eastAsia="Calibri" w:hAnsiTheme="minorHAnsi" w:cstheme="minorHAnsi"/>
          <w:bCs/>
          <w:sz w:val="22"/>
          <w:bdr w:val="nil"/>
        </w:rPr>
        <w:t>bankowego.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br/>
      </w:r>
    </w:p>
    <w:p w:rsidR="00464FB9" w:rsidRDefault="00464FB9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</w:p>
    <w:p w:rsidR="00716E41" w:rsidRPr="00464FB9" w:rsidRDefault="00716E41" w:rsidP="000B367E">
      <w:pPr>
        <w:pStyle w:val="Akapitzlist"/>
        <w:numPr>
          <w:ilvl w:val="0"/>
          <w:numId w:val="1"/>
        </w:numPr>
        <w:ind w:left="851" w:right="283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  <w:bookmarkStart w:id="7" w:name="_Hlk47093636"/>
      <w:r w:rsidRPr="00A64996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Art. 2 pkt </w:t>
      </w:r>
      <w:r>
        <w:rPr>
          <w:rFonts w:asciiTheme="minorHAnsi" w:eastAsia="Calibri" w:hAnsiTheme="minorHAnsi" w:cstheme="minorHAnsi"/>
          <w:b/>
          <w:sz w:val="22"/>
          <w:u w:val="single"/>
          <w:bdr w:val="nil"/>
        </w:rPr>
        <w:t>3</w:t>
      </w:r>
      <w:r w:rsidRPr="00A64996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Projektu dotyczący projektowanego </w:t>
      </w:r>
      <w:bookmarkStart w:id="8" w:name="_Hlk47092419"/>
      <w:r w:rsidRPr="00A64996">
        <w:rPr>
          <w:rFonts w:asciiTheme="minorHAnsi" w:eastAsia="Calibri" w:hAnsiTheme="minorHAnsi" w:cstheme="minorHAnsi"/>
          <w:b/>
          <w:sz w:val="22"/>
          <w:u w:val="single"/>
          <w:bdr w:val="nil"/>
        </w:rPr>
        <w:t>art. 127a</w:t>
      </w:r>
      <w:r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ust. 1</w:t>
      </w:r>
      <w:r w:rsidRPr="00A64996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prawa bankowego </w:t>
      </w:r>
      <w:bookmarkEnd w:id="7"/>
      <w:bookmarkEnd w:id="8"/>
    </w:p>
    <w:p w:rsidR="00716E41" w:rsidRDefault="00716E41" w:rsidP="000B367E">
      <w:pPr>
        <w:pStyle w:val="Akapitzlist"/>
        <w:ind w:left="851" w:right="283"/>
        <w:rPr>
          <w:rFonts w:asciiTheme="minorHAnsi" w:eastAsia="Calibri" w:hAnsiTheme="minorHAnsi" w:cstheme="minorHAnsi"/>
          <w:bCs/>
          <w:sz w:val="22"/>
          <w:bdr w:val="nil"/>
        </w:rPr>
      </w:pPr>
    </w:p>
    <w:p w:rsidR="00716E41" w:rsidRDefault="00716E41" w:rsidP="000B367E">
      <w:pPr>
        <w:pStyle w:val="Akapitzlist"/>
        <w:ind w:left="851" w:right="283"/>
        <w:rPr>
          <w:rFonts w:asciiTheme="minorHAnsi" w:eastAsia="Calibri" w:hAnsiTheme="minorHAnsi" w:cstheme="minorHAnsi"/>
          <w:bCs/>
          <w:sz w:val="22"/>
          <w:bdr w:val="nil"/>
        </w:rPr>
      </w:pPr>
      <w:r w:rsidRPr="00A64996">
        <w:rPr>
          <w:rFonts w:asciiTheme="minorHAnsi" w:eastAsia="Calibri" w:hAnsiTheme="minorHAnsi" w:cstheme="minorHAnsi"/>
          <w:bCs/>
          <w:sz w:val="22"/>
          <w:bdr w:val="nil"/>
        </w:rPr>
        <w:lastRenderedPageBreak/>
        <w:t>Proponowana następująca zmiana art. 127a ust. 1 prawa bankowego</w:t>
      </w:r>
      <w:r>
        <w:rPr>
          <w:rFonts w:asciiTheme="minorHAnsi" w:eastAsia="Calibri" w:hAnsiTheme="minorHAnsi" w:cstheme="minorHAnsi"/>
          <w:bCs/>
          <w:sz w:val="22"/>
          <w:bdr w:val="nil"/>
        </w:rPr>
        <w:t>: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  <w:r w:rsidRPr="00A6499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Art. 127a. 1. Emisja instrumentów kapitałowych emitowanych w celu ich zakwalifikowania jako instrumenty dodatkowe w </w:t>
      </w:r>
      <w:proofErr w:type="spellStart"/>
      <w:r w:rsidRPr="00A6499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Tier</w:t>
      </w:r>
      <w:proofErr w:type="spellEnd"/>
      <w:r w:rsidRPr="00A6499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 I wymag</w:t>
      </w:r>
      <w:r w:rsidR="00F7346E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a uchwały walnego zgromadzenia </w:t>
      </w:r>
      <w:r w:rsidRPr="00A6499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banku podjętej większością trzech czwartych głosów, z zastrzeżeniem że w przypadku instrumentów kapitałowych, które przewidywać będą w warunkach emisji wyłącznie ich umorzenie w formie odpisu trwałego albo odpisu tymczasowego obniżającego wartość nominalną takiego instrumentu kapitałowego w całości lub w części, ich emisja wymagać będzie wyłącznie uchwały zarządu banku oraz wyrażania zgody przez radę nadzorczą banku.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>Proponuje się</w:t>
      </w:r>
      <w:r w:rsidRPr="00A64996">
        <w:rPr>
          <w:rFonts w:asciiTheme="minorHAnsi" w:eastAsia="Calibri" w:hAnsiTheme="minorHAnsi" w:cstheme="minorHAnsi"/>
          <w:bCs/>
          <w:sz w:val="22"/>
          <w:bdr w:val="nil"/>
        </w:rPr>
        <w:t xml:space="preserve"> ograniczenie konieczności uzyskania uchwały walnego zgromadzenia na emisję obligacji kapitałowych, które w warunkach emisji posiadać będą wyłącznie cechę umorzenia (bez zamiany na akcje). Takie rozwiązanie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 jest</w:t>
      </w:r>
      <w:r w:rsidRPr="00A64996">
        <w:rPr>
          <w:rFonts w:asciiTheme="minorHAnsi" w:eastAsia="Calibri" w:hAnsiTheme="minorHAnsi" w:cstheme="minorHAnsi"/>
          <w:bCs/>
          <w:sz w:val="22"/>
          <w:bdr w:val="nil"/>
        </w:rPr>
        <w:t xml:space="preserve"> spójne z obecnym uregulowaniem kodeksu spółek handlowych w zakresie emisji obligacji zamiennych (</w:t>
      </w:r>
      <w:r w:rsidRPr="0031786D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a contrario</w:t>
      </w:r>
      <w:r w:rsidRPr="00A64996">
        <w:rPr>
          <w:rFonts w:asciiTheme="minorHAnsi" w:eastAsia="Calibri" w:hAnsiTheme="minorHAnsi" w:cstheme="minorHAnsi"/>
          <w:bCs/>
          <w:sz w:val="22"/>
          <w:bdr w:val="nil"/>
        </w:rPr>
        <w:t xml:space="preserve">). </w:t>
      </w:r>
      <w:r>
        <w:rPr>
          <w:rFonts w:asciiTheme="minorHAnsi" w:eastAsia="Calibri" w:hAnsiTheme="minorHAnsi" w:cstheme="minorHAnsi"/>
          <w:bCs/>
          <w:sz w:val="22"/>
          <w:bdr w:val="nil"/>
        </w:rPr>
        <w:t>Proponowana zmiana zakłada</w:t>
      </w:r>
      <w:r w:rsidR="00F7346E">
        <w:rPr>
          <w:rFonts w:asciiTheme="minorHAnsi" w:eastAsia="Calibri" w:hAnsiTheme="minorHAnsi" w:cstheme="minorHAnsi"/>
          <w:bCs/>
          <w:sz w:val="22"/>
          <w:bdr w:val="nil"/>
        </w:rPr>
        <w:t>,</w:t>
      </w:r>
      <w:r w:rsidRPr="00A64996">
        <w:rPr>
          <w:rFonts w:asciiTheme="minorHAnsi" w:eastAsia="Calibri" w:hAnsiTheme="minorHAnsi" w:cstheme="minorHAnsi"/>
          <w:bCs/>
          <w:sz w:val="22"/>
          <w:bdr w:val="nil"/>
        </w:rPr>
        <w:t xml:space="preserve"> aby decyzje korporacyjne emitenta obligacji kapitałowych wyłącznie z cechą umorzenia podejmowane były w sposób analogiczny dla umowy pożyczki podporządkowanej.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</w:p>
    <w:p w:rsidR="00716E41" w:rsidRDefault="00716E41" w:rsidP="000B367E">
      <w:pPr>
        <w:pStyle w:val="Akapitzlist"/>
        <w:numPr>
          <w:ilvl w:val="0"/>
          <w:numId w:val="1"/>
        </w:numPr>
        <w:ind w:left="851" w:right="283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  <w:r w:rsidRPr="00DD3847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Art. 2 pkt 3 Projektu dotyczący projektowanego art. 127a ust. </w:t>
      </w:r>
      <w:r>
        <w:rPr>
          <w:rFonts w:asciiTheme="minorHAnsi" w:eastAsia="Calibri" w:hAnsiTheme="minorHAnsi" w:cstheme="minorHAnsi"/>
          <w:b/>
          <w:sz w:val="22"/>
          <w:u w:val="single"/>
          <w:bdr w:val="nil"/>
        </w:rPr>
        <w:t>2</w:t>
      </w:r>
      <w:r w:rsidRPr="00DD3847">
        <w:rPr>
          <w:rFonts w:asciiTheme="minorHAnsi" w:eastAsia="Calibri" w:hAnsiTheme="minorHAnsi" w:cstheme="minorHAnsi"/>
          <w:b/>
          <w:sz w:val="22"/>
          <w:u w:val="single"/>
          <w:bdr w:val="nil"/>
        </w:rPr>
        <w:t xml:space="preserve"> prawa bankowego </w:t>
      </w:r>
    </w:p>
    <w:p w:rsidR="00716E41" w:rsidRDefault="00716E41" w:rsidP="000B367E">
      <w:pPr>
        <w:pStyle w:val="Akapitzlist"/>
        <w:ind w:left="851" w:right="283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</w:p>
    <w:p w:rsidR="00716E41" w:rsidRDefault="00716E41" w:rsidP="000B367E">
      <w:pPr>
        <w:pStyle w:val="Akapitzlist"/>
        <w:ind w:left="851" w:right="283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 xml:space="preserve">Proponowana następująca zmiana art. </w:t>
      </w:r>
      <w:r w:rsidRPr="005268B6">
        <w:rPr>
          <w:rFonts w:asciiTheme="minorHAnsi" w:eastAsia="Calibri" w:hAnsiTheme="minorHAnsi" w:cstheme="minorHAnsi"/>
          <w:bCs/>
          <w:sz w:val="22"/>
          <w:bdr w:val="nil"/>
        </w:rPr>
        <w:t>127a ust. 2 prawa bankowego</w:t>
      </w:r>
      <w:r>
        <w:rPr>
          <w:rFonts w:asciiTheme="minorHAnsi" w:eastAsia="Calibri" w:hAnsiTheme="minorHAnsi" w:cstheme="minorHAnsi"/>
          <w:bCs/>
          <w:sz w:val="22"/>
          <w:bdr w:val="nil"/>
        </w:rPr>
        <w:t>:</w:t>
      </w:r>
    </w:p>
    <w:p w:rsidR="00AE5887" w:rsidRDefault="00716E41" w:rsidP="00AE5887">
      <w:pPr>
        <w:pStyle w:val="Akapitzlist"/>
        <w:ind w:left="851" w:right="283"/>
        <w:rPr>
          <w:rFonts w:asciiTheme="minorHAnsi" w:eastAsia="Calibri" w:hAnsiTheme="minorHAnsi" w:cstheme="minorHAnsi"/>
          <w:bCs/>
          <w:i/>
          <w:i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 xml:space="preserve">2. </w:t>
      </w:r>
      <w:r w:rsidRPr="005268B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 xml:space="preserve">Zaciągnięcie pożyczki podporządkowanej wymaga uchwały zarządu banku oraz wyrażenia przez radę nadzorczą banku zgody na zaciągnięcie pożyczki podporządkowanej w wysokości określonej </w:t>
      </w:r>
      <w:r w:rsidR="00AE5887" w:rsidRPr="005268B6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w uchwale zarządu</w:t>
      </w:r>
      <w:r w:rsidR="00F7346E">
        <w:rPr>
          <w:rFonts w:asciiTheme="minorHAnsi" w:eastAsia="Calibri" w:hAnsiTheme="minorHAnsi" w:cstheme="minorHAnsi"/>
          <w:bCs/>
          <w:i/>
          <w:iCs/>
          <w:sz w:val="22"/>
          <w:bdr w:val="nil"/>
        </w:rPr>
        <w:t>.</w:t>
      </w:r>
      <w:bookmarkStart w:id="9" w:name="_GoBack"/>
      <w:bookmarkEnd w:id="9"/>
    </w:p>
    <w:p w:rsidR="00716E41" w:rsidRDefault="00716E41" w:rsidP="000B367E">
      <w:pPr>
        <w:pStyle w:val="Akapitzlist"/>
        <w:ind w:left="851" w:right="283"/>
        <w:rPr>
          <w:rFonts w:asciiTheme="minorHAnsi" w:eastAsia="Calibri" w:hAnsiTheme="minorHAnsi" w:cstheme="minorHAnsi"/>
          <w:bCs/>
          <w:sz w:val="22"/>
          <w:bdr w:val="nil"/>
        </w:rPr>
      </w:pPr>
    </w:p>
    <w:p w:rsidR="00716E41" w:rsidRDefault="00716E41" w:rsidP="000B367E">
      <w:pPr>
        <w:pStyle w:val="Akapitzlist"/>
        <w:ind w:left="851" w:right="283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 xml:space="preserve">W stosunku do Projektu proponowana zmiana przyśpiesza regulowaną procedurę - redukuje możliwe dwie uchwały zarządu banku (o wyrażenie zgody na zaciągnięcie pożyczki podporządkowanej i dotyczącej zaciągnięcia pożyczki) do jednej. </w:t>
      </w:r>
    </w:p>
    <w:p w:rsidR="00716E41" w:rsidRPr="005268B6" w:rsidRDefault="00716E41" w:rsidP="000B367E">
      <w:pPr>
        <w:pStyle w:val="Akapitzlist"/>
        <w:ind w:left="851" w:right="283"/>
        <w:rPr>
          <w:rFonts w:asciiTheme="minorHAnsi" w:eastAsia="Calibri" w:hAnsiTheme="minorHAnsi" w:cstheme="minorHAnsi"/>
          <w:bCs/>
          <w:sz w:val="22"/>
          <w:bdr w:val="nil"/>
        </w:rPr>
      </w:pPr>
    </w:p>
    <w:p w:rsidR="00716E41" w:rsidRDefault="00716E41" w:rsidP="000B367E">
      <w:pPr>
        <w:pStyle w:val="Akapitzlist"/>
        <w:numPr>
          <w:ilvl w:val="0"/>
          <w:numId w:val="1"/>
        </w:numPr>
        <w:ind w:left="851" w:right="283"/>
        <w:jc w:val="both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  <w:r w:rsidRPr="007E1625">
        <w:rPr>
          <w:rFonts w:asciiTheme="minorHAnsi" w:eastAsia="Calibri" w:hAnsiTheme="minorHAnsi" w:cstheme="minorHAnsi"/>
          <w:b/>
          <w:sz w:val="22"/>
          <w:u w:val="single"/>
          <w:bdr w:val="nil"/>
        </w:rPr>
        <w:t>Art. 5 pkt 3 Projektu dotyczący projektowanych art. 7aa–7ae ustawy o obrocie instrumentami finansowymi</w:t>
      </w:r>
    </w:p>
    <w:p w:rsidR="00716E41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/>
          <w:sz w:val="22"/>
          <w:u w:val="single"/>
          <w:bdr w:val="nil"/>
        </w:rPr>
      </w:pPr>
    </w:p>
    <w:p w:rsidR="00716E41" w:rsidRPr="006D44AA" w:rsidRDefault="00716E41" w:rsidP="000B367E">
      <w:pPr>
        <w:pStyle w:val="Akapitzlist"/>
        <w:ind w:left="851" w:right="283"/>
        <w:jc w:val="both"/>
        <w:rPr>
          <w:rFonts w:asciiTheme="minorHAnsi" w:eastAsia="Calibri" w:hAnsiTheme="minorHAnsi" w:cstheme="minorHAnsi"/>
          <w:bCs/>
          <w:sz w:val="22"/>
          <w:bdr w:val="nil"/>
        </w:rPr>
      </w:pPr>
      <w:r>
        <w:rPr>
          <w:rFonts w:asciiTheme="minorHAnsi" w:eastAsia="Calibri" w:hAnsiTheme="minorHAnsi" w:cstheme="minorHAnsi"/>
          <w:bCs/>
          <w:sz w:val="22"/>
          <w:bdr w:val="nil"/>
        </w:rPr>
        <w:t xml:space="preserve">Wskazana regulacja została ograniczona do </w:t>
      </w:r>
      <w:r w:rsidRPr="00A52FE7">
        <w:rPr>
          <w:rFonts w:asciiTheme="minorHAnsi" w:eastAsia="Calibri" w:hAnsiTheme="minorHAnsi" w:cstheme="minorHAnsi"/>
          <w:bCs/>
          <w:sz w:val="22"/>
          <w:bdr w:val="nil"/>
        </w:rPr>
        <w:t xml:space="preserve">przypadku emitowania obligacji kapitałowych </w:t>
      </w:r>
      <w:r w:rsidR="000B367E">
        <w:rPr>
          <w:rFonts w:asciiTheme="minorHAnsi" w:eastAsia="Calibri" w:hAnsiTheme="minorHAnsi" w:cstheme="minorHAnsi"/>
          <w:bCs/>
          <w:sz w:val="22"/>
          <w:bdr w:val="nil"/>
        </w:rPr>
        <w:br/>
      </w:r>
      <w:r w:rsidRPr="00A52FE7">
        <w:rPr>
          <w:rFonts w:asciiTheme="minorHAnsi" w:eastAsia="Calibri" w:hAnsiTheme="minorHAnsi" w:cstheme="minorHAnsi"/>
          <w:bCs/>
          <w:sz w:val="22"/>
          <w:bdr w:val="nil"/>
        </w:rPr>
        <w:t>w formie dokumentu</w:t>
      </w:r>
      <w:r>
        <w:rPr>
          <w:rFonts w:asciiTheme="minorHAnsi" w:eastAsia="Calibri" w:hAnsiTheme="minorHAnsi" w:cstheme="minorHAnsi"/>
          <w:bCs/>
          <w:sz w:val="22"/>
          <w:bdr w:val="nil"/>
        </w:rPr>
        <w:t xml:space="preserve">. </w:t>
      </w:r>
    </w:p>
    <w:p w:rsidR="00716E41" w:rsidRDefault="00716E41" w:rsidP="000B367E">
      <w:pPr>
        <w:tabs>
          <w:tab w:val="right" w:pos="10206"/>
        </w:tabs>
        <w:spacing w:after="120"/>
        <w:ind w:left="851" w:right="283"/>
        <w:jc w:val="both"/>
        <w:rPr>
          <w:rFonts w:asciiTheme="minorHAnsi" w:eastAsia="Calibri" w:hAnsiTheme="minorHAnsi" w:cstheme="minorHAnsi"/>
          <w:b/>
          <w:sz w:val="22"/>
          <w:u w:color="000000"/>
          <w:bdr w:val="nil"/>
        </w:rPr>
      </w:pPr>
    </w:p>
    <w:p w:rsidR="00EA156C" w:rsidRPr="00464FB9" w:rsidRDefault="00716E41" w:rsidP="000B367E">
      <w:pPr>
        <w:tabs>
          <w:tab w:val="right" w:pos="10206"/>
        </w:tabs>
        <w:spacing w:after="120"/>
        <w:ind w:left="851" w:right="283"/>
        <w:jc w:val="both"/>
        <w:rPr>
          <w:rFonts w:asciiTheme="minorHAnsi" w:eastAsia="Calibri" w:hAnsiTheme="minorHAnsi" w:cstheme="minorHAnsi"/>
          <w:b/>
          <w:i/>
          <w:sz w:val="22"/>
          <w:bdr w:val="nil"/>
        </w:rPr>
      </w:pPr>
      <w:r w:rsidRPr="00716E41">
        <w:rPr>
          <w:rFonts w:asciiTheme="minorHAnsi" w:eastAsia="Calibri" w:hAnsiTheme="minorHAnsi" w:cstheme="minorHAnsi"/>
          <w:b/>
          <w:i/>
          <w:sz w:val="22"/>
          <w:bdr w:val="nil"/>
        </w:rPr>
        <w:t>Konfederacja Lewiatan</w:t>
      </w:r>
      <w:r w:rsidR="00464FB9">
        <w:rPr>
          <w:rFonts w:asciiTheme="minorHAnsi" w:eastAsia="Calibri" w:hAnsiTheme="minorHAnsi" w:cstheme="minorHAnsi"/>
          <w:b/>
          <w:i/>
          <w:sz w:val="22"/>
          <w:bdr w:val="nil"/>
        </w:rPr>
        <w:t xml:space="preserve"> KL</w:t>
      </w:r>
      <w:r>
        <w:rPr>
          <w:rFonts w:asciiTheme="minorHAnsi" w:eastAsia="Calibri" w:hAnsiTheme="minorHAnsi" w:cstheme="minorHAnsi"/>
          <w:b/>
          <w:i/>
          <w:sz w:val="22"/>
          <w:bdr w:val="nil"/>
        </w:rPr>
        <w:t>/364/259/AZ/2020</w:t>
      </w:r>
    </w:p>
    <w:sectPr w:rsidR="00EA156C" w:rsidRPr="00464FB9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34" w:rsidRDefault="00E13E34">
      <w:r>
        <w:separator/>
      </w:r>
    </w:p>
  </w:endnote>
  <w:endnote w:type="continuationSeparator" w:id="0">
    <w:p w:rsidR="00E13E34" w:rsidRDefault="00E1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1C" w:rsidRDefault="00E32A1C" w:rsidP="00E32A1C">
    <w:pPr>
      <w:pStyle w:val="Stopka"/>
      <w:ind w:right="425"/>
      <w:jc w:val="right"/>
      <w:rPr>
        <w:noProof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32950F18" wp14:editId="1B70E376">
          <wp:extent cx="1164590" cy="201295"/>
          <wp:effectExtent l="0" t="0" r="0" b="8255"/>
          <wp:docPr id="14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9F0" w:rsidRDefault="006255E5" w:rsidP="00D819F0">
    <w:pPr>
      <w:pStyle w:val="Stopka"/>
      <w:jc w:val="center"/>
      <w:rPr>
        <w:noProof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4E26D034" wp14:editId="420E334E">
          <wp:extent cx="5912026" cy="81438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E45" w:rsidRDefault="00912E45" w:rsidP="00B57B13">
    <w:pPr>
      <w:pStyle w:val="Stopka"/>
      <w:rPr>
        <w:rFonts w:asciiTheme="minorHAnsi" w:hAnsiTheme="minorHAnsi"/>
        <w:sz w:val="20"/>
        <w:szCs w:val="20"/>
      </w:rPr>
    </w:pP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34" w:rsidRDefault="00E13E34">
      <w:r>
        <w:separator/>
      </w:r>
    </w:p>
  </w:footnote>
  <w:footnote w:type="continuationSeparator" w:id="0">
    <w:p w:rsidR="00E13E34" w:rsidRDefault="00E1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Ind w:w="426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8D5B7E" w:rsidTr="00010EFB">
      <w:tc>
        <w:tcPr>
          <w:tcW w:w="3618" w:type="dxa"/>
          <w:tcBorders>
            <w:bottom w:val="nil"/>
          </w:tcBorders>
        </w:tcPr>
        <w:p w:rsidR="008D5B7E" w:rsidRDefault="00EC66AB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</w:pPr>
          <w:r w:rsidRPr="00DE7F9D">
            <w:rPr>
              <w:noProof/>
            </w:rPr>
            <w:drawing>
              <wp:inline distT="0" distB="0" distL="0" distR="0">
                <wp:extent cx="713105" cy="932815"/>
                <wp:effectExtent l="0" t="0" r="0" b="635"/>
                <wp:docPr id="1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:rsidR="008D5B7E" w:rsidRDefault="008D5B7E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0D86"/>
    <w:multiLevelType w:val="hybridMultilevel"/>
    <w:tmpl w:val="C5E8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70402"/>
    <w:rsid w:val="000704B0"/>
    <w:rsid w:val="000B367E"/>
    <w:rsid w:val="000C5695"/>
    <w:rsid w:val="00126755"/>
    <w:rsid w:val="00174F74"/>
    <w:rsid w:val="001D720D"/>
    <w:rsid w:val="001F0FAE"/>
    <w:rsid w:val="0027569E"/>
    <w:rsid w:val="00284B3F"/>
    <w:rsid w:val="0033172F"/>
    <w:rsid w:val="0033233D"/>
    <w:rsid w:val="00403ADA"/>
    <w:rsid w:val="00420740"/>
    <w:rsid w:val="00464FB9"/>
    <w:rsid w:val="00477521"/>
    <w:rsid w:val="004B4F79"/>
    <w:rsid w:val="00525BE4"/>
    <w:rsid w:val="00532959"/>
    <w:rsid w:val="0055384D"/>
    <w:rsid w:val="00561DB4"/>
    <w:rsid w:val="00576998"/>
    <w:rsid w:val="005D304E"/>
    <w:rsid w:val="006255E5"/>
    <w:rsid w:val="00635012"/>
    <w:rsid w:val="00671EAA"/>
    <w:rsid w:val="00674724"/>
    <w:rsid w:val="006F5225"/>
    <w:rsid w:val="00711C38"/>
    <w:rsid w:val="00716E41"/>
    <w:rsid w:val="0072064C"/>
    <w:rsid w:val="00723D50"/>
    <w:rsid w:val="00734DF2"/>
    <w:rsid w:val="007357CB"/>
    <w:rsid w:val="00744B56"/>
    <w:rsid w:val="007A4B44"/>
    <w:rsid w:val="007C1B9C"/>
    <w:rsid w:val="007D0861"/>
    <w:rsid w:val="008525ED"/>
    <w:rsid w:val="008939BB"/>
    <w:rsid w:val="008D5B7E"/>
    <w:rsid w:val="009113DD"/>
    <w:rsid w:val="00912E45"/>
    <w:rsid w:val="00926CF0"/>
    <w:rsid w:val="00997A7C"/>
    <w:rsid w:val="009E3C98"/>
    <w:rsid w:val="009E6CBE"/>
    <w:rsid w:val="00A27F31"/>
    <w:rsid w:val="00A60B5E"/>
    <w:rsid w:val="00AB1BAB"/>
    <w:rsid w:val="00AE5887"/>
    <w:rsid w:val="00B009EE"/>
    <w:rsid w:val="00B01457"/>
    <w:rsid w:val="00B241F1"/>
    <w:rsid w:val="00B57B13"/>
    <w:rsid w:val="00BB0F9A"/>
    <w:rsid w:val="00BB7989"/>
    <w:rsid w:val="00BF455E"/>
    <w:rsid w:val="00C207ED"/>
    <w:rsid w:val="00C31EFB"/>
    <w:rsid w:val="00C34257"/>
    <w:rsid w:val="00C63F11"/>
    <w:rsid w:val="00C80388"/>
    <w:rsid w:val="00C80C61"/>
    <w:rsid w:val="00D05BDB"/>
    <w:rsid w:val="00D06CDF"/>
    <w:rsid w:val="00D819F0"/>
    <w:rsid w:val="00D922B2"/>
    <w:rsid w:val="00DC0322"/>
    <w:rsid w:val="00DE7F9D"/>
    <w:rsid w:val="00DF5BA7"/>
    <w:rsid w:val="00DF6A82"/>
    <w:rsid w:val="00E0749F"/>
    <w:rsid w:val="00E13E34"/>
    <w:rsid w:val="00E27053"/>
    <w:rsid w:val="00E32776"/>
    <w:rsid w:val="00E32A1C"/>
    <w:rsid w:val="00E33455"/>
    <w:rsid w:val="00E33919"/>
    <w:rsid w:val="00E65A39"/>
    <w:rsid w:val="00EA156C"/>
    <w:rsid w:val="00EC2E7E"/>
    <w:rsid w:val="00EC3A35"/>
    <w:rsid w:val="00EC66AB"/>
    <w:rsid w:val="00F3746F"/>
    <w:rsid w:val="00F7346E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E4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ezodstpw">
    <w:name w:val="No Spacing"/>
    <w:uiPriority w:val="1"/>
    <w:qFormat/>
    <w:rsid w:val="00716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DE69-8FBC-47E0-B74F-D86F63F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4705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Monika Jaczewska</cp:lastModifiedBy>
  <cp:revision>2</cp:revision>
  <cp:lastPrinted>2014-10-16T08:23:00Z</cp:lastPrinted>
  <dcterms:created xsi:type="dcterms:W3CDTF">2020-08-03T09:01:00Z</dcterms:created>
  <dcterms:modified xsi:type="dcterms:W3CDTF">2020-08-03T09:01:00Z</dcterms:modified>
</cp:coreProperties>
</file>