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E92D2" w14:textId="2BB7B4D1" w:rsidR="00A7328D" w:rsidRPr="00663E7E" w:rsidRDefault="006012E4" w:rsidP="003D2B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lang w:eastAsia="pl-PL"/>
        </w:rPr>
      </w:pPr>
      <w:r w:rsidRPr="00A41A0B">
        <w:rPr>
          <w:rFonts w:asciiTheme="minorHAnsi" w:hAnsiTheme="minorHAnsi" w:cs="Arial"/>
          <w:b/>
          <w:sz w:val="24"/>
          <w:szCs w:val="24"/>
        </w:rPr>
        <w:t xml:space="preserve">Uwagi </w:t>
      </w:r>
      <w:r w:rsidR="00A41A0B" w:rsidRPr="00A41A0B">
        <w:rPr>
          <w:rFonts w:asciiTheme="minorHAnsi" w:hAnsiTheme="minorHAnsi" w:cs="Arial"/>
          <w:b/>
          <w:sz w:val="24"/>
          <w:szCs w:val="24"/>
        </w:rPr>
        <w:t xml:space="preserve">Konfederacji Lewiatan </w:t>
      </w:r>
      <w:r w:rsidRPr="00A41A0B">
        <w:rPr>
          <w:rFonts w:asciiTheme="minorHAnsi" w:hAnsiTheme="minorHAnsi" w:cs="Arial"/>
          <w:b/>
          <w:sz w:val="24"/>
          <w:szCs w:val="24"/>
        </w:rPr>
        <w:t>do projektu</w:t>
      </w:r>
      <w:r w:rsidR="009B40E7">
        <w:rPr>
          <w:rFonts w:asciiTheme="minorHAnsi" w:hAnsiTheme="minorHAnsi" w:cs="Arial"/>
          <w:b/>
          <w:sz w:val="24"/>
          <w:szCs w:val="24"/>
        </w:rPr>
        <w:t xml:space="preserve"> </w:t>
      </w:r>
      <w:r w:rsidR="009B40E7" w:rsidRPr="009B40E7">
        <w:rPr>
          <w:rFonts w:asciiTheme="minorHAnsi" w:hAnsiTheme="minorHAnsi" w:cs="Arial"/>
          <w:b/>
          <w:sz w:val="24"/>
          <w:szCs w:val="24"/>
        </w:rPr>
        <w:t>rozporządzenia Ministra Klimatu i Środowiska zmieniającego rozporządzenie w sprawie szczegółowych zasad kształtowania i kalkulacji taryf oraz rozliczeń z tytułu zaopatrzenia w ciepło</w:t>
      </w:r>
      <w:r w:rsidR="009B40E7">
        <w:rPr>
          <w:rFonts w:asciiTheme="minorHAnsi" w:hAnsiTheme="minorHAnsi" w:cs="Arial"/>
          <w:b/>
          <w:sz w:val="24"/>
          <w:szCs w:val="24"/>
        </w:rPr>
        <w:t xml:space="preserve"> (nr z wykazu 508)</w:t>
      </w:r>
    </w:p>
    <w:p w14:paraId="29D46A3C" w14:textId="77777777" w:rsidR="005B5584" w:rsidRPr="00A41A0B" w:rsidRDefault="005B5584" w:rsidP="003D2B15">
      <w:pPr>
        <w:spacing w:before="60" w:after="60" w:line="252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4"/>
        <w:gridCol w:w="2807"/>
        <w:gridCol w:w="5191"/>
        <w:gridCol w:w="5330"/>
      </w:tblGrid>
      <w:tr w:rsidR="00684DDD" w:rsidRPr="00EF0AE0" w14:paraId="472CBA2E" w14:textId="77777777" w:rsidTr="00ED333B">
        <w:tc>
          <w:tcPr>
            <w:tcW w:w="664" w:type="dxa"/>
            <w:shd w:val="clear" w:color="auto" w:fill="BFBFBF" w:themeFill="background1" w:themeFillShade="BF"/>
            <w:vAlign w:val="center"/>
          </w:tcPr>
          <w:p w14:paraId="4840D583" w14:textId="77777777" w:rsidR="006012E4" w:rsidRPr="00EF0AE0" w:rsidRDefault="006012E4" w:rsidP="00D01542">
            <w:pPr>
              <w:spacing w:before="60" w:after="60" w:line="252" w:lineRule="auto"/>
              <w:jc w:val="center"/>
              <w:rPr>
                <w:rFonts w:asciiTheme="minorHAnsi" w:hAnsiTheme="minorHAnsi" w:cstheme="minorHAnsi"/>
                <w:b/>
              </w:rPr>
            </w:pPr>
            <w:bookmarkStart w:id="0" w:name="_Hlk58314293"/>
            <w:bookmarkStart w:id="1" w:name="_Hlk56350168"/>
            <w:r w:rsidRPr="00EF0AE0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07" w:type="dxa"/>
            <w:shd w:val="clear" w:color="auto" w:fill="BFBFBF" w:themeFill="background1" w:themeFillShade="BF"/>
            <w:vAlign w:val="center"/>
          </w:tcPr>
          <w:p w14:paraId="3FF19504" w14:textId="77777777" w:rsidR="006012E4" w:rsidRPr="00EF0AE0" w:rsidRDefault="001B6D4A" w:rsidP="00D01542">
            <w:pPr>
              <w:spacing w:before="60" w:after="60" w:line="252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F0AE0">
              <w:rPr>
                <w:rFonts w:asciiTheme="minorHAnsi" w:hAnsiTheme="minorHAnsi" w:cstheme="minorHAnsi"/>
                <w:b/>
              </w:rPr>
              <w:t xml:space="preserve">Jednostka redakcyjna projektu ustawy, do </w:t>
            </w:r>
            <w:r w:rsidR="006012E4" w:rsidRPr="00EF0AE0">
              <w:rPr>
                <w:rFonts w:asciiTheme="minorHAnsi" w:hAnsiTheme="minorHAnsi" w:cstheme="minorHAnsi"/>
                <w:b/>
              </w:rPr>
              <w:t>którego odnosi się uwaga</w:t>
            </w:r>
          </w:p>
        </w:tc>
        <w:tc>
          <w:tcPr>
            <w:tcW w:w="5191" w:type="dxa"/>
            <w:shd w:val="clear" w:color="auto" w:fill="BFBFBF" w:themeFill="background1" w:themeFillShade="BF"/>
            <w:vAlign w:val="center"/>
          </w:tcPr>
          <w:p w14:paraId="099CECEB" w14:textId="77777777" w:rsidR="006012E4" w:rsidRPr="00EF0AE0" w:rsidRDefault="006012E4" w:rsidP="00D01542">
            <w:pPr>
              <w:spacing w:before="60" w:after="60" w:line="252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F0AE0">
              <w:rPr>
                <w:rFonts w:asciiTheme="minorHAnsi" w:hAnsiTheme="minorHAnsi" w:cstheme="minorHAnsi"/>
                <w:b/>
              </w:rPr>
              <w:t>Proponowana zmian</w:t>
            </w:r>
            <w:r w:rsidR="00130987" w:rsidRPr="00EF0AE0">
              <w:rPr>
                <w:rFonts w:asciiTheme="minorHAnsi" w:hAnsiTheme="minorHAnsi" w:cstheme="minorHAnsi"/>
                <w:b/>
              </w:rPr>
              <w:t>a</w:t>
            </w:r>
            <w:r w:rsidRPr="00EF0AE0">
              <w:rPr>
                <w:rFonts w:asciiTheme="minorHAnsi" w:hAnsiTheme="minorHAnsi" w:cstheme="minorHAnsi"/>
                <w:b/>
              </w:rPr>
              <w:t xml:space="preserve"> przepisu</w:t>
            </w:r>
          </w:p>
        </w:tc>
        <w:tc>
          <w:tcPr>
            <w:tcW w:w="5330" w:type="dxa"/>
            <w:shd w:val="clear" w:color="auto" w:fill="BFBFBF" w:themeFill="background1" w:themeFillShade="BF"/>
            <w:vAlign w:val="center"/>
          </w:tcPr>
          <w:p w14:paraId="0F62B3C0" w14:textId="77777777" w:rsidR="006012E4" w:rsidRPr="00EF0AE0" w:rsidRDefault="006012E4" w:rsidP="00D01542">
            <w:pPr>
              <w:spacing w:before="60" w:after="60" w:line="252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F0AE0">
              <w:rPr>
                <w:rFonts w:asciiTheme="minorHAnsi" w:hAnsiTheme="minorHAnsi" w:cstheme="minorHAnsi"/>
                <w:b/>
              </w:rPr>
              <w:t>Uzasadnienie zmiany przepisu</w:t>
            </w:r>
          </w:p>
        </w:tc>
      </w:tr>
      <w:tr w:rsidR="000F1698" w:rsidRPr="00EF0AE0" w14:paraId="4D3759BE" w14:textId="77777777" w:rsidTr="00A101B5">
        <w:tc>
          <w:tcPr>
            <w:tcW w:w="13992" w:type="dxa"/>
            <w:gridSpan w:val="4"/>
            <w:shd w:val="clear" w:color="auto" w:fill="FFFFFF" w:themeFill="background1"/>
          </w:tcPr>
          <w:p w14:paraId="4C6B58B8" w14:textId="62302B57" w:rsidR="000F1698" w:rsidRPr="00EF0AE0" w:rsidRDefault="000F1698" w:rsidP="00510681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EF0AE0">
              <w:rPr>
                <w:rFonts w:asciiTheme="minorHAnsi" w:hAnsiTheme="minorHAnsi" w:cstheme="minorHAnsi"/>
                <w:b/>
              </w:rPr>
              <w:t>Uwagi ogólne</w:t>
            </w:r>
          </w:p>
        </w:tc>
      </w:tr>
      <w:tr w:rsidR="000F1698" w:rsidRPr="00EF0AE0" w14:paraId="2856D124" w14:textId="77777777" w:rsidTr="00A16C78">
        <w:tc>
          <w:tcPr>
            <w:tcW w:w="664" w:type="dxa"/>
            <w:shd w:val="clear" w:color="auto" w:fill="FFFFFF" w:themeFill="background1"/>
          </w:tcPr>
          <w:p w14:paraId="1E9D3486" w14:textId="3CA03BFA" w:rsidR="000F1698" w:rsidRPr="00EF0AE0" w:rsidRDefault="000F1698" w:rsidP="000F1698">
            <w:pPr>
              <w:spacing w:before="60" w:after="60" w:line="252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EF0AE0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807" w:type="dxa"/>
            <w:shd w:val="clear" w:color="auto" w:fill="FFFFFF" w:themeFill="background1"/>
          </w:tcPr>
          <w:p w14:paraId="0FF4BB38" w14:textId="5857D556" w:rsidR="000F1698" w:rsidRPr="00EF0AE0" w:rsidRDefault="000F1698" w:rsidP="004609A6">
            <w:pPr>
              <w:spacing w:before="60" w:after="60" w:line="252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0AE0">
              <w:rPr>
                <w:rFonts w:asciiTheme="minorHAnsi" w:hAnsiTheme="minorHAnsi" w:cstheme="minorHAnsi"/>
                <w:b/>
                <w:bCs/>
              </w:rPr>
              <w:t>Uwaga ogólna</w:t>
            </w:r>
          </w:p>
        </w:tc>
        <w:tc>
          <w:tcPr>
            <w:tcW w:w="10521" w:type="dxa"/>
            <w:gridSpan w:val="2"/>
            <w:shd w:val="clear" w:color="auto" w:fill="FFFFFF" w:themeFill="background1"/>
          </w:tcPr>
          <w:p w14:paraId="4F2A644E" w14:textId="4205F752" w:rsidR="000F1698" w:rsidRPr="00C149C8" w:rsidRDefault="001C1154" w:rsidP="00C149C8">
            <w:pPr>
              <w:spacing w:before="60" w:after="60" w:line="240" w:lineRule="auto"/>
              <w:jc w:val="both"/>
            </w:pPr>
            <w:r>
              <w:rPr>
                <w:color w:val="000000"/>
              </w:rPr>
              <w:t xml:space="preserve">Nie jest zrozumiałe dlaczego </w:t>
            </w:r>
            <w:r w:rsidRPr="001C1154">
              <w:t>rekompensata z tytułu niepokrytych kosztów rozliczenia emisji CO</w:t>
            </w:r>
            <w:r w:rsidRPr="001C1154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</w:t>
            </w:r>
            <w:r w:rsidRPr="001C1154">
              <w:t>ma być jednorazowa.</w:t>
            </w:r>
            <w:r>
              <w:rPr>
                <w:vertAlign w:val="subscript"/>
              </w:rPr>
              <w:t xml:space="preserve"> </w:t>
            </w:r>
            <w:r>
              <w:rPr>
                <w:color w:val="000000"/>
              </w:rPr>
              <w:t xml:space="preserve">Postulujemy </w:t>
            </w:r>
            <w:r w:rsidRPr="00C149C8">
              <w:t>wprowadzenie</w:t>
            </w:r>
            <w:r w:rsidRPr="00C149C8">
              <w:rPr>
                <w:vertAlign w:val="subscript"/>
              </w:rPr>
              <w:t xml:space="preserve"> </w:t>
            </w:r>
            <w:r w:rsidRPr="00C149C8">
              <w:rPr>
                <w:spacing w:val="-2"/>
              </w:rPr>
              <w:t xml:space="preserve">możliwości </w:t>
            </w:r>
            <w:r w:rsidRPr="00C149C8">
              <w:t>doliczania rekompensaty z tytułu niepokrytych kosztów rozliczenia emisji CO</w:t>
            </w:r>
            <w:r w:rsidRPr="00C149C8">
              <w:rPr>
                <w:vertAlign w:val="subscript"/>
              </w:rPr>
              <w:t xml:space="preserve">2 </w:t>
            </w:r>
            <w:r w:rsidRPr="00C149C8">
              <w:t xml:space="preserve">także w </w:t>
            </w:r>
            <w:r w:rsidRPr="00C149C8">
              <w:rPr>
                <w:spacing w:val="-2"/>
              </w:rPr>
              <w:t xml:space="preserve">kolejnych latach. </w:t>
            </w:r>
            <w:r w:rsidRPr="00C149C8">
              <w:t xml:space="preserve">Wzrost kosztów emisji następował będzie także w kolejnych latach. </w:t>
            </w:r>
            <w:r w:rsidR="00C149C8" w:rsidRPr="00C149C8">
              <w:t xml:space="preserve">Projekt rozporządzenia rozwiązuje problem tylko na chwilkę – tylko na jeden rok. </w:t>
            </w:r>
            <w:r w:rsidRPr="00C149C8">
              <w:t>Dlatego postulujemy, aby przepisy dotyczące rekompensaty z tytułu niepokrytych kosztów rozliczenia emisji CO</w:t>
            </w:r>
            <w:r w:rsidRPr="00C149C8">
              <w:rPr>
                <w:vertAlign w:val="subscript"/>
              </w:rPr>
              <w:t>2</w:t>
            </w:r>
            <w:r w:rsidRPr="00793EC1">
              <w:t xml:space="preserve"> </w:t>
            </w:r>
            <w:r w:rsidRPr="00C149C8">
              <w:t xml:space="preserve">znalazły się nie w </w:t>
            </w:r>
            <w:r w:rsidRPr="00C149C8">
              <w:rPr>
                <w:rStyle w:val="Ppogrubienie"/>
                <w:b w:val="0"/>
              </w:rPr>
              <w:t>§</w:t>
            </w:r>
            <w:r w:rsidRPr="00C149C8">
              <w:rPr>
                <w:rStyle w:val="Ppogrubienie"/>
              </w:rPr>
              <w:t> </w:t>
            </w:r>
            <w:r w:rsidRPr="00C149C8">
              <w:t xml:space="preserve">47 (przepisy przejściowe), </w:t>
            </w:r>
            <w:r w:rsidR="003D2B15">
              <w:br/>
            </w:r>
            <w:r w:rsidRPr="00C149C8">
              <w:t xml:space="preserve">a – tak jak postulowała branża ciepłownicza – w </w:t>
            </w:r>
            <w:r w:rsidRPr="00C149C8">
              <w:rPr>
                <w:rStyle w:val="Ppogrubienie"/>
                <w:b w:val="0"/>
              </w:rPr>
              <w:t>§</w:t>
            </w:r>
            <w:r w:rsidRPr="00C149C8">
              <w:rPr>
                <w:rStyle w:val="Ppogrubienie"/>
              </w:rPr>
              <w:t> </w:t>
            </w:r>
            <w:r w:rsidRPr="00C149C8">
              <w:t xml:space="preserve">11 lub 12 rozporządzenia taryfowego, co nadałoby przepisom </w:t>
            </w:r>
            <w:r w:rsidR="003D2B15">
              <w:br/>
            </w:r>
            <w:r w:rsidRPr="00C149C8">
              <w:t xml:space="preserve">o rekompensacie ciągłość stosowania i możliwości uwzględniania jej w taryfach w kolejnych latach. </w:t>
            </w:r>
          </w:p>
        </w:tc>
      </w:tr>
      <w:bookmarkEnd w:id="0"/>
      <w:tr w:rsidR="000F1698" w:rsidRPr="00EF0AE0" w14:paraId="00B6D7B0" w14:textId="77777777" w:rsidTr="00963DF9">
        <w:tc>
          <w:tcPr>
            <w:tcW w:w="664" w:type="dxa"/>
            <w:shd w:val="clear" w:color="auto" w:fill="FFFFFF" w:themeFill="background1"/>
          </w:tcPr>
          <w:p w14:paraId="21700360" w14:textId="09C0FDDF" w:rsidR="000F1698" w:rsidRPr="00EF0AE0" w:rsidRDefault="000F1698" w:rsidP="003A598C">
            <w:pPr>
              <w:spacing w:before="60" w:after="60" w:line="252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EF0AE0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807" w:type="dxa"/>
            <w:shd w:val="clear" w:color="auto" w:fill="FFFFFF" w:themeFill="background1"/>
          </w:tcPr>
          <w:p w14:paraId="613E30CC" w14:textId="21F5661A" w:rsidR="000F1698" w:rsidRPr="00EF0AE0" w:rsidRDefault="000F1698" w:rsidP="004609A6">
            <w:pPr>
              <w:spacing w:before="60" w:after="60" w:line="252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0AE0">
              <w:rPr>
                <w:rFonts w:asciiTheme="minorHAnsi" w:hAnsiTheme="minorHAnsi" w:cstheme="minorHAnsi"/>
                <w:b/>
                <w:bCs/>
              </w:rPr>
              <w:t>Uwaga ogólna</w:t>
            </w:r>
          </w:p>
        </w:tc>
        <w:tc>
          <w:tcPr>
            <w:tcW w:w="10521" w:type="dxa"/>
            <w:gridSpan w:val="2"/>
            <w:shd w:val="clear" w:color="auto" w:fill="FFFFFF" w:themeFill="background1"/>
          </w:tcPr>
          <w:p w14:paraId="7FEEA181" w14:textId="1E44B384" w:rsidR="001C1154" w:rsidRPr="001C1154" w:rsidRDefault="001C1154" w:rsidP="00793EC1">
            <w:pPr>
              <w:spacing w:before="60" w:after="6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W naszej ocenie nie jest jasne czy </w:t>
            </w:r>
            <w:r w:rsidRPr="001C1154">
              <w:t>rekompensata z tytułu niepokrytych kosztów rozliczenia emisji CO</w:t>
            </w:r>
            <w:r w:rsidRPr="001C1154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</w:t>
            </w:r>
            <w:r>
              <w:rPr>
                <w:rFonts w:cs="Calibri"/>
              </w:rPr>
              <w:t>będzie wliczana do analizowanego przez Prezesa URE wzrostu przychodów z wytwarzania ciepła pod kątem ochrony interesu odbiorców przed nieuzasadnionym wzrostem cen oraz na cele ustalenia zwrotu z kapitału. Jeśli tak, to czy Prezes URE będzie akceptował wzrosty cen uwzględniające rekompensatę, czy jednak będzie weryfikował w taryfach koszty stałe, aby ograniczyć wzrosty cen ciepła. Jeśli w taryfie wychodzi np. 8% wzrostu dla „normalnie” skalkulowanych cen ciepła i dodatkowo przedsiębiorstwo doda np. 5% wzrostu z rekompensaty, to czy Prezes URE zatwierdzi taki 13% wzrost cen. Dlatego p</w:t>
            </w:r>
            <w:r w:rsidR="002A0B85" w:rsidRPr="001C1154">
              <w:rPr>
                <w:rFonts w:cs="Calibri"/>
              </w:rPr>
              <w:t xml:space="preserve">roponujemy dodanie przepisu wskazującego, że </w:t>
            </w:r>
            <w:r w:rsidRPr="001C1154">
              <w:t>rekompensata z tytułu niepokrytych kosztów rozliczenia emisji CO</w:t>
            </w:r>
            <w:r w:rsidRPr="001C1154">
              <w:rPr>
                <w:vertAlign w:val="subscript"/>
              </w:rPr>
              <w:t xml:space="preserve">2 </w:t>
            </w:r>
            <w:r w:rsidR="002A0B85" w:rsidRPr="001C1154">
              <w:rPr>
                <w:rFonts w:cs="Calibri"/>
              </w:rPr>
              <w:t>nie wchodzi do analizy wzrostu przychodów z wytwarzania ciepła.</w:t>
            </w:r>
          </w:p>
        </w:tc>
      </w:tr>
      <w:tr w:rsidR="000F1698" w:rsidRPr="00EF0AE0" w14:paraId="2E108EE4" w14:textId="77777777" w:rsidTr="004C6B01">
        <w:tc>
          <w:tcPr>
            <w:tcW w:w="13992" w:type="dxa"/>
            <w:gridSpan w:val="4"/>
            <w:shd w:val="clear" w:color="auto" w:fill="FFFFFF" w:themeFill="background1"/>
          </w:tcPr>
          <w:p w14:paraId="6086CA6D" w14:textId="3BEE2CFA" w:rsidR="000F1698" w:rsidRPr="00EF0AE0" w:rsidRDefault="000F1698" w:rsidP="00510681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EF0AE0">
              <w:rPr>
                <w:rFonts w:asciiTheme="minorHAnsi" w:hAnsiTheme="minorHAnsi" w:cstheme="minorHAnsi"/>
                <w:b/>
              </w:rPr>
              <w:t>Uwagi szczegółowe</w:t>
            </w:r>
          </w:p>
        </w:tc>
      </w:tr>
      <w:tr w:rsidR="000F1698" w:rsidRPr="00EF0AE0" w14:paraId="221977B0" w14:textId="77777777" w:rsidTr="00DF47D2">
        <w:tc>
          <w:tcPr>
            <w:tcW w:w="664" w:type="dxa"/>
            <w:shd w:val="clear" w:color="auto" w:fill="FFFFFF" w:themeFill="background1"/>
          </w:tcPr>
          <w:p w14:paraId="6D58696A" w14:textId="46115681" w:rsidR="000F1698" w:rsidRPr="00EF0AE0" w:rsidRDefault="000F1698" w:rsidP="000F1698">
            <w:pPr>
              <w:spacing w:before="60" w:after="60" w:line="252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EF0AE0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807" w:type="dxa"/>
            <w:shd w:val="clear" w:color="auto" w:fill="FFFFFF" w:themeFill="background1"/>
          </w:tcPr>
          <w:p w14:paraId="73D103E3" w14:textId="45B8C1E5" w:rsidR="000F1698" w:rsidRPr="00EF0AE0" w:rsidRDefault="000F51CB" w:rsidP="000F51CB">
            <w:pPr>
              <w:spacing w:before="60" w:after="60" w:line="252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ar-SA"/>
              </w:rPr>
            </w:pPr>
            <w:r>
              <w:rPr>
                <w:rStyle w:val="Ppogrubienie"/>
              </w:rPr>
              <w:t>§ 1 pkt 2</w:t>
            </w:r>
            <w:r w:rsidR="00DF47D2" w:rsidRPr="0014730D">
              <w:t> </w:t>
            </w:r>
            <w:r>
              <w:br/>
            </w:r>
            <w:r w:rsidR="00DF47D2">
              <w:t xml:space="preserve">(dotyczący </w:t>
            </w:r>
            <w:r w:rsidR="00DF47D2">
              <w:rPr>
                <w:rFonts w:cs="Times"/>
              </w:rPr>
              <w:t>§</w:t>
            </w:r>
            <w:r w:rsidR="00DF47D2">
              <w:t xml:space="preserve"> 47 ust. 5)</w:t>
            </w:r>
          </w:p>
        </w:tc>
        <w:tc>
          <w:tcPr>
            <w:tcW w:w="5191" w:type="dxa"/>
            <w:shd w:val="clear" w:color="auto" w:fill="FFFFFF" w:themeFill="background1"/>
          </w:tcPr>
          <w:p w14:paraId="348F0963" w14:textId="6502BF70" w:rsidR="000F1698" w:rsidRPr="00DF47D2" w:rsidRDefault="00DF47D2" w:rsidP="00DF47D2">
            <w:pPr>
              <w:spacing w:before="60"/>
              <w:jc w:val="both"/>
              <w:rPr>
                <w:color w:val="000000"/>
                <w:spacing w:val="-2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P</w:t>
            </w:r>
            <w:r w:rsidRPr="00DF47D2">
              <w:rPr>
                <w:rFonts w:asciiTheme="minorHAnsi" w:hAnsiTheme="minorHAnsi" w:cstheme="minorHAnsi"/>
                <w:bCs/>
                <w:lang w:eastAsia="ar-SA"/>
              </w:rPr>
              <w:t xml:space="preserve">ostulujemy, aby </w:t>
            </w:r>
            <w:r w:rsidRPr="00DF47D2">
              <w:rPr>
                <w:spacing w:val="-2"/>
              </w:rPr>
              <w:t xml:space="preserve">przepisy umożliwiające </w:t>
            </w:r>
            <w:r w:rsidRPr="00DF47D2">
              <w:t>doliczanie rekompensaty z tytułu niepokrytych kosztów rozliczenia emisji CO</w:t>
            </w:r>
            <w:r w:rsidRPr="00DF47D2">
              <w:rPr>
                <w:vertAlign w:val="subscript"/>
              </w:rPr>
              <w:t>2</w:t>
            </w:r>
            <w:r w:rsidRPr="00DF47D2">
              <w:rPr>
                <w:spacing w:val="-2"/>
              </w:rPr>
              <w:t xml:space="preserve"> dotyczyły także </w:t>
            </w:r>
            <w:r w:rsidRPr="00DF47D2">
              <w:t>wniosków o zatwierdzenie taryfy dla ciepła będących w dniu wejścia w życie rozporządzenia wejścia w trakcie rozpatrywania przez Prezesa URE</w:t>
            </w:r>
            <w:r>
              <w:t>.</w:t>
            </w:r>
          </w:p>
        </w:tc>
        <w:tc>
          <w:tcPr>
            <w:tcW w:w="5330" w:type="dxa"/>
            <w:shd w:val="clear" w:color="auto" w:fill="FFFFFF" w:themeFill="background1"/>
          </w:tcPr>
          <w:p w14:paraId="400695D0" w14:textId="79EDDEA0" w:rsidR="003028AB" w:rsidRPr="001A0DB7" w:rsidRDefault="003028AB" w:rsidP="003028AB">
            <w:pPr>
              <w:spacing w:before="60" w:after="60"/>
              <w:jc w:val="both"/>
            </w:pPr>
            <w:r w:rsidRPr="003028AB">
              <w:t xml:space="preserve">Zaproponowane brzmienie </w:t>
            </w:r>
            <w:r w:rsidRPr="003028AB">
              <w:rPr>
                <w:rFonts w:cs="Times"/>
              </w:rPr>
              <w:t>§</w:t>
            </w:r>
            <w:r w:rsidRPr="003028AB">
              <w:t xml:space="preserve"> 47 ust. 5 wyklucza </w:t>
            </w:r>
            <w:r w:rsidR="003D2B15">
              <w:br/>
            </w:r>
            <w:bookmarkStart w:id="2" w:name="_GoBack"/>
            <w:bookmarkEnd w:id="2"/>
            <w:r w:rsidRPr="003028AB">
              <w:t>z możliwości doliczania rekompensaty z tytułu niepokrytych kosztów rozliczenia emisji CO</w:t>
            </w:r>
            <w:r w:rsidRPr="003028AB">
              <w:rPr>
                <w:vertAlign w:val="subscript"/>
              </w:rPr>
              <w:t>2</w:t>
            </w:r>
            <w:r w:rsidRPr="003028AB">
              <w:rPr>
                <w:spacing w:val="-2"/>
              </w:rPr>
              <w:t xml:space="preserve"> </w:t>
            </w:r>
            <w:r w:rsidRPr="003028AB">
              <w:t>w</w:t>
            </w:r>
            <w:r w:rsidR="00DF47D2" w:rsidRPr="003028AB">
              <w:t xml:space="preserve">iele przedsiębiorstw </w:t>
            </w:r>
            <w:r w:rsidR="00DF47D2" w:rsidRPr="004674D5">
              <w:t xml:space="preserve">ciepłowniczych, </w:t>
            </w:r>
            <w:r w:rsidR="004674D5" w:rsidRPr="004674D5">
              <w:t xml:space="preserve">w których ceny ciepła kalkulowane są metodą kosztową i </w:t>
            </w:r>
            <w:r w:rsidR="00DF47D2" w:rsidRPr="004674D5">
              <w:t>których wnioski taryfowe są obecnie rozpatrywane przez Prezesa URE</w:t>
            </w:r>
            <w:r w:rsidRPr="003028AB">
              <w:t>.</w:t>
            </w:r>
            <w:r w:rsidR="00DF47D2" w:rsidRPr="003028AB">
              <w:t xml:space="preserve"> </w:t>
            </w:r>
            <w:r w:rsidRPr="003028AB">
              <w:t>Ponadto na rekompensatę m</w:t>
            </w:r>
            <w:r w:rsidR="00DF47D2" w:rsidRPr="003028AB">
              <w:t xml:space="preserve">ogą liczyć przedsiębiorstwa, które złożą wnioski taryfowe w ciągu jednego roku od dnia wejścia w życie rozporządzenia. </w:t>
            </w:r>
            <w:r w:rsidRPr="003028AB">
              <w:rPr>
                <w:b/>
              </w:rPr>
              <w:t xml:space="preserve">W naszej ocenie rekompensata ma rekompensować niepokryte koszty w roku 2020, dlatego rozporządzenie powinno obejmować także postępowania taryfowe będące w toku w dniu wejścia w życie rozporządzenia, w których rokiem </w:t>
            </w:r>
            <w:r w:rsidRPr="001A0DB7">
              <w:rPr>
                <w:b/>
              </w:rPr>
              <w:t>bazowym jest rok 2020.</w:t>
            </w:r>
          </w:p>
          <w:p w14:paraId="6E67E06C" w14:textId="0EA73255" w:rsidR="000F1698" w:rsidRPr="00EF0AE0" w:rsidRDefault="003028AB" w:rsidP="003028AB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1A0DB7">
              <w:t>Ponadto w naszej ocenie w</w:t>
            </w:r>
            <w:r w:rsidR="00DF47D2" w:rsidRPr="001A0DB7">
              <w:t xml:space="preserve">prowadzone nowe zasady taryfowania (nowe wytyczne Prezesa URE obowiązujące od dnia 01.03.2021 r.) spowodują przedłużanie terminów rozpatrywania wniosków taryfowych i część przedsiębiorstw może nie zdążyć uwzględnić </w:t>
            </w:r>
            <w:r w:rsidRPr="001A0DB7">
              <w:t>rekompensaty w kolejnej taryfie.</w:t>
            </w:r>
            <w:r w:rsidRPr="003028AB">
              <w:t xml:space="preserve"> </w:t>
            </w:r>
          </w:p>
        </w:tc>
      </w:tr>
      <w:bookmarkEnd w:id="1"/>
      <w:tr w:rsidR="00FB298B" w:rsidRPr="00EF0AE0" w14:paraId="2531FD60" w14:textId="77777777" w:rsidTr="000F1698">
        <w:tc>
          <w:tcPr>
            <w:tcW w:w="664" w:type="dxa"/>
            <w:shd w:val="clear" w:color="auto" w:fill="FFFFFF" w:themeFill="background1"/>
          </w:tcPr>
          <w:p w14:paraId="6BB44698" w14:textId="34AAD815" w:rsidR="00FB298B" w:rsidRPr="00EF0AE0" w:rsidRDefault="00FB298B" w:rsidP="00FB298B">
            <w:pPr>
              <w:spacing w:before="60" w:after="60" w:line="252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EF0AE0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807" w:type="dxa"/>
            <w:shd w:val="clear" w:color="auto" w:fill="FFFFFF" w:themeFill="background1"/>
          </w:tcPr>
          <w:p w14:paraId="7E052289" w14:textId="28BA21FB" w:rsidR="00FB298B" w:rsidRPr="000A033F" w:rsidRDefault="000F51CB" w:rsidP="000F51CB">
            <w:pPr>
              <w:spacing w:before="60" w:after="60" w:line="252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A033F">
              <w:rPr>
                <w:rStyle w:val="Ppogrubienie"/>
                <w:rFonts w:asciiTheme="minorHAnsi" w:hAnsiTheme="minorHAnsi" w:cstheme="minorHAnsi"/>
              </w:rPr>
              <w:t>§ 2</w:t>
            </w:r>
          </w:p>
        </w:tc>
        <w:tc>
          <w:tcPr>
            <w:tcW w:w="5191" w:type="dxa"/>
            <w:shd w:val="clear" w:color="auto" w:fill="FFFFFF" w:themeFill="background1"/>
          </w:tcPr>
          <w:p w14:paraId="260AE293" w14:textId="5FBA7D10" w:rsidR="00FB298B" w:rsidRPr="00DE3094" w:rsidRDefault="000F51CB" w:rsidP="00DE3094">
            <w:pPr>
              <w:suppressAutoHyphens/>
              <w:snapToGrid w:val="0"/>
              <w:spacing w:before="60" w:after="120"/>
              <w:jc w:val="both"/>
              <w:rPr>
                <w:rFonts w:asciiTheme="minorHAnsi" w:eastAsia="Times New Roman" w:hAnsiTheme="minorHAnsi" w:cstheme="minorHAnsi"/>
                <w:b/>
                <w:bCs/>
                <w:lang w:eastAsia="ar-SA"/>
              </w:rPr>
            </w:pPr>
            <w:r w:rsidRPr="00DE3094">
              <w:rPr>
                <w:rFonts w:asciiTheme="minorHAnsi" w:hAnsiTheme="minorHAnsi" w:cstheme="minorHAnsi"/>
                <w:bCs/>
                <w:lang w:eastAsia="ar-SA"/>
              </w:rPr>
              <w:t>Postulujemy doprecyzowanie</w:t>
            </w:r>
            <w:r w:rsidR="00DE3094" w:rsidRPr="00DE3094">
              <w:rPr>
                <w:rFonts w:asciiTheme="minorHAnsi" w:hAnsiTheme="minorHAnsi" w:cstheme="minorHAnsi"/>
                <w:bCs/>
                <w:lang w:eastAsia="ar-SA"/>
              </w:rPr>
              <w:t xml:space="preserve"> we wzorze na </w:t>
            </w:r>
            <w:r w:rsidR="00DE3094" w:rsidRPr="00DE3094">
              <w:rPr>
                <w:rFonts w:asciiTheme="minorHAnsi" w:hAnsiTheme="minorHAnsi" w:cstheme="minorHAnsi"/>
              </w:rPr>
              <w:t>rekompensatę z tytułu niepokrytych kosztów rozliczenia emisji CO</w:t>
            </w:r>
            <w:r w:rsidR="00DE3094" w:rsidRPr="00DE3094">
              <w:rPr>
                <w:rFonts w:asciiTheme="minorHAnsi" w:hAnsiTheme="minorHAnsi" w:cstheme="minorHAnsi"/>
                <w:vertAlign w:val="subscript"/>
              </w:rPr>
              <w:t>2</w:t>
            </w:r>
            <w:r w:rsidR="00DE3094" w:rsidRPr="00DE3094">
              <w:rPr>
                <w:rFonts w:asciiTheme="minorHAnsi" w:hAnsiTheme="minorHAnsi" w:cstheme="minorHAnsi"/>
              </w:rPr>
              <w:t xml:space="preserve"> za 2020 r. „</w:t>
            </w:r>
            <m:oMath>
              <m:r>
                <w:rPr>
                  <w:rFonts w:ascii="Cambria Math" w:hAnsi="Cambria Math" w:cstheme="minorHAnsi"/>
                </w:rPr>
                <m:t>RC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O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</w:rPr>
                <m:t>20</m:t>
              </m:r>
              <w:bookmarkStart w:id="3" w:name="_Hlk67650162"/>
              <m:r>
                <w:rPr>
                  <w:rFonts w:ascii="Cambria Math" w:hAnsi="Cambria Math" w:cstheme="minorHAnsi"/>
                </w:rPr>
                <m:t>20</m:t>
              </m:r>
              <w:bookmarkEnd w:id="3"/>
              <m:r>
                <w:rPr>
                  <w:rFonts w:ascii="Cambria Math" w:hAnsi="Cambria Math" w:cstheme="minorHAnsi"/>
                </w:rPr>
                <m:t xml:space="preserve">" </m:t>
              </m:r>
            </m:oMath>
            <w:r w:rsidR="000A033F" w:rsidRPr="00DE3094">
              <w:rPr>
                <w:rFonts w:asciiTheme="minorHAnsi" w:hAnsiTheme="minorHAnsi" w:cstheme="minorHAnsi"/>
                <w:bCs/>
                <w:lang w:eastAsia="ar-SA"/>
              </w:rPr>
              <w:t>oznaczenia</w:t>
            </w:r>
            <w:r w:rsidRPr="00DE3094">
              <w:rPr>
                <w:rFonts w:asciiTheme="minorHAnsi" w:hAnsiTheme="minorHAnsi" w:cstheme="minorHAnsi"/>
                <w:bCs/>
                <w:lang w:eastAsia="ar-SA"/>
              </w:rPr>
              <w:t xml:space="preserve"> symbolu „</w:t>
            </w:r>
            <w:r w:rsidR="00DE3094">
              <w:rPr>
                <w:rFonts w:asciiTheme="minorHAnsi" w:hAnsiTheme="minorHAnsi" w:cstheme="minorHAnsi"/>
                <w:bCs/>
                <w:i/>
                <w:lang w:eastAsia="ar-SA"/>
              </w:rPr>
              <w:t xml:space="preserve">KTCO2 2020 </w:t>
            </w:r>
            <w:r w:rsidR="00DE3094" w:rsidRPr="00C149C8">
              <w:t>–</w:t>
            </w:r>
            <w:r w:rsidRPr="00DE3094">
              <w:rPr>
                <w:rFonts w:asciiTheme="minorHAnsi" w:hAnsiTheme="minorHAnsi" w:cstheme="minorHAnsi"/>
                <w:bCs/>
                <w:i/>
                <w:lang w:eastAsia="ar-SA"/>
              </w:rPr>
              <w:t xml:space="preserve"> średnia ważona produkcją ciepła planowanych kosztów uprawnień do emisji CO2 przyjętych przez przedsiębiorstwo energetyczne we wnioskach </w:t>
            </w:r>
            <w:r w:rsidRPr="00DE3094">
              <w:rPr>
                <w:rFonts w:asciiTheme="minorHAnsi" w:hAnsiTheme="minorHAnsi" w:cstheme="minorHAnsi"/>
                <w:bCs/>
                <w:i/>
                <w:lang w:eastAsia="ar-SA"/>
              </w:rPr>
              <w:lastRenderedPageBreak/>
              <w:t>taryfowych, na podstawie których zostały zatwierdzone taryfy dla danego źródła ciepła obowiązujące w 2020 r. [zł]</w:t>
            </w:r>
            <w:r w:rsidRPr="00DE3094">
              <w:rPr>
                <w:rFonts w:asciiTheme="minorHAnsi" w:hAnsiTheme="minorHAnsi" w:cstheme="minorHAnsi"/>
                <w:bCs/>
                <w:lang w:eastAsia="ar-SA"/>
              </w:rPr>
              <w:t>”.</w:t>
            </w:r>
            <w:r w:rsidRPr="00DE3094">
              <w:rPr>
                <w:rFonts w:asciiTheme="minorHAnsi" w:eastAsia="Times New Roman" w:hAnsiTheme="minorHAnsi" w:cstheme="minorHAnsi"/>
                <w:b/>
                <w:bCs/>
                <w:lang w:eastAsia="ar-SA"/>
              </w:rPr>
              <w:t xml:space="preserve"> </w:t>
            </w:r>
          </w:p>
        </w:tc>
        <w:tc>
          <w:tcPr>
            <w:tcW w:w="5330" w:type="dxa"/>
            <w:shd w:val="clear" w:color="auto" w:fill="FFFFFF" w:themeFill="background1"/>
          </w:tcPr>
          <w:p w14:paraId="0AA2DE2C" w14:textId="2644C016" w:rsidR="00FB298B" w:rsidRPr="00DE3094" w:rsidRDefault="000F51CB" w:rsidP="000F51CB">
            <w:pPr>
              <w:spacing w:before="60" w:after="60" w:line="252" w:lineRule="auto"/>
              <w:jc w:val="both"/>
              <w:rPr>
                <w:rFonts w:cs="Calibri"/>
              </w:rPr>
            </w:pPr>
            <w:r w:rsidRPr="000F51CB">
              <w:rPr>
                <w:rFonts w:cs="Calibri"/>
              </w:rPr>
              <w:lastRenderedPageBreak/>
              <w:t xml:space="preserve">W naszej ocenie </w:t>
            </w:r>
            <w:r w:rsidR="00DE3094">
              <w:rPr>
                <w:rFonts w:cs="Calibri"/>
              </w:rPr>
              <w:t xml:space="preserve">w przypadku </w:t>
            </w:r>
            <w:r w:rsidRPr="000F51CB">
              <w:rPr>
                <w:rFonts w:cs="Calibri"/>
              </w:rPr>
              <w:t>obowiązywania w danym przedsiębiorstwie więcej niż je</w:t>
            </w:r>
            <w:r w:rsidR="00DE3094">
              <w:rPr>
                <w:rFonts w:cs="Calibri"/>
              </w:rPr>
              <w:t>dnej taryfy (lub zmiany taryf) wzór na rekompensatę może być niejasny i różnie interpretowany. Dlatego p</w:t>
            </w:r>
            <w:r w:rsidRPr="000F51CB">
              <w:rPr>
                <w:rFonts w:cs="Calibri"/>
              </w:rPr>
              <w:t xml:space="preserve">ostulujemy doprecyzowanie </w:t>
            </w:r>
            <w:r>
              <w:rPr>
                <w:rFonts w:cs="Calibri"/>
              </w:rPr>
              <w:t xml:space="preserve">oznaczenie symbolu </w:t>
            </w:r>
            <w:r w:rsidRPr="000F51CB">
              <w:rPr>
                <w:rFonts w:cs="Calibri"/>
                <w:i/>
                <w:iCs/>
              </w:rPr>
              <w:t>„KTCO2 2020</w:t>
            </w:r>
            <w:r w:rsidRPr="000F51CB">
              <w:rPr>
                <w:rFonts w:cs="Calibri"/>
                <w:iCs/>
              </w:rPr>
              <w:t>”, tak aby nie możliwe było jego różne interpretowanie.</w:t>
            </w:r>
            <w:r w:rsidRPr="000F51CB">
              <w:rPr>
                <w:rFonts w:cs="Calibri"/>
                <w:i/>
                <w:iCs/>
              </w:rPr>
              <w:t xml:space="preserve"> </w:t>
            </w:r>
          </w:p>
        </w:tc>
      </w:tr>
    </w:tbl>
    <w:p w14:paraId="5F51420A" w14:textId="25035676" w:rsidR="75FFFD57" w:rsidRPr="00C90B51" w:rsidRDefault="75FFFD57" w:rsidP="00D01542">
      <w:pPr>
        <w:spacing w:before="60" w:after="60" w:line="252" w:lineRule="auto"/>
        <w:jc w:val="both"/>
        <w:rPr>
          <w:rFonts w:asciiTheme="minorHAnsi" w:eastAsia="Arial Narrow" w:hAnsiTheme="minorHAnsi" w:cs="Arial Narrow"/>
        </w:rPr>
      </w:pPr>
    </w:p>
    <w:sectPr w:rsidR="75FFFD57" w:rsidRPr="00C90B51" w:rsidSect="007F0813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87D80" w14:textId="77777777" w:rsidR="0006492D" w:rsidRDefault="0006492D" w:rsidP="00097903">
      <w:pPr>
        <w:spacing w:after="0" w:line="240" w:lineRule="auto"/>
      </w:pPr>
      <w:r>
        <w:separator/>
      </w:r>
    </w:p>
  </w:endnote>
  <w:endnote w:type="continuationSeparator" w:id="0">
    <w:p w14:paraId="1F54A4DC" w14:textId="77777777" w:rsidR="0006492D" w:rsidRDefault="0006492D" w:rsidP="0009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584311"/>
      <w:docPartObj>
        <w:docPartGallery w:val="Page Numbers (Bottom of Page)"/>
        <w:docPartUnique/>
      </w:docPartObj>
    </w:sdtPr>
    <w:sdtEndPr/>
    <w:sdtContent>
      <w:p w14:paraId="60C701FE" w14:textId="287060B6" w:rsidR="00C7381A" w:rsidRDefault="00C738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B15">
          <w:rPr>
            <w:noProof/>
          </w:rPr>
          <w:t>2</w:t>
        </w:r>
        <w:r>
          <w:fldChar w:fldCharType="end"/>
        </w:r>
      </w:p>
    </w:sdtContent>
  </w:sdt>
  <w:p w14:paraId="2BDD8B43" w14:textId="77777777" w:rsidR="00C7381A" w:rsidRDefault="00C738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275A6" w14:textId="77777777" w:rsidR="0006492D" w:rsidRDefault="0006492D" w:rsidP="00097903">
      <w:pPr>
        <w:spacing w:after="0" w:line="240" w:lineRule="auto"/>
      </w:pPr>
      <w:r>
        <w:separator/>
      </w:r>
    </w:p>
  </w:footnote>
  <w:footnote w:type="continuationSeparator" w:id="0">
    <w:p w14:paraId="71BBD235" w14:textId="77777777" w:rsidR="0006492D" w:rsidRDefault="0006492D" w:rsidP="0009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0C7381A" w14:paraId="610B8982" w14:textId="77777777" w:rsidTr="75FFFD57">
      <w:tc>
        <w:tcPr>
          <w:tcW w:w="4665" w:type="dxa"/>
        </w:tcPr>
        <w:p w14:paraId="4E0160AD" w14:textId="2D46E78D" w:rsidR="00C7381A" w:rsidRDefault="00C7381A" w:rsidP="75FFFD57">
          <w:pPr>
            <w:pStyle w:val="Nagwek"/>
            <w:ind w:left="-115"/>
          </w:pPr>
        </w:p>
      </w:tc>
      <w:tc>
        <w:tcPr>
          <w:tcW w:w="4665" w:type="dxa"/>
        </w:tcPr>
        <w:p w14:paraId="7D37D331" w14:textId="25E2D85E" w:rsidR="00C7381A" w:rsidRDefault="00C7381A" w:rsidP="75FFFD57">
          <w:pPr>
            <w:pStyle w:val="Nagwek"/>
            <w:jc w:val="center"/>
          </w:pPr>
        </w:p>
      </w:tc>
      <w:tc>
        <w:tcPr>
          <w:tcW w:w="4665" w:type="dxa"/>
        </w:tcPr>
        <w:p w14:paraId="6AF4F5C1" w14:textId="65E23D86" w:rsidR="00C7381A" w:rsidRDefault="00C7381A" w:rsidP="75FFFD57">
          <w:pPr>
            <w:pStyle w:val="Nagwek"/>
            <w:ind w:right="-115"/>
            <w:jc w:val="right"/>
          </w:pPr>
        </w:p>
      </w:tc>
    </w:tr>
  </w:tbl>
  <w:p w14:paraId="35AC08F8" w14:textId="2CC1A41E" w:rsidR="00C7381A" w:rsidRDefault="00C7381A" w:rsidP="75FFFD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434F8"/>
    <w:multiLevelType w:val="hybridMultilevel"/>
    <w:tmpl w:val="A4B41DDE"/>
    <w:lvl w:ilvl="0" w:tplc="2C92305A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C1CED"/>
    <w:multiLevelType w:val="hybridMultilevel"/>
    <w:tmpl w:val="D472CC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6D1301"/>
    <w:multiLevelType w:val="hybridMultilevel"/>
    <w:tmpl w:val="1D628B22"/>
    <w:lvl w:ilvl="0" w:tplc="FF6216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C1FCD"/>
    <w:multiLevelType w:val="hybridMultilevel"/>
    <w:tmpl w:val="2294C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C2358"/>
    <w:multiLevelType w:val="hybridMultilevel"/>
    <w:tmpl w:val="47BEC0FE"/>
    <w:lvl w:ilvl="0" w:tplc="890C26E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E24415"/>
    <w:multiLevelType w:val="hybridMultilevel"/>
    <w:tmpl w:val="5C9EB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B44C4"/>
    <w:multiLevelType w:val="hybridMultilevel"/>
    <w:tmpl w:val="CBD2E952"/>
    <w:lvl w:ilvl="0" w:tplc="D67A82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9858FF"/>
    <w:multiLevelType w:val="hybridMultilevel"/>
    <w:tmpl w:val="56FEE42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039BE"/>
    <w:multiLevelType w:val="hybridMultilevel"/>
    <w:tmpl w:val="58AC2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575D32"/>
    <w:multiLevelType w:val="hybridMultilevel"/>
    <w:tmpl w:val="049E7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C5215"/>
    <w:multiLevelType w:val="hybridMultilevel"/>
    <w:tmpl w:val="59708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26D56"/>
    <w:multiLevelType w:val="hybridMultilevel"/>
    <w:tmpl w:val="7CFEBD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753660"/>
    <w:multiLevelType w:val="hybridMultilevel"/>
    <w:tmpl w:val="D980ABD4"/>
    <w:lvl w:ilvl="0" w:tplc="521EC7E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8332BE"/>
    <w:multiLevelType w:val="hybridMultilevel"/>
    <w:tmpl w:val="26D4F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A65E6"/>
    <w:multiLevelType w:val="hybridMultilevel"/>
    <w:tmpl w:val="E5102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22995"/>
    <w:multiLevelType w:val="hybridMultilevel"/>
    <w:tmpl w:val="D980ABD4"/>
    <w:lvl w:ilvl="0" w:tplc="521EC7E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4346C9"/>
    <w:multiLevelType w:val="multilevel"/>
    <w:tmpl w:val="B7D4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3157AE"/>
    <w:multiLevelType w:val="hybridMultilevel"/>
    <w:tmpl w:val="58AC2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C71674"/>
    <w:multiLevelType w:val="hybridMultilevel"/>
    <w:tmpl w:val="8B98AC20"/>
    <w:lvl w:ilvl="0" w:tplc="DEE46B8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5C737C"/>
    <w:multiLevelType w:val="hybridMultilevel"/>
    <w:tmpl w:val="58AC2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362DA9"/>
    <w:multiLevelType w:val="hybridMultilevel"/>
    <w:tmpl w:val="BF7C9056"/>
    <w:lvl w:ilvl="0" w:tplc="3CDEA40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  <w:sz w:val="24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7B9A162D"/>
    <w:multiLevelType w:val="hybridMultilevel"/>
    <w:tmpl w:val="CA0A6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A46D3"/>
    <w:multiLevelType w:val="hybridMultilevel"/>
    <w:tmpl w:val="342CD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9"/>
  </w:num>
  <w:num w:numId="4">
    <w:abstractNumId w:val="20"/>
  </w:num>
  <w:num w:numId="5">
    <w:abstractNumId w:val="21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9"/>
  </w:num>
  <w:num w:numId="11">
    <w:abstractNumId w:val="22"/>
  </w:num>
  <w:num w:numId="12">
    <w:abstractNumId w:val="23"/>
  </w:num>
  <w:num w:numId="13">
    <w:abstractNumId w:val="18"/>
  </w:num>
  <w:num w:numId="14">
    <w:abstractNumId w:val="14"/>
  </w:num>
  <w:num w:numId="15">
    <w:abstractNumId w:val="0"/>
  </w:num>
  <w:num w:numId="16">
    <w:abstractNumId w:val="11"/>
  </w:num>
  <w:num w:numId="17">
    <w:abstractNumId w:val="4"/>
  </w:num>
  <w:num w:numId="18">
    <w:abstractNumId w:val="2"/>
  </w:num>
  <w:num w:numId="19">
    <w:abstractNumId w:val="13"/>
  </w:num>
  <w:num w:numId="20">
    <w:abstractNumId w:val="12"/>
  </w:num>
  <w:num w:numId="21">
    <w:abstractNumId w:val="10"/>
  </w:num>
  <w:num w:numId="22">
    <w:abstractNumId w:val="15"/>
  </w:num>
  <w:num w:numId="23">
    <w:abstractNumId w:val="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CA"/>
    <w:rsid w:val="0000472F"/>
    <w:rsid w:val="00005846"/>
    <w:rsid w:val="000064EF"/>
    <w:rsid w:val="00012270"/>
    <w:rsid w:val="00013669"/>
    <w:rsid w:val="00016766"/>
    <w:rsid w:val="0002637F"/>
    <w:rsid w:val="000274D8"/>
    <w:rsid w:val="000512AA"/>
    <w:rsid w:val="000514B4"/>
    <w:rsid w:val="00054B9B"/>
    <w:rsid w:val="00056268"/>
    <w:rsid w:val="000570AF"/>
    <w:rsid w:val="00061C9A"/>
    <w:rsid w:val="0006391A"/>
    <w:rsid w:val="0006492D"/>
    <w:rsid w:val="00070342"/>
    <w:rsid w:val="00085618"/>
    <w:rsid w:val="0008607D"/>
    <w:rsid w:val="000912E3"/>
    <w:rsid w:val="00097533"/>
    <w:rsid w:val="00097903"/>
    <w:rsid w:val="000A033F"/>
    <w:rsid w:val="000A24BF"/>
    <w:rsid w:val="000B7A45"/>
    <w:rsid w:val="000B7B60"/>
    <w:rsid w:val="000C4E58"/>
    <w:rsid w:val="000C5A61"/>
    <w:rsid w:val="000D57B0"/>
    <w:rsid w:val="000E072E"/>
    <w:rsid w:val="000F1698"/>
    <w:rsid w:val="000F4AA9"/>
    <w:rsid w:val="000F51CB"/>
    <w:rsid w:val="00101FA4"/>
    <w:rsid w:val="00102B7F"/>
    <w:rsid w:val="00104D92"/>
    <w:rsid w:val="00105E69"/>
    <w:rsid w:val="00121245"/>
    <w:rsid w:val="001303E5"/>
    <w:rsid w:val="00130987"/>
    <w:rsid w:val="001329EC"/>
    <w:rsid w:val="00134644"/>
    <w:rsid w:val="00137F86"/>
    <w:rsid w:val="00143435"/>
    <w:rsid w:val="0015405A"/>
    <w:rsid w:val="0016586D"/>
    <w:rsid w:val="001714AF"/>
    <w:rsid w:val="001745ED"/>
    <w:rsid w:val="00176C9D"/>
    <w:rsid w:val="001840ED"/>
    <w:rsid w:val="00190909"/>
    <w:rsid w:val="00196795"/>
    <w:rsid w:val="001A0DB7"/>
    <w:rsid w:val="001A292C"/>
    <w:rsid w:val="001B094E"/>
    <w:rsid w:val="001B1B9E"/>
    <w:rsid w:val="001B6D4A"/>
    <w:rsid w:val="001C1154"/>
    <w:rsid w:val="001D4763"/>
    <w:rsid w:val="001D4C6C"/>
    <w:rsid w:val="001D5C95"/>
    <w:rsid w:val="001D6C43"/>
    <w:rsid w:val="001D73DA"/>
    <w:rsid w:val="001E0069"/>
    <w:rsid w:val="001E59A2"/>
    <w:rsid w:val="001E6EEF"/>
    <w:rsid w:val="001F2DFE"/>
    <w:rsid w:val="002357A2"/>
    <w:rsid w:val="00235BDC"/>
    <w:rsid w:val="00252BCE"/>
    <w:rsid w:val="00254559"/>
    <w:rsid w:val="0025738A"/>
    <w:rsid w:val="002573A0"/>
    <w:rsid w:val="00257475"/>
    <w:rsid w:val="00260981"/>
    <w:rsid w:val="00265E00"/>
    <w:rsid w:val="002753E1"/>
    <w:rsid w:val="0028125E"/>
    <w:rsid w:val="002A0B85"/>
    <w:rsid w:val="002A487E"/>
    <w:rsid w:val="002A56A3"/>
    <w:rsid w:val="002B34C8"/>
    <w:rsid w:val="002D26A0"/>
    <w:rsid w:val="002D293B"/>
    <w:rsid w:val="002D6A51"/>
    <w:rsid w:val="002E1ED4"/>
    <w:rsid w:val="003028AB"/>
    <w:rsid w:val="0031348B"/>
    <w:rsid w:val="00317CB1"/>
    <w:rsid w:val="00324DA2"/>
    <w:rsid w:val="0033343C"/>
    <w:rsid w:val="00364C23"/>
    <w:rsid w:val="00376A66"/>
    <w:rsid w:val="003829D1"/>
    <w:rsid w:val="0038365B"/>
    <w:rsid w:val="0039B0BD"/>
    <w:rsid w:val="003A598C"/>
    <w:rsid w:val="003C2A53"/>
    <w:rsid w:val="003D2B15"/>
    <w:rsid w:val="003D4757"/>
    <w:rsid w:val="003D7948"/>
    <w:rsid w:val="003E345B"/>
    <w:rsid w:val="003E753C"/>
    <w:rsid w:val="003F129D"/>
    <w:rsid w:val="00411F9B"/>
    <w:rsid w:val="0041412F"/>
    <w:rsid w:val="00415E1C"/>
    <w:rsid w:val="00416BDC"/>
    <w:rsid w:val="0044249F"/>
    <w:rsid w:val="00443AF1"/>
    <w:rsid w:val="004441DC"/>
    <w:rsid w:val="004609A6"/>
    <w:rsid w:val="004616FB"/>
    <w:rsid w:val="0046235B"/>
    <w:rsid w:val="004664B1"/>
    <w:rsid w:val="004674D5"/>
    <w:rsid w:val="00472877"/>
    <w:rsid w:val="00473860"/>
    <w:rsid w:val="00475D93"/>
    <w:rsid w:val="0048399D"/>
    <w:rsid w:val="00483FA6"/>
    <w:rsid w:val="00484E0E"/>
    <w:rsid w:val="00496D2D"/>
    <w:rsid w:val="004B73B0"/>
    <w:rsid w:val="004C136B"/>
    <w:rsid w:val="004C6F9F"/>
    <w:rsid w:val="004D1430"/>
    <w:rsid w:val="004D65F8"/>
    <w:rsid w:val="004E0C8A"/>
    <w:rsid w:val="004F25F4"/>
    <w:rsid w:val="004F4A17"/>
    <w:rsid w:val="004F6763"/>
    <w:rsid w:val="00510681"/>
    <w:rsid w:val="00512F6D"/>
    <w:rsid w:val="0051467D"/>
    <w:rsid w:val="005223A7"/>
    <w:rsid w:val="00533A5F"/>
    <w:rsid w:val="0053427F"/>
    <w:rsid w:val="0054783E"/>
    <w:rsid w:val="00547DAE"/>
    <w:rsid w:val="005508F7"/>
    <w:rsid w:val="00551E49"/>
    <w:rsid w:val="0055373A"/>
    <w:rsid w:val="00566304"/>
    <w:rsid w:val="00574D0B"/>
    <w:rsid w:val="0058205D"/>
    <w:rsid w:val="00594796"/>
    <w:rsid w:val="005A3BE9"/>
    <w:rsid w:val="005B5584"/>
    <w:rsid w:val="005B7A92"/>
    <w:rsid w:val="005C4E9D"/>
    <w:rsid w:val="005D18AA"/>
    <w:rsid w:val="005D7BAA"/>
    <w:rsid w:val="005D7D16"/>
    <w:rsid w:val="005E05DE"/>
    <w:rsid w:val="005E0BCD"/>
    <w:rsid w:val="005E2CDE"/>
    <w:rsid w:val="005E40C8"/>
    <w:rsid w:val="005E50DB"/>
    <w:rsid w:val="005F3A64"/>
    <w:rsid w:val="006012E4"/>
    <w:rsid w:val="006029C1"/>
    <w:rsid w:val="0061242D"/>
    <w:rsid w:val="00612A63"/>
    <w:rsid w:val="00613442"/>
    <w:rsid w:val="00621D16"/>
    <w:rsid w:val="00641B9C"/>
    <w:rsid w:val="00646F79"/>
    <w:rsid w:val="006511F7"/>
    <w:rsid w:val="006515AC"/>
    <w:rsid w:val="0065296F"/>
    <w:rsid w:val="006551D6"/>
    <w:rsid w:val="00655807"/>
    <w:rsid w:val="0066071B"/>
    <w:rsid w:val="00660FCA"/>
    <w:rsid w:val="00663E7E"/>
    <w:rsid w:val="00664AA0"/>
    <w:rsid w:val="00667025"/>
    <w:rsid w:val="00680B3C"/>
    <w:rsid w:val="00684DDD"/>
    <w:rsid w:val="00691CA8"/>
    <w:rsid w:val="00694851"/>
    <w:rsid w:val="006B1ACD"/>
    <w:rsid w:val="006B1F12"/>
    <w:rsid w:val="006B2239"/>
    <w:rsid w:val="006C4EB7"/>
    <w:rsid w:val="006F1A50"/>
    <w:rsid w:val="006F27AA"/>
    <w:rsid w:val="006F7C52"/>
    <w:rsid w:val="00710F01"/>
    <w:rsid w:val="007136CF"/>
    <w:rsid w:val="00713947"/>
    <w:rsid w:val="00715889"/>
    <w:rsid w:val="0072242A"/>
    <w:rsid w:val="00735D3E"/>
    <w:rsid w:val="007363EB"/>
    <w:rsid w:val="00740B78"/>
    <w:rsid w:val="00744851"/>
    <w:rsid w:val="00746348"/>
    <w:rsid w:val="007472B5"/>
    <w:rsid w:val="00751052"/>
    <w:rsid w:val="00763E3B"/>
    <w:rsid w:val="00781C92"/>
    <w:rsid w:val="007879BB"/>
    <w:rsid w:val="00790D04"/>
    <w:rsid w:val="007910D4"/>
    <w:rsid w:val="00793EC1"/>
    <w:rsid w:val="007959BD"/>
    <w:rsid w:val="007A75B8"/>
    <w:rsid w:val="007C0B7B"/>
    <w:rsid w:val="007C1ADA"/>
    <w:rsid w:val="007C1EC3"/>
    <w:rsid w:val="007D4A39"/>
    <w:rsid w:val="007E5F3A"/>
    <w:rsid w:val="007F0813"/>
    <w:rsid w:val="00801B71"/>
    <w:rsid w:val="00804B78"/>
    <w:rsid w:val="0080597E"/>
    <w:rsid w:val="00805C77"/>
    <w:rsid w:val="00814179"/>
    <w:rsid w:val="0082004C"/>
    <w:rsid w:val="00820410"/>
    <w:rsid w:val="00827690"/>
    <w:rsid w:val="00832F86"/>
    <w:rsid w:val="00847C6E"/>
    <w:rsid w:val="00854BA8"/>
    <w:rsid w:val="008600B0"/>
    <w:rsid w:val="00866293"/>
    <w:rsid w:val="008678EA"/>
    <w:rsid w:val="00870A05"/>
    <w:rsid w:val="00871830"/>
    <w:rsid w:val="0088193C"/>
    <w:rsid w:val="00883334"/>
    <w:rsid w:val="00886415"/>
    <w:rsid w:val="008877C7"/>
    <w:rsid w:val="008928D5"/>
    <w:rsid w:val="008C33C3"/>
    <w:rsid w:val="008D36C4"/>
    <w:rsid w:val="008D6FB8"/>
    <w:rsid w:val="008E013F"/>
    <w:rsid w:val="008E1DBC"/>
    <w:rsid w:val="008F4259"/>
    <w:rsid w:val="009013D0"/>
    <w:rsid w:val="00905C18"/>
    <w:rsid w:val="00921A63"/>
    <w:rsid w:val="0092772A"/>
    <w:rsid w:val="00933520"/>
    <w:rsid w:val="00944C30"/>
    <w:rsid w:val="00945094"/>
    <w:rsid w:val="00945C92"/>
    <w:rsid w:val="00952BD8"/>
    <w:rsid w:val="00952F60"/>
    <w:rsid w:val="00952F82"/>
    <w:rsid w:val="0095487F"/>
    <w:rsid w:val="00965D4E"/>
    <w:rsid w:val="00970023"/>
    <w:rsid w:val="00970C3F"/>
    <w:rsid w:val="009767A0"/>
    <w:rsid w:val="00981C80"/>
    <w:rsid w:val="00991480"/>
    <w:rsid w:val="0099171B"/>
    <w:rsid w:val="009939F2"/>
    <w:rsid w:val="009A1C76"/>
    <w:rsid w:val="009B0377"/>
    <w:rsid w:val="009B40E7"/>
    <w:rsid w:val="009B599C"/>
    <w:rsid w:val="009B6E33"/>
    <w:rsid w:val="009C1475"/>
    <w:rsid w:val="009C304F"/>
    <w:rsid w:val="009D6100"/>
    <w:rsid w:val="009E3E3D"/>
    <w:rsid w:val="009E7E7F"/>
    <w:rsid w:val="009F06B5"/>
    <w:rsid w:val="009F3EBC"/>
    <w:rsid w:val="009F4EAF"/>
    <w:rsid w:val="00A102BC"/>
    <w:rsid w:val="00A14D05"/>
    <w:rsid w:val="00A2041D"/>
    <w:rsid w:val="00A20E18"/>
    <w:rsid w:val="00A22E2F"/>
    <w:rsid w:val="00A33125"/>
    <w:rsid w:val="00A37A18"/>
    <w:rsid w:val="00A40A0B"/>
    <w:rsid w:val="00A419B5"/>
    <w:rsid w:val="00A41A0B"/>
    <w:rsid w:val="00A45BC6"/>
    <w:rsid w:val="00A5100F"/>
    <w:rsid w:val="00A5438F"/>
    <w:rsid w:val="00A56796"/>
    <w:rsid w:val="00A7195C"/>
    <w:rsid w:val="00A73063"/>
    <w:rsid w:val="00A7328D"/>
    <w:rsid w:val="00A74B20"/>
    <w:rsid w:val="00A94E80"/>
    <w:rsid w:val="00A97361"/>
    <w:rsid w:val="00AA1617"/>
    <w:rsid w:val="00AA717F"/>
    <w:rsid w:val="00AB0C52"/>
    <w:rsid w:val="00AB5B79"/>
    <w:rsid w:val="00AC2623"/>
    <w:rsid w:val="00AC7374"/>
    <w:rsid w:val="00AD2F70"/>
    <w:rsid w:val="00AD5FF9"/>
    <w:rsid w:val="00B07BAA"/>
    <w:rsid w:val="00B20F24"/>
    <w:rsid w:val="00B23172"/>
    <w:rsid w:val="00B25931"/>
    <w:rsid w:val="00B269D1"/>
    <w:rsid w:val="00B30294"/>
    <w:rsid w:val="00B50320"/>
    <w:rsid w:val="00B6142D"/>
    <w:rsid w:val="00B63EBA"/>
    <w:rsid w:val="00B6655B"/>
    <w:rsid w:val="00B70700"/>
    <w:rsid w:val="00B74D06"/>
    <w:rsid w:val="00B76F60"/>
    <w:rsid w:val="00B8281B"/>
    <w:rsid w:val="00B9459B"/>
    <w:rsid w:val="00B968E3"/>
    <w:rsid w:val="00BA4BEB"/>
    <w:rsid w:val="00BB0977"/>
    <w:rsid w:val="00BD1C28"/>
    <w:rsid w:val="00BE6EBE"/>
    <w:rsid w:val="00BF17DC"/>
    <w:rsid w:val="00BF20AA"/>
    <w:rsid w:val="00C0055D"/>
    <w:rsid w:val="00C035BD"/>
    <w:rsid w:val="00C037E3"/>
    <w:rsid w:val="00C149C8"/>
    <w:rsid w:val="00C16562"/>
    <w:rsid w:val="00C2133A"/>
    <w:rsid w:val="00C30E9E"/>
    <w:rsid w:val="00C35AA9"/>
    <w:rsid w:val="00C37832"/>
    <w:rsid w:val="00C47C98"/>
    <w:rsid w:val="00C514FE"/>
    <w:rsid w:val="00C5464D"/>
    <w:rsid w:val="00C562EE"/>
    <w:rsid w:val="00C57F95"/>
    <w:rsid w:val="00C67A07"/>
    <w:rsid w:val="00C735C5"/>
    <w:rsid w:val="00C7381A"/>
    <w:rsid w:val="00C7502E"/>
    <w:rsid w:val="00C86FCA"/>
    <w:rsid w:val="00C90B51"/>
    <w:rsid w:val="00C912DE"/>
    <w:rsid w:val="00C945E7"/>
    <w:rsid w:val="00C95045"/>
    <w:rsid w:val="00C96428"/>
    <w:rsid w:val="00CA1D73"/>
    <w:rsid w:val="00CB2C28"/>
    <w:rsid w:val="00CC7466"/>
    <w:rsid w:val="00CE04D5"/>
    <w:rsid w:val="00CE770A"/>
    <w:rsid w:val="00CF1D16"/>
    <w:rsid w:val="00CF4A38"/>
    <w:rsid w:val="00CF6162"/>
    <w:rsid w:val="00CF7846"/>
    <w:rsid w:val="00D00249"/>
    <w:rsid w:val="00D01542"/>
    <w:rsid w:val="00D10615"/>
    <w:rsid w:val="00D12C25"/>
    <w:rsid w:val="00D24439"/>
    <w:rsid w:val="00D2680C"/>
    <w:rsid w:val="00D52462"/>
    <w:rsid w:val="00D60BD2"/>
    <w:rsid w:val="00D7285F"/>
    <w:rsid w:val="00D93537"/>
    <w:rsid w:val="00D95285"/>
    <w:rsid w:val="00D97A45"/>
    <w:rsid w:val="00DA3D4F"/>
    <w:rsid w:val="00DA4750"/>
    <w:rsid w:val="00DA6069"/>
    <w:rsid w:val="00DC49C0"/>
    <w:rsid w:val="00DD76C5"/>
    <w:rsid w:val="00DE05D2"/>
    <w:rsid w:val="00DE3094"/>
    <w:rsid w:val="00DF47D2"/>
    <w:rsid w:val="00E05470"/>
    <w:rsid w:val="00E06BE0"/>
    <w:rsid w:val="00E14683"/>
    <w:rsid w:val="00E2345E"/>
    <w:rsid w:val="00E31E0E"/>
    <w:rsid w:val="00E455EF"/>
    <w:rsid w:val="00E54785"/>
    <w:rsid w:val="00E62706"/>
    <w:rsid w:val="00E67CEE"/>
    <w:rsid w:val="00E723F1"/>
    <w:rsid w:val="00E742C9"/>
    <w:rsid w:val="00E82964"/>
    <w:rsid w:val="00E83186"/>
    <w:rsid w:val="00E86F77"/>
    <w:rsid w:val="00E8717A"/>
    <w:rsid w:val="00E87316"/>
    <w:rsid w:val="00E9142E"/>
    <w:rsid w:val="00EA2E51"/>
    <w:rsid w:val="00EA4EDB"/>
    <w:rsid w:val="00EB4158"/>
    <w:rsid w:val="00EC3857"/>
    <w:rsid w:val="00ED333B"/>
    <w:rsid w:val="00EE2FD8"/>
    <w:rsid w:val="00EE72BD"/>
    <w:rsid w:val="00EF0AE0"/>
    <w:rsid w:val="00EF6B33"/>
    <w:rsid w:val="00F05273"/>
    <w:rsid w:val="00F11978"/>
    <w:rsid w:val="00F2487A"/>
    <w:rsid w:val="00F2619A"/>
    <w:rsid w:val="00F3341F"/>
    <w:rsid w:val="00F3629C"/>
    <w:rsid w:val="00F36F52"/>
    <w:rsid w:val="00F472DC"/>
    <w:rsid w:val="00F54667"/>
    <w:rsid w:val="00F81B45"/>
    <w:rsid w:val="00F911AC"/>
    <w:rsid w:val="00F93B67"/>
    <w:rsid w:val="00F96CC1"/>
    <w:rsid w:val="00FB298B"/>
    <w:rsid w:val="00FB3D3B"/>
    <w:rsid w:val="00FC2B0B"/>
    <w:rsid w:val="00FD58D0"/>
    <w:rsid w:val="00FE19D3"/>
    <w:rsid w:val="00FE281C"/>
    <w:rsid w:val="00FF569B"/>
    <w:rsid w:val="00FF6888"/>
    <w:rsid w:val="0AAD4293"/>
    <w:rsid w:val="109738C9"/>
    <w:rsid w:val="224595ED"/>
    <w:rsid w:val="227D55A9"/>
    <w:rsid w:val="23FF05F9"/>
    <w:rsid w:val="25DE732B"/>
    <w:rsid w:val="2842E577"/>
    <w:rsid w:val="2959C45E"/>
    <w:rsid w:val="31B10976"/>
    <w:rsid w:val="376246FD"/>
    <w:rsid w:val="38B619FC"/>
    <w:rsid w:val="3B26B0EB"/>
    <w:rsid w:val="436D6F20"/>
    <w:rsid w:val="437AB2C0"/>
    <w:rsid w:val="450206D1"/>
    <w:rsid w:val="47DE4ACE"/>
    <w:rsid w:val="488AC803"/>
    <w:rsid w:val="4E31327D"/>
    <w:rsid w:val="4E91106D"/>
    <w:rsid w:val="50EF4508"/>
    <w:rsid w:val="5111A7DA"/>
    <w:rsid w:val="544E9762"/>
    <w:rsid w:val="581FD2AC"/>
    <w:rsid w:val="5AB68F5A"/>
    <w:rsid w:val="5BBDA0B6"/>
    <w:rsid w:val="5CDC7F29"/>
    <w:rsid w:val="62D465AF"/>
    <w:rsid w:val="68C66FBB"/>
    <w:rsid w:val="6B72BEF2"/>
    <w:rsid w:val="6C482CF7"/>
    <w:rsid w:val="706E842B"/>
    <w:rsid w:val="73C302BB"/>
    <w:rsid w:val="7403ED9D"/>
    <w:rsid w:val="74AE19F8"/>
    <w:rsid w:val="75FFFD57"/>
    <w:rsid w:val="76076F6C"/>
    <w:rsid w:val="76FCC4D1"/>
    <w:rsid w:val="7713573D"/>
    <w:rsid w:val="782F4465"/>
    <w:rsid w:val="79A0CE7A"/>
    <w:rsid w:val="7ABA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FA9157"/>
  <w15:chartTrackingRefBased/>
  <w15:docId w15:val="{A17626C4-F39F-4B25-9B28-83AFB327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6C4E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4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7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9790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979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7903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034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7034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070342"/>
    <w:rPr>
      <w:vertAlign w:val="superscript"/>
    </w:rPr>
  </w:style>
  <w:style w:type="character" w:styleId="Hipercze">
    <w:name w:val="Hyperlink"/>
    <w:unhideWhenUsed/>
    <w:rsid w:val="009D6100"/>
    <w:rPr>
      <w:color w:val="0000FF"/>
      <w:u w:val="single"/>
    </w:rPr>
  </w:style>
  <w:style w:type="character" w:customStyle="1" w:styleId="Nagwek4Znak">
    <w:name w:val="Nagłówek 4 Znak"/>
    <w:link w:val="Nagwek4"/>
    <w:uiPriority w:val="9"/>
    <w:rsid w:val="006C4EB7"/>
    <w:rPr>
      <w:rFonts w:ascii="Times New Roman" w:eastAsia="Times New Roman" w:hAnsi="Times New Roman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0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410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715889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F911AC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Normalny1">
    <w:name w:val="Normalny1"/>
    <w:basedOn w:val="Normalny"/>
    <w:rsid w:val="00F911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B1ACD"/>
    <w:pPr>
      <w:spacing w:after="0" w:line="360" w:lineRule="auto"/>
      <w:ind w:left="102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190909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LITlitera">
    <w:name w:val="LIT – litera"/>
    <w:basedOn w:val="Normalny"/>
    <w:uiPriority w:val="14"/>
    <w:qFormat/>
    <w:rsid w:val="00190909"/>
    <w:pPr>
      <w:spacing w:after="0" w:line="360" w:lineRule="auto"/>
      <w:ind w:left="986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LITzmlitliter">
    <w:name w:val="Z_LIT/LIT – zm. lit. literą"/>
    <w:basedOn w:val="LITlitera"/>
    <w:uiPriority w:val="48"/>
    <w:qFormat/>
    <w:rsid w:val="00190909"/>
    <w:pPr>
      <w:ind w:left="1463"/>
    </w:pPr>
  </w:style>
  <w:style w:type="paragraph" w:customStyle="1" w:styleId="PKTpunkt">
    <w:name w:val="PKT – punkt"/>
    <w:uiPriority w:val="13"/>
    <w:qFormat/>
    <w:rsid w:val="005D18A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0512AA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8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8E3"/>
    <w:rPr>
      <w:b/>
      <w:bCs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1242D"/>
    <w:rPr>
      <w:color w:val="605E5C"/>
      <w:shd w:val="clear" w:color="auto" w:fill="E1DFDD"/>
    </w:rPr>
  </w:style>
  <w:style w:type="character" w:customStyle="1" w:styleId="Ppogrubienie">
    <w:name w:val="_P_ – pogrubienie"/>
    <w:basedOn w:val="Domylnaczcionkaakapitu"/>
    <w:uiPriority w:val="1"/>
    <w:qFormat/>
    <w:rsid w:val="00DF47D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4B25A-A1A1-4DE7-859B-74762401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3481</Characters>
  <Application>Microsoft Office Word</Application>
  <DocSecurity>4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Zawadzka-Stępniak</dc:creator>
  <cp:keywords/>
  <dc:description/>
  <cp:lastModifiedBy>Monika Jaczewska</cp:lastModifiedBy>
  <cp:revision>2</cp:revision>
  <dcterms:created xsi:type="dcterms:W3CDTF">2021-04-02T10:14:00Z</dcterms:created>
  <dcterms:modified xsi:type="dcterms:W3CDTF">2021-04-02T10:14:00Z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