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CE521" w14:textId="77777777" w:rsidR="00A30184" w:rsidRDefault="00A30184" w:rsidP="00A30184">
      <w:pPr>
        <w:tabs>
          <w:tab w:val="right" w:pos="9754"/>
        </w:tabs>
        <w:spacing w:after="120" w:line="276" w:lineRule="auto"/>
        <w:ind w:right="56"/>
        <w:jc w:val="both"/>
        <w:rPr>
          <w:rFonts w:ascii="Calibri" w:eastAsia="Calibri" w:hAnsi="Calibri" w:cs="Calibri"/>
          <w:color w:val="auto"/>
          <w:sz w:val="22"/>
          <w:szCs w:val="22"/>
        </w:rPr>
      </w:pPr>
      <w:bookmarkStart w:id="0" w:name="_GoBack"/>
      <w:bookmarkEnd w:id="0"/>
    </w:p>
    <w:p w14:paraId="70ADA1B9" w14:textId="05F352D2" w:rsidR="00817B17" w:rsidRPr="00A30184" w:rsidRDefault="00817B17" w:rsidP="00A30184">
      <w:pPr>
        <w:tabs>
          <w:tab w:val="right" w:pos="9754"/>
        </w:tabs>
        <w:spacing w:after="120" w:line="276" w:lineRule="auto"/>
        <w:ind w:left="851" w:right="56"/>
        <w:jc w:val="both"/>
        <w:rPr>
          <w:rFonts w:ascii="Calibri" w:eastAsia="Calibri" w:hAnsi="Calibri" w:cs="Calibri"/>
          <w:b/>
          <w:color w:val="auto"/>
          <w:sz w:val="22"/>
          <w:szCs w:val="22"/>
        </w:rPr>
      </w:pPr>
      <w:r w:rsidRPr="00A30184">
        <w:rPr>
          <w:rFonts w:ascii="Calibri" w:hAnsi="Calibri" w:cs="Calibri"/>
          <w:b/>
          <w:color w:val="auto"/>
          <w:sz w:val="22"/>
          <w:szCs w:val="22"/>
        </w:rPr>
        <w:t xml:space="preserve">Uwagi Konfederacji Lewiatan do projektu </w:t>
      </w:r>
      <w:r w:rsidRPr="00A30184">
        <w:rPr>
          <w:rFonts w:ascii="Calibri" w:eastAsia="Calibri" w:hAnsi="Calibri" w:cs="Calibri"/>
          <w:b/>
          <w:color w:val="auto"/>
          <w:sz w:val="22"/>
          <w:szCs w:val="22"/>
        </w:rPr>
        <w:t xml:space="preserve">rozporządzenia Ministra Finansów </w:t>
      </w:r>
      <w:hyperlink r:id="rId8" w:history="1">
        <w:r w:rsidRPr="00A30184">
          <w:rPr>
            <w:rStyle w:val="Hipercze"/>
            <w:rFonts w:ascii="Calibri" w:hAnsi="Calibri" w:cs="Calibri"/>
            <w:b/>
            <w:sz w:val="22"/>
            <w:szCs w:val="22"/>
            <w:u w:val="none"/>
          </w:rPr>
          <w:t>w sprawie wyłączenia lub ograniczenia stosowania art. 26 ust. 2e ustawy o podatku dochodowym od osób prawnych</w:t>
        </w:r>
      </w:hyperlink>
    </w:p>
    <w:p w14:paraId="34AC1781" w14:textId="425D11F9" w:rsidR="00827722" w:rsidRPr="005000C5" w:rsidRDefault="00827722" w:rsidP="005000C5">
      <w:pPr>
        <w:spacing w:after="120" w:line="276" w:lineRule="auto"/>
        <w:rPr>
          <w:rFonts w:ascii="Calibri" w:hAnsi="Calibri" w:cs="Calibri"/>
          <w:b/>
          <w:sz w:val="22"/>
          <w:szCs w:val="22"/>
        </w:rPr>
      </w:pPr>
    </w:p>
    <w:p w14:paraId="748BED16" w14:textId="570E2CE0" w:rsidR="00827722" w:rsidRPr="00497E91" w:rsidRDefault="00AA60B7" w:rsidP="003F3FFD">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276"/>
        <w:jc w:val="both"/>
        <w:rPr>
          <w:rFonts w:ascii="Calibri" w:hAnsi="Calibri" w:cs="Calibri"/>
          <w:b/>
          <w:sz w:val="22"/>
          <w:szCs w:val="22"/>
        </w:rPr>
      </w:pPr>
      <w:r w:rsidRPr="005000C5">
        <w:rPr>
          <w:rFonts w:ascii="Calibri" w:hAnsi="Calibri" w:cs="Calibri"/>
          <w:b/>
          <w:sz w:val="22"/>
          <w:szCs w:val="22"/>
        </w:rPr>
        <w:t>Stosowanie art. 26 ust. 1 ustawy o CIT do płatności przekraczających kwotę 2 mln złotych</w:t>
      </w:r>
    </w:p>
    <w:p w14:paraId="5C4FB660" w14:textId="7C03A0A0" w:rsidR="00827722" w:rsidRPr="005000C5" w:rsidRDefault="00AA60B7" w:rsidP="003F3FFD">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after="120"/>
        <w:ind w:left="1276" w:hanging="357"/>
        <w:jc w:val="both"/>
        <w:rPr>
          <w:rFonts w:ascii="Calibri" w:hAnsi="Calibri" w:cs="Calibri"/>
          <w:b/>
          <w:sz w:val="22"/>
          <w:szCs w:val="22"/>
        </w:rPr>
      </w:pPr>
      <w:r w:rsidRPr="005000C5">
        <w:rPr>
          <w:rFonts w:ascii="Calibri" w:hAnsi="Calibri" w:cs="Calibri"/>
          <w:sz w:val="22"/>
          <w:szCs w:val="22"/>
        </w:rPr>
        <w:t xml:space="preserve">Zgodnie z treścią Rozporządzenia, wyłącza ono lub ogranicza stosowanie art. 26 ust. 2e ustawy o podatku dochodowym od osób prawnych (dalej: </w:t>
      </w:r>
      <w:r w:rsidRPr="005000C5">
        <w:rPr>
          <w:rFonts w:ascii="Calibri" w:hAnsi="Calibri" w:cs="Calibri"/>
          <w:b/>
          <w:sz w:val="22"/>
          <w:szCs w:val="22"/>
        </w:rPr>
        <w:t>ustawa o CIT</w:t>
      </w:r>
      <w:r w:rsidRPr="005000C5">
        <w:rPr>
          <w:rFonts w:ascii="Calibri" w:hAnsi="Calibri" w:cs="Calibri"/>
          <w:sz w:val="22"/>
          <w:szCs w:val="22"/>
        </w:rPr>
        <w:t>). Tym samym w 2019 r.</w:t>
      </w:r>
      <w:r w:rsidR="00827722" w:rsidRPr="005000C5">
        <w:rPr>
          <w:rFonts w:ascii="Calibri" w:hAnsi="Calibri" w:cs="Calibri"/>
          <w:sz w:val="22"/>
          <w:szCs w:val="22"/>
        </w:rPr>
        <w:br/>
      </w:r>
      <w:r w:rsidRPr="005000C5">
        <w:rPr>
          <w:rFonts w:ascii="Calibri" w:hAnsi="Calibri" w:cs="Calibri"/>
          <w:sz w:val="22"/>
          <w:szCs w:val="22"/>
        </w:rPr>
        <w:t>(w zależności od przypadku: do 1 lipca lub do 31 grudnia 2019 r.)</w:t>
      </w:r>
      <w:r w:rsidR="00827722" w:rsidRPr="005000C5">
        <w:rPr>
          <w:rFonts w:ascii="Calibri" w:hAnsi="Calibri" w:cs="Calibri"/>
          <w:sz w:val="22"/>
          <w:szCs w:val="22"/>
        </w:rPr>
        <w:t>,</w:t>
      </w:r>
      <w:r w:rsidRPr="005000C5">
        <w:rPr>
          <w:rFonts w:ascii="Calibri" w:hAnsi="Calibri" w:cs="Calibri"/>
          <w:sz w:val="22"/>
          <w:szCs w:val="22"/>
        </w:rPr>
        <w:t xml:space="preserve"> do określenia procedury postępowania płatnika, powinien mieć zastosowanie art. 26 ust. 1 w brzmieniu obowiązującym od 1 stycznia 2019 r.</w:t>
      </w:r>
    </w:p>
    <w:p w14:paraId="7E6448FC" w14:textId="605ABD29" w:rsidR="00827722" w:rsidRPr="005000C5" w:rsidRDefault="00AA60B7" w:rsidP="005F606E">
      <w:pPr>
        <w:pStyle w:val="Akapitzlist"/>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after="120"/>
        <w:ind w:left="1276"/>
        <w:jc w:val="both"/>
        <w:rPr>
          <w:rFonts w:ascii="Calibri" w:hAnsi="Calibri" w:cs="Calibri"/>
          <w:b/>
          <w:sz w:val="22"/>
          <w:szCs w:val="22"/>
        </w:rPr>
      </w:pPr>
      <w:r w:rsidRPr="005000C5">
        <w:rPr>
          <w:rFonts w:ascii="Calibri" w:hAnsi="Calibri" w:cs="Calibri"/>
          <w:sz w:val="22"/>
          <w:szCs w:val="22"/>
        </w:rPr>
        <w:t xml:space="preserve">Jednocześnie, zgodnie z literalnym brzmieniem art. 26 ust. </w:t>
      </w:r>
      <w:r w:rsidR="00827722" w:rsidRPr="005000C5">
        <w:rPr>
          <w:rFonts w:ascii="Calibri" w:hAnsi="Calibri" w:cs="Calibri"/>
          <w:sz w:val="22"/>
          <w:szCs w:val="22"/>
        </w:rPr>
        <w:t>1 ustawy o CIT, przewidziana</w:t>
      </w:r>
      <w:r w:rsidRPr="005000C5">
        <w:rPr>
          <w:rFonts w:ascii="Calibri" w:hAnsi="Calibri" w:cs="Calibri"/>
          <w:sz w:val="22"/>
          <w:szCs w:val="22"/>
        </w:rPr>
        <w:t xml:space="preserve"> procedura stosowania niższej stawki lub zwolnienia dla podatku u źródła przez płatnika dokonującego wypłat należności z tytułów wymienionych w art. 21 oraz 22 ustawy o CIT będzie od 1 stycznia 2019 r. dotyczyć sytuacji, gdy płatność nie przekracza kwoty 2 mln złotych (co było spójne w sytuacji, gdy obowiązywał art. 26 ust. 2e).</w:t>
      </w:r>
    </w:p>
    <w:p w14:paraId="0D495284" w14:textId="77777777" w:rsidR="005000C5" w:rsidRPr="005000C5" w:rsidRDefault="00AA60B7" w:rsidP="005F606E">
      <w:pPr>
        <w:pStyle w:val="Akapitzlist"/>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after="120"/>
        <w:ind w:left="1276"/>
        <w:jc w:val="both"/>
        <w:rPr>
          <w:rFonts w:ascii="Calibri" w:hAnsi="Calibri" w:cs="Calibri"/>
          <w:b/>
          <w:sz w:val="22"/>
          <w:szCs w:val="22"/>
        </w:rPr>
      </w:pPr>
      <w:r w:rsidRPr="005000C5">
        <w:rPr>
          <w:rFonts w:ascii="Calibri" w:hAnsi="Calibri" w:cs="Calibri"/>
          <w:sz w:val="22"/>
          <w:szCs w:val="22"/>
        </w:rPr>
        <w:t>Z punktu widzenia pewności prawa i wynikających z niego obowiązków, postulujemy uregulowanie w Rozporządzeniu w jakim zakresie, w okresie wyłączenia stosowania art. 26 ust</w:t>
      </w:r>
      <w:r w:rsidR="00827722" w:rsidRPr="005000C5">
        <w:rPr>
          <w:rFonts w:ascii="Calibri" w:hAnsi="Calibri" w:cs="Calibri"/>
          <w:sz w:val="22"/>
          <w:szCs w:val="22"/>
        </w:rPr>
        <w:t>.</w:t>
      </w:r>
      <w:r w:rsidRPr="005000C5">
        <w:rPr>
          <w:rFonts w:ascii="Calibri" w:hAnsi="Calibri" w:cs="Calibri"/>
          <w:sz w:val="22"/>
          <w:szCs w:val="22"/>
        </w:rPr>
        <w:t xml:space="preserve"> 2e ustawy o CIT, znajdzie zastosowanie art. 26 ust</w:t>
      </w:r>
      <w:r w:rsidR="00827722" w:rsidRPr="005000C5">
        <w:rPr>
          <w:rFonts w:ascii="Calibri" w:hAnsi="Calibri" w:cs="Calibri"/>
          <w:sz w:val="22"/>
          <w:szCs w:val="22"/>
        </w:rPr>
        <w:t>.</w:t>
      </w:r>
      <w:r w:rsidRPr="005000C5">
        <w:rPr>
          <w:rFonts w:ascii="Calibri" w:hAnsi="Calibri" w:cs="Calibri"/>
          <w:sz w:val="22"/>
          <w:szCs w:val="22"/>
        </w:rPr>
        <w:t xml:space="preserve"> 1 ustawy o CIT dla płatności</w:t>
      </w:r>
      <w:r w:rsidR="00827722" w:rsidRPr="005000C5">
        <w:rPr>
          <w:rFonts w:ascii="Calibri" w:hAnsi="Calibri" w:cs="Calibri"/>
          <w:sz w:val="22"/>
          <w:szCs w:val="22"/>
        </w:rPr>
        <w:t>,</w:t>
      </w:r>
      <w:r w:rsidRPr="005000C5">
        <w:rPr>
          <w:rFonts w:ascii="Calibri" w:hAnsi="Calibri" w:cs="Calibri"/>
          <w:sz w:val="22"/>
          <w:szCs w:val="22"/>
        </w:rPr>
        <w:t xml:space="preserve"> których wartość w roku podatkowym przekracza 2 mln złotych w stosunku do podatnika.</w:t>
      </w:r>
    </w:p>
    <w:p w14:paraId="4878F554" w14:textId="77777777" w:rsidR="005000C5" w:rsidRPr="005000C5" w:rsidRDefault="005000C5" w:rsidP="003F3FFD">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after="120"/>
        <w:ind w:left="1276" w:hanging="357"/>
        <w:jc w:val="both"/>
        <w:rPr>
          <w:rFonts w:ascii="Calibri" w:hAnsi="Calibri" w:cs="Calibri"/>
          <w:b/>
          <w:sz w:val="22"/>
          <w:szCs w:val="22"/>
        </w:rPr>
      </w:pPr>
      <w:r w:rsidRPr="005000C5">
        <w:rPr>
          <w:rFonts w:ascii="Calibri" w:hAnsi="Calibri" w:cs="Calibri"/>
          <w:sz w:val="22"/>
          <w:szCs w:val="22"/>
        </w:rPr>
        <w:t>Nie jest jasne czy podatnicy/ płatnicy będą mogli składać wniosek o wydanie opinii, o której mowa w art. 26b CIT już od 1 stycznia 2019 r. mimo faktu odroczenia w czasie nowego mechanizmu poboru podatku WHT. Naszym zdaniem, prawo do wnioskowania o wydanie ww. opinii powinno istnieć już od 1 stycznia 2019 r.</w:t>
      </w:r>
    </w:p>
    <w:p w14:paraId="37221064" w14:textId="77777777" w:rsidR="005000C5" w:rsidRPr="005000C5" w:rsidRDefault="005000C5" w:rsidP="003F3FFD">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after="120"/>
        <w:ind w:left="1276" w:hanging="357"/>
        <w:jc w:val="both"/>
        <w:rPr>
          <w:rFonts w:ascii="Calibri" w:hAnsi="Calibri" w:cs="Calibri"/>
          <w:b/>
          <w:sz w:val="22"/>
          <w:szCs w:val="22"/>
        </w:rPr>
      </w:pPr>
      <w:r w:rsidRPr="005000C5">
        <w:rPr>
          <w:rFonts w:ascii="Calibri" w:hAnsi="Calibri" w:cs="Calibri"/>
          <w:sz w:val="22"/>
          <w:szCs w:val="22"/>
        </w:rPr>
        <w:t>Wprowadzenie obowiązku składania wniosku o zwrot pobranego podatku WHT i o wydanie opinii, o której mowa w art. 26b CIT, w formacie struktur logicznych (JPK) będzie de facto wymuszało na podmiotach zagranicznych (podatnikach) konieczność skorzystania z usług doradztwa podatkowego, co w praktyce istotnie zwiększy koszty odzyskania pobranego podatku. W praktyce trudność ta może prowadzić do "wymuszania" na polskich płatnikach (zwłaszcza na mniejszych podmiotach) obowiązku wprowadzenia klauzul ubruttowiających do istniejących umów i zwiększania ich obciążeń.</w:t>
      </w:r>
    </w:p>
    <w:p w14:paraId="14823349" w14:textId="6C719FA5" w:rsidR="00497E91" w:rsidRPr="005F606E" w:rsidRDefault="005000C5" w:rsidP="005F606E">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after="120"/>
        <w:ind w:left="1276" w:hanging="357"/>
        <w:jc w:val="both"/>
        <w:rPr>
          <w:rFonts w:ascii="Calibri" w:hAnsi="Calibri" w:cs="Calibri"/>
          <w:b/>
          <w:sz w:val="22"/>
          <w:szCs w:val="22"/>
        </w:rPr>
      </w:pPr>
      <w:r w:rsidRPr="005000C5">
        <w:rPr>
          <w:rFonts w:ascii="Calibri" w:hAnsi="Calibri" w:cs="Calibri"/>
          <w:sz w:val="22"/>
          <w:szCs w:val="22"/>
        </w:rPr>
        <w:t>Należyta staranność przy weryfikacji warunków zastosowania niższej stawki/ zwolnienia/ niepobrania podatku oraz nowa definicja rzeczywistego właściciela będą stosowane już od</w:t>
      </w:r>
      <w:r w:rsidRPr="005000C5">
        <w:rPr>
          <w:rFonts w:ascii="Calibri" w:hAnsi="Calibri" w:cs="Calibri"/>
          <w:sz w:val="22"/>
          <w:szCs w:val="22"/>
        </w:rPr>
        <w:br/>
        <w:t>1 stycznia 2019 r. Uwzględniając, że nie zostały jeszcze opublikowane wyjaśnienia/ objaśnienia MF co do zakresu oczekiwanych oświadczeń, które powinni pozyskać płatnicy oraz co do wymogów należytej staranności dokonywanie po 1 stycznia 2019 r. jakichkolwiek wypłat podlegających WHT i niepobieranie tego podatku (zgodnie z odroczonym w czasie art. 26 ust. 2e CIT) powoduje przeniesienie ciężaru ryzyka nieprawidłowego niepobrania podatku na płatników. Co więcej w świetle braku objaśnień na 2 tygodnie przed wejściem w życie nowych wymogów płatnicy nie są w stanie określić skali tego ryzyka.</w:t>
      </w:r>
    </w:p>
    <w:p w14:paraId="1DF3B995" w14:textId="1D576D36" w:rsidR="00AA60B7" w:rsidRPr="00497E91" w:rsidRDefault="00AA60B7" w:rsidP="003F3FFD">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ind w:left="1276"/>
        <w:jc w:val="both"/>
        <w:rPr>
          <w:rFonts w:ascii="Calibri" w:hAnsi="Calibri" w:cs="Calibri"/>
          <w:b/>
          <w:sz w:val="22"/>
          <w:szCs w:val="22"/>
        </w:rPr>
      </w:pPr>
      <w:r w:rsidRPr="00497E91">
        <w:rPr>
          <w:rFonts w:ascii="Calibri" w:hAnsi="Calibri" w:cs="Calibri"/>
          <w:b/>
          <w:bCs/>
          <w:sz w:val="22"/>
          <w:szCs w:val="22"/>
        </w:rPr>
        <w:lastRenderedPageBreak/>
        <w:t>Podmiotowe bezterminowe wyłączenie stosowania art. 26 ust</w:t>
      </w:r>
      <w:r w:rsidR="005000C5" w:rsidRPr="00497E91">
        <w:rPr>
          <w:rFonts w:ascii="Calibri" w:hAnsi="Calibri" w:cs="Calibri"/>
          <w:b/>
          <w:bCs/>
          <w:sz w:val="22"/>
          <w:szCs w:val="22"/>
        </w:rPr>
        <w:t>.</w:t>
      </w:r>
      <w:r w:rsidRPr="00497E91">
        <w:rPr>
          <w:rFonts w:ascii="Calibri" w:hAnsi="Calibri" w:cs="Calibri"/>
          <w:b/>
          <w:bCs/>
          <w:sz w:val="22"/>
          <w:szCs w:val="22"/>
        </w:rPr>
        <w:t xml:space="preserve"> 2e ustawy o CIT</w:t>
      </w:r>
    </w:p>
    <w:p w14:paraId="28932D0C" w14:textId="21F2B9EE" w:rsidR="00AA60B7" w:rsidRPr="005000C5" w:rsidRDefault="00AA60B7" w:rsidP="00497E91">
      <w:pPr>
        <w:spacing w:after="120" w:line="276" w:lineRule="auto"/>
        <w:ind w:left="851"/>
        <w:jc w:val="both"/>
        <w:rPr>
          <w:rFonts w:ascii="Calibri" w:hAnsi="Calibri" w:cs="Calibri"/>
          <w:sz w:val="22"/>
          <w:szCs w:val="22"/>
        </w:rPr>
      </w:pPr>
      <w:r w:rsidRPr="005000C5">
        <w:rPr>
          <w:rFonts w:ascii="Calibri" w:hAnsi="Calibri" w:cs="Calibri"/>
          <w:sz w:val="22"/>
          <w:szCs w:val="22"/>
        </w:rPr>
        <w:t>Projekt Rozporządzenia przewiduje możliwość bezterminowego wyłączenia stosowania art. 26 ust</w:t>
      </w:r>
      <w:r w:rsidR="005000C5">
        <w:rPr>
          <w:rFonts w:ascii="Calibri" w:hAnsi="Calibri" w:cs="Calibri"/>
          <w:sz w:val="22"/>
          <w:szCs w:val="22"/>
        </w:rPr>
        <w:t>.</w:t>
      </w:r>
      <w:r w:rsidRPr="005000C5">
        <w:rPr>
          <w:rFonts w:ascii="Calibri" w:hAnsi="Calibri" w:cs="Calibri"/>
          <w:sz w:val="22"/>
          <w:szCs w:val="22"/>
        </w:rPr>
        <w:t xml:space="preserve"> 2e ustawy o CIT w stosunku do podmiotów spełniających określone przesłanki podmiotowe</w:t>
      </w:r>
      <w:r w:rsidR="005000C5">
        <w:rPr>
          <w:rFonts w:ascii="Calibri" w:hAnsi="Calibri" w:cs="Calibri"/>
          <w:sz w:val="22"/>
          <w:szCs w:val="22"/>
        </w:rPr>
        <w:br/>
        <w:t>(§</w:t>
      </w:r>
      <w:r w:rsidRPr="005000C5">
        <w:rPr>
          <w:rFonts w:ascii="Calibri" w:hAnsi="Calibri" w:cs="Calibri"/>
          <w:sz w:val="22"/>
          <w:szCs w:val="22"/>
        </w:rPr>
        <w:t>2 Rozporządzenia).</w:t>
      </w:r>
      <w:r w:rsidR="00497E91">
        <w:rPr>
          <w:rFonts w:ascii="Calibri" w:hAnsi="Calibri" w:cs="Calibri"/>
          <w:sz w:val="22"/>
          <w:szCs w:val="22"/>
        </w:rPr>
        <w:t xml:space="preserve"> </w:t>
      </w:r>
      <w:r w:rsidRPr="005000C5">
        <w:rPr>
          <w:rFonts w:ascii="Calibri" w:hAnsi="Calibri" w:cs="Calibri"/>
          <w:sz w:val="22"/>
          <w:szCs w:val="22"/>
        </w:rPr>
        <w:t xml:space="preserve">W ocenie </w:t>
      </w:r>
      <w:r w:rsidR="005000C5">
        <w:rPr>
          <w:rFonts w:ascii="Calibri" w:hAnsi="Calibri" w:cs="Calibri"/>
          <w:sz w:val="22"/>
          <w:szCs w:val="22"/>
        </w:rPr>
        <w:t>Konfederacji Lewiatan</w:t>
      </w:r>
      <w:r w:rsidRPr="005000C5">
        <w:rPr>
          <w:rFonts w:ascii="Calibri" w:hAnsi="Calibri" w:cs="Calibri"/>
          <w:sz w:val="22"/>
          <w:szCs w:val="22"/>
        </w:rPr>
        <w:t>, zakres bezterminowego wyłączenia stosowania art. 26 ust</w:t>
      </w:r>
      <w:r w:rsidR="005000C5">
        <w:rPr>
          <w:rFonts w:ascii="Calibri" w:hAnsi="Calibri" w:cs="Calibri"/>
          <w:sz w:val="22"/>
          <w:szCs w:val="22"/>
        </w:rPr>
        <w:t>.</w:t>
      </w:r>
      <w:r w:rsidRPr="005000C5">
        <w:rPr>
          <w:rFonts w:ascii="Calibri" w:hAnsi="Calibri" w:cs="Calibri"/>
          <w:sz w:val="22"/>
          <w:szCs w:val="22"/>
        </w:rPr>
        <w:t xml:space="preserve"> 2e ustawy o CIT powinien uwzględniać również inne podmioty z uwagi na gospodarcze znaczenie dokonywanych do nich płatności, w szczególności:</w:t>
      </w:r>
    </w:p>
    <w:p w14:paraId="1C2120F7" w14:textId="36F21E3B" w:rsidR="005000C5" w:rsidRDefault="00AA60B7" w:rsidP="003F3FFD">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276"/>
        <w:jc w:val="both"/>
        <w:rPr>
          <w:rFonts w:ascii="Calibri" w:hAnsi="Calibri" w:cs="Calibri"/>
          <w:sz w:val="22"/>
          <w:szCs w:val="22"/>
        </w:rPr>
      </w:pPr>
      <w:r w:rsidRPr="005000C5">
        <w:rPr>
          <w:rFonts w:ascii="Calibri" w:hAnsi="Calibri" w:cs="Calibri"/>
          <w:b/>
          <w:bCs/>
          <w:sz w:val="22"/>
          <w:szCs w:val="22"/>
        </w:rPr>
        <w:t>Wyłączenie stosowania art. 26 ust</w:t>
      </w:r>
      <w:r w:rsidR="005000C5">
        <w:rPr>
          <w:rFonts w:ascii="Calibri" w:hAnsi="Calibri" w:cs="Calibri"/>
          <w:b/>
          <w:bCs/>
          <w:sz w:val="22"/>
          <w:szCs w:val="22"/>
        </w:rPr>
        <w:t>.</w:t>
      </w:r>
      <w:r w:rsidRPr="005000C5">
        <w:rPr>
          <w:rFonts w:ascii="Calibri" w:hAnsi="Calibri" w:cs="Calibri"/>
          <w:b/>
          <w:bCs/>
          <w:sz w:val="22"/>
          <w:szCs w:val="22"/>
        </w:rPr>
        <w:t xml:space="preserve"> 2e ustawy o CIT w stosunku do zagranicznych banków mających siedzibę w kraju, z którym Polska posiada podpisaną Umowę o unikaniu podwójnego opodatkowania działające na podstawie zezwoleń właściwych organów</w:t>
      </w:r>
      <w:r w:rsidR="005000C5">
        <w:rPr>
          <w:rFonts w:ascii="Calibri" w:hAnsi="Calibri" w:cs="Calibri"/>
          <w:b/>
          <w:bCs/>
          <w:sz w:val="22"/>
          <w:szCs w:val="22"/>
        </w:rPr>
        <w:t>.</w:t>
      </w:r>
      <w:r w:rsidR="005000C5">
        <w:rPr>
          <w:rFonts w:ascii="Calibri" w:hAnsi="Calibri" w:cs="Calibri"/>
          <w:b/>
          <w:bCs/>
          <w:sz w:val="22"/>
          <w:szCs w:val="22"/>
        </w:rPr>
        <w:br/>
      </w:r>
      <w:r w:rsidRPr="005000C5">
        <w:rPr>
          <w:rFonts w:ascii="Calibri" w:hAnsi="Calibri" w:cs="Calibri"/>
          <w:sz w:val="22"/>
          <w:szCs w:val="22"/>
        </w:rPr>
        <w:t xml:space="preserve">W dominującej ilości przypadków, zawarte przez polskie podmioty (kredytobiorców) umowy kredytowe zawierają tzw. klauzule ubruttawiające. Efektywnie więc, praktyczne stosowanie nowych przepisów doprowadzi do przerzucenia ciężaru ekonomicznego ich stosowania na polskiego płatnika. Jednocześnie, na gruncie dominującej ilości </w:t>
      </w:r>
      <w:r w:rsidR="00497E91">
        <w:rPr>
          <w:rFonts w:ascii="Calibri" w:hAnsi="Calibri" w:cs="Calibri"/>
          <w:sz w:val="22"/>
          <w:szCs w:val="22"/>
        </w:rPr>
        <w:t>umów o unikaniu podwójnego opodatkowania (</w:t>
      </w:r>
      <w:r w:rsidRPr="005000C5">
        <w:rPr>
          <w:rFonts w:ascii="Calibri" w:hAnsi="Calibri" w:cs="Calibri"/>
          <w:sz w:val="22"/>
          <w:szCs w:val="22"/>
        </w:rPr>
        <w:t>UPO</w:t>
      </w:r>
      <w:r w:rsidR="00497E91">
        <w:rPr>
          <w:rFonts w:ascii="Calibri" w:hAnsi="Calibri" w:cs="Calibri"/>
          <w:sz w:val="22"/>
          <w:szCs w:val="22"/>
        </w:rPr>
        <w:t>)</w:t>
      </w:r>
      <w:r w:rsidRPr="005000C5">
        <w:rPr>
          <w:rFonts w:ascii="Calibri" w:hAnsi="Calibri" w:cs="Calibri"/>
          <w:sz w:val="22"/>
          <w:szCs w:val="22"/>
        </w:rPr>
        <w:t xml:space="preserve"> zawartych przez Polskę, płatności na rzecz banków podlegają zwolnieniu z WHT bez dodatkowych warunków. Tym samym, w </w:t>
      </w:r>
      <w:r w:rsidR="005000C5">
        <w:rPr>
          <w:rFonts w:ascii="Calibri" w:hAnsi="Calibri" w:cs="Calibri"/>
          <w:sz w:val="22"/>
          <w:szCs w:val="22"/>
        </w:rPr>
        <w:t>naszej ocenie</w:t>
      </w:r>
      <w:r w:rsidRPr="005000C5">
        <w:rPr>
          <w:rFonts w:ascii="Calibri" w:hAnsi="Calibri" w:cs="Calibri"/>
          <w:sz w:val="22"/>
          <w:szCs w:val="22"/>
        </w:rPr>
        <w:t xml:space="preserve"> racjonalne i uzasadnione gospodarczo byłoby, aby banki mające siedzibę w kraju traktatowym były objęte dotychczasowymi zasadami rozlic</w:t>
      </w:r>
      <w:r w:rsidR="005000C5">
        <w:rPr>
          <w:rFonts w:ascii="Calibri" w:hAnsi="Calibri" w:cs="Calibri"/>
          <w:sz w:val="22"/>
          <w:szCs w:val="22"/>
        </w:rPr>
        <w:t>zeń w zakresie podatku u źródła.</w:t>
      </w:r>
    </w:p>
    <w:p w14:paraId="431492D5" w14:textId="3ED3A725" w:rsidR="005000C5" w:rsidRPr="00497E91" w:rsidRDefault="00AA60B7" w:rsidP="003F3FFD">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276"/>
        <w:jc w:val="both"/>
        <w:rPr>
          <w:rFonts w:ascii="Calibri" w:hAnsi="Calibri" w:cs="Calibri"/>
          <w:sz w:val="22"/>
          <w:szCs w:val="22"/>
        </w:rPr>
      </w:pPr>
      <w:r w:rsidRPr="005000C5">
        <w:rPr>
          <w:rFonts w:ascii="Calibri" w:hAnsi="Calibri" w:cs="Calibri"/>
          <w:b/>
          <w:bCs/>
          <w:sz w:val="22"/>
          <w:szCs w:val="22"/>
        </w:rPr>
        <w:t>Wyłączenie stosowania art. 26 ust. 2e ustawy o CIT w stosunku do funduszy inwestycyjnych</w:t>
      </w:r>
      <w:r w:rsidR="005000C5">
        <w:rPr>
          <w:rFonts w:ascii="Calibri" w:hAnsi="Calibri" w:cs="Calibri"/>
          <w:b/>
          <w:bCs/>
          <w:sz w:val="22"/>
          <w:szCs w:val="22"/>
        </w:rPr>
        <w:br/>
      </w:r>
      <w:r w:rsidRPr="005000C5">
        <w:rPr>
          <w:rFonts w:ascii="Calibri" w:hAnsi="Calibri" w:cs="Calibri"/>
          <w:b/>
          <w:bCs/>
          <w:sz w:val="22"/>
          <w:szCs w:val="22"/>
        </w:rPr>
        <w:t>o których mowa w art. 6 ust. 1 pkt 10 i 10a oraz art. 17 ust.1 pkt 58 ustawy o CIT</w:t>
      </w:r>
      <w:r w:rsidR="005000C5">
        <w:rPr>
          <w:rFonts w:ascii="Calibri" w:hAnsi="Calibri" w:cs="Calibri"/>
          <w:b/>
          <w:bCs/>
          <w:sz w:val="22"/>
          <w:szCs w:val="22"/>
        </w:rPr>
        <w:t>.</w:t>
      </w:r>
      <w:r w:rsidR="00497E91">
        <w:rPr>
          <w:rFonts w:ascii="Calibri" w:hAnsi="Calibri" w:cs="Calibri"/>
          <w:b/>
          <w:bCs/>
          <w:sz w:val="22"/>
          <w:szCs w:val="22"/>
        </w:rPr>
        <w:t xml:space="preserve"> </w:t>
      </w:r>
      <w:r w:rsidRPr="00497E91">
        <w:rPr>
          <w:rFonts w:ascii="Calibri" w:hAnsi="Calibri" w:cs="Calibri"/>
          <w:sz w:val="22"/>
          <w:szCs w:val="22"/>
        </w:rPr>
        <w:t>Jeżeli fundusz inwestycyjny jest objęty zwolnieniem na podstawie art. 6 lub art. 17 ustawy o CIT to znaczy, że spełnia szereg przesłanek o charakterze regulacyjno – nadzorczym</w:t>
      </w:r>
      <w:r w:rsidR="005000C5" w:rsidRPr="00497E91">
        <w:rPr>
          <w:rFonts w:ascii="Calibri" w:hAnsi="Calibri" w:cs="Calibri"/>
          <w:sz w:val="22"/>
          <w:szCs w:val="22"/>
        </w:rPr>
        <w:t>,</w:t>
      </w:r>
      <w:r w:rsidRPr="00497E91">
        <w:rPr>
          <w:rFonts w:ascii="Calibri" w:hAnsi="Calibri" w:cs="Calibri"/>
          <w:sz w:val="22"/>
          <w:szCs w:val="22"/>
        </w:rPr>
        <w:t xml:space="preserve"> które przy spełnieniu przesłanek z art. 26 ust. 1 pozwalają na niepobranie podatku u źródła w Polsce. </w:t>
      </w:r>
      <w:r w:rsidR="005000C5" w:rsidRPr="00497E91">
        <w:rPr>
          <w:rFonts w:ascii="Calibri" w:hAnsi="Calibri" w:cs="Calibri"/>
          <w:sz w:val="22"/>
          <w:szCs w:val="22"/>
        </w:rPr>
        <w:t>S</w:t>
      </w:r>
      <w:r w:rsidRPr="00497E91">
        <w:rPr>
          <w:rFonts w:ascii="Calibri" w:hAnsi="Calibri" w:cs="Calibri"/>
          <w:sz w:val="22"/>
          <w:szCs w:val="22"/>
        </w:rPr>
        <w:t>tosowanie art. 26</w:t>
      </w:r>
      <w:r w:rsidR="005000C5" w:rsidRPr="00497E91">
        <w:rPr>
          <w:rFonts w:ascii="Calibri" w:hAnsi="Calibri" w:cs="Calibri"/>
          <w:sz w:val="22"/>
          <w:szCs w:val="22"/>
        </w:rPr>
        <w:t xml:space="preserve"> ust. 2e</w:t>
      </w:r>
      <w:r w:rsidRPr="00497E91">
        <w:rPr>
          <w:rFonts w:ascii="Calibri" w:hAnsi="Calibri" w:cs="Calibri"/>
          <w:sz w:val="22"/>
          <w:szCs w:val="22"/>
        </w:rPr>
        <w:t xml:space="preserve"> w tym kontekście stanowi nadmierny fiskalizm w stosunku do podmiotów</w:t>
      </w:r>
      <w:r w:rsidR="005000C5" w:rsidRPr="00497E91">
        <w:rPr>
          <w:rFonts w:ascii="Calibri" w:hAnsi="Calibri" w:cs="Calibri"/>
          <w:sz w:val="22"/>
          <w:szCs w:val="22"/>
        </w:rPr>
        <w:t>,</w:t>
      </w:r>
      <w:r w:rsidRPr="00497E91">
        <w:rPr>
          <w:rFonts w:ascii="Calibri" w:hAnsi="Calibri" w:cs="Calibri"/>
          <w:sz w:val="22"/>
          <w:szCs w:val="22"/>
        </w:rPr>
        <w:t xml:space="preserve"> które</w:t>
      </w:r>
      <w:r w:rsidR="00497E91">
        <w:rPr>
          <w:rFonts w:ascii="Calibri" w:hAnsi="Calibri" w:cs="Calibri"/>
          <w:sz w:val="22"/>
          <w:szCs w:val="22"/>
        </w:rPr>
        <w:br/>
      </w:r>
      <w:r w:rsidRPr="00497E91">
        <w:rPr>
          <w:rFonts w:ascii="Calibri" w:hAnsi="Calibri" w:cs="Calibri"/>
          <w:sz w:val="22"/>
          <w:szCs w:val="22"/>
        </w:rPr>
        <w:t>z założenia miały korzystać ze zwolnienia dochodów osiąganych w Polsce.</w:t>
      </w:r>
    </w:p>
    <w:p w14:paraId="275C3D98" w14:textId="3183D4D6" w:rsidR="00AA60B7" w:rsidRPr="00497E91" w:rsidRDefault="00AA60B7" w:rsidP="003F3FFD">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276"/>
        <w:jc w:val="both"/>
        <w:rPr>
          <w:rFonts w:ascii="Calibri" w:hAnsi="Calibri" w:cs="Calibri"/>
          <w:sz w:val="22"/>
          <w:szCs w:val="22"/>
        </w:rPr>
      </w:pPr>
      <w:r w:rsidRPr="005000C5">
        <w:rPr>
          <w:rFonts w:ascii="Calibri" w:hAnsi="Calibri" w:cs="Calibri"/>
          <w:b/>
          <w:bCs/>
          <w:sz w:val="22"/>
          <w:szCs w:val="22"/>
        </w:rPr>
        <w:t>Podmioty notowane na giełdzie w kraju, z którym Polska posiada podpisaną Umowę</w:t>
      </w:r>
      <w:r w:rsidR="005000C5">
        <w:rPr>
          <w:rFonts w:ascii="Calibri" w:hAnsi="Calibri" w:cs="Calibri"/>
          <w:b/>
          <w:bCs/>
          <w:sz w:val="22"/>
          <w:szCs w:val="22"/>
        </w:rPr>
        <w:br/>
      </w:r>
      <w:r w:rsidRPr="005000C5">
        <w:rPr>
          <w:rFonts w:ascii="Calibri" w:hAnsi="Calibri" w:cs="Calibri"/>
          <w:b/>
          <w:bCs/>
          <w:sz w:val="22"/>
          <w:szCs w:val="22"/>
        </w:rPr>
        <w:t>o unikaniu podwójnego opodatkowania</w:t>
      </w:r>
      <w:r w:rsidR="005F606E">
        <w:rPr>
          <w:rFonts w:ascii="Calibri" w:hAnsi="Calibri" w:cs="Calibri"/>
          <w:b/>
          <w:bCs/>
          <w:sz w:val="22"/>
          <w:szCs w:val="22"/>
        </w:rPr>
        <w:t>, także podmioty należące do grup kapitałowych notowanych na giełdzie</w:t>
      </w:r>
      <w:r w:rsidR="005000C5">
        <w:rPr>
          <w:rFonts w:ascii="Calibri" w:hAnsi="Calibri" w:cs="Calibri"/>
          <w:b/>
          <w:bCs/>
          <w:sz w:val="22"/>
          <w:szCs w:val="22"/>
        </w:rPr>
        <w:t>.</w:t>
      </w:r>
      <w:r w:rsidR="00497E91">
        <w:rPr>
          <w:rFonts w:ascii="Calibri" w:hAnsi="Calibri" w:cs="Calibri"/>
          <w:b/>
          <w:bCs/>
          <w:sz w:val="22"/>
          <w:szCs w:val="22"/>
        </w:rPr>
        <w:t xml:space="preserve"> </w:t>
      </w:r>
      <w:r w:rsidRPr="00497E91">
        <w:rPr>
          <w:rFonts w:ascii="Calibri" w:hAnsi="Calibri" w:cs="Calibri"/>
          <w:sz w:val="22"/>
          <w:szCs w:val="22"/>
        </w:rPr>
        <w:t>W przypadku podmiotów będących odbiorcami płatności</w:t>
      </w:r>
      <w:r w:rsidR="00497E91">
        <w:rPr>
          <w:rFonts w:ascii="Calibri" w:hAnsi="Calibri" w:cs="Calibri"/>
          <w:sz w:val="22"/>
          <w:szCs w:val="22"/>
        </w:rPr>
        <w:t>,</w:t>
      </w:r>
      <w:r w:rsidRPr="00497E91">
        <w:rPr>
          <w:rFonts w:ascii="Calibri" w:hAnsi="Calibri" w:cs="Calibri"/>
          <w:sz w:val="22"/>
          <w:szCs w:val="22"/>
        </w:rPr>
        <w:t xml:space="preserve"> którzy są notowani na giełdzie w kraju, z którym Polska posiada podpisaną UPO, ryzyko ewentualnego nadużycia jest w </w:t>
      </w:r>
      <w:r w:rsidR="00497E91">
        <w:rPr>
          <w:rFonts w:ascii="Calibri" w:hAnsi="Calibri" w:cs="Calibri"/>
          <w:sz w:val="22"/>
          <w:szCs w:val="22"/>
        </w:rPr>
        <w:t>naszej ocenie</w:t>
      </w:r>
      <w:r w:rsidRPr="00497E91">
        <w:rPr>
          <w:rFonts w:ascii="Calibri" w:hAnsi="Calibri" w:cs="Calibri"/>
          <w:sz w:val="22"/>
          <w:szCs w:val="22"/>
        </w:rPr>
        <w:t xml:space="preserve"> marginalne. Podmioty te z założenia prowadzą aktywną działalność gospodarczą i są rzeczywistymi odbiorcami płatności. Tym samym, nakładanie na płatników konieczności weryfikacji tych warunków biorąc pod uwagę realia gospodarcze (możliwość łatwej weryfikacji podmiotów przez organy podatkowe we własnym zakresie, prawdopodobna mniejsza responsywność takich podmiotów w stosunku do polskiego płatnika)</w:t>
      </w:r>
      <w:r w:rsidR="00497E91">
        <w:rPr>
          <w:rFonts w:ascii="Calibri" w:hAnsi="Calibri" w:cs="Calibri"/>
          <w:sz w:val="22"/>
          <w:szCs w:val="22"/>
        </w:rPr>
        <w:t>,</w:t>
      </w:r>
      <w:r w:rsidRPr="00497E91">
        <w:rPr>
          <w:rFonts w:ascii="Calibri" w:hAnsi="Calibri" w:cs="Calibri"/>
          <w:sz w:val="22"/>
          <w:szCs w:val="22"/>
        </w:rPr>
        <w:t xml:space="preserve"> będzie nieproporcjonalne do potencjalnego ryzyka obejścia prawa</w:t>
      </w:r>
      <w:r w:rsidR="005F606E">
        <w:rPr>
          <w:rFonts w:ascii="Calibri" w:hAnsi="Calibri" w:cs="Calibri"/>
          <w:sz w:val="22"/>
          <w:szCs w:val="22"/>
        </w:rPr>
        <w:t xml:space="preserve"> </w:t>
      </w:r>
      <w:r w:rsidRPr="00497E91">
        <w:rPr>
          <w:rFonts w:ascii="Calibri" w:hAnsi="Calibri" w:cs="Calibri"/>
          <w:sz w:val="22"/>
          <w:szCs w:val="22"/>
        </w:rPr>
        <w:t>w zakresie podatku u źródła</w:t>
      </w:r>
      <w:r w:rsidR="005F606E">
        <w:rPr>
          <w:rFonts w:ascii="Calibri" w:hAnsi="Calibri" w:cs="Calibri"/>
          <w:sz w:val="22"/>
          <w:szCs w:val="22"/>
        </w:rPr>
        <w:t>.</w:t>
      </w:r>
    </w:p>
    <w:p w14:paraId="63924B1D" w14:textId="437A90E1" w:rsidR="001A1A05" w:rsidRDefault="001A1A05" w:rsidP="00A30184">
      <w:pPr>
        <w:spacing w:after="120" w:line="276" w:lineRule="auto"/>
        <w:jc w:val="both"/>
        <w:rPr>
          <w:rFonts w:ascii="Calibri" w:hAnsi="Calibri" w:cs="Calibri"/>
          <w:sz w:val="22"/>
          <w:szCs w:val="22"/>
        </w:rPr>
      </w:pPr>
    </w:p>
    <w:p w14:paraId="7436EB6E" w14:textId="77777777" w:rsidR="001A1A05" w:rsidRPr="001A1A05" w:rsidRDefault="00AA60B7" w:rsidP="001A1A05">
      <w:pPr>
        <w:pStyle w:val="Akapitzlist"/>
        <w:numPr>
          <w:ilvl w:val="0"/>
          <w:numId w:val="23"/>
        </w:numPr>
        <w:spacing w:after="120"/>
        <w:ind w:left="1418"/>
        <w:jc w:val="both"/>
        <w:rPr>
          <w:rFonts w:ascii="Calibri" w:hAnsi="Calibri" w:cs="Calibri"/>
          <w:sz w:val="22"/>
          <w:szCs w:val="22"/>
        </w:rPr>
      </w:pPr>
      <w:r w:rsidRPr="001A1A05">
        <w:rPr>
          <w:rFonts w:ascii="Calibri" w:hAnsi="Calibri" w:cs="Calibri"/>
          <w:b/>
          <w:sz w:val="22"/>
          <w:szCs w:val="22"/>
        </w:rPr>
        <w:t>Pozostałe uwagi</w:t>
      </w:r>
      <w:bookmarkStart w:id="1" w:name="_Hlk532405194"/>
    </w:p>
    <w:p w14:paraId="0BA4C2EE" w14:textId="77777777" w:rsidR="001A1A05" w:rsidRDefault="00AA60B7" w:rsidP="001A1A05">
      <w:pPr>
        <w:pStyle w:val="Akapitzlist"/>
        <w:numPr>
          <w:ilvl w:val="0"/>
          <w:numId w:val="24"/>
        </w:numPr>
        <w:spacing w:after="120"/>
        <w:jc w:val="both"/>
        <w:rPr>
          <w:rFonts w:ascii="Calibri" w:hAnsi="Calibri" w:cs="Calibri"/>
          <w:sz w:val="22"/>
          <w:szCs w:val="22"/>
        </w:rPr>
      </w:pPr>
      <w:bookmarkStart w:id="2" w:name="_Hlk532405181"/>
      <w:bookmarkStart w:id="3" w:name="_Hlk532403888"/>
      <w:r w:rsidRPr="001A1A05">
        <w:rPr>
          <w:rFonts w:ascii="Calibri" w:hAnsi="Calibri" w:cs="Calibri"/>
          <w:sz w:val="22"/>
          <w:szCs w:val="22"/>
        </w:rPr>
        <w:t>Zgodnie z uzasadnieniem do Rozporządzenia, limit 2 mln złotych po upływie okresu przejściowego będzie uwzględniał kwotę płatności dokonaną w okresie przejściowym.</w:t>
      </w:r>
      <w:r w:rsidR="001A1A05">
        <w:rPr>
          <w:rFonts w:ascii="Calibri" w:hAnsi="Calibri" w:cs="Calibri"/>
          <w:sz w:val="22"/>
          <w:szCs w:val="22"/>
        </w:rPr>
        <w:br/>
        <w:t>Uważamy za konieczne</w:t>
      </w:r>
      <w:r w:rsidRPr="001A1A05">
        <w:rPr>
          <w:rFonts w:ascii="Calibri" w:hAnsi="Calibri" w:cs="Calibri"/>
          <w:sz w:val="22"/>
          <w:szCs w:val="22"/>
        </w:rPr>
        <w:t xml:space="preserve"> doprecyzowanie</w:t>
      </w:r>
      <w:r w:rsidR="001A1A05">
        <w:rPr>
          <w:rFonts w:ascii="Calibri" w:hAnsi="Calibri" w:cs="Calibri"/>
          <w:sz w:val="22"/>
          <w:szCs w:val="22"/>
        </w:rPr>
        <w:t>,</w:t>
      </w:r>
      <w:r w:rsidRPr="001A1A05">
        <w:rPr>
          <w:rFonts w:ascii="Calibri" w:hAnsi="Calibri" w:cs="Calibri"/>
          <w:sz w:val="22"/>
          <w:szCs w:val="22"/>
        </w:rPr>
        <w:t xml:space="preserve"> iż w takim przypadku na potrzeby złożenia oświadczenia</w:t>
      </w:r>
      <w:r w:rsidR="001A1A05">
        <w:rPr>
          <w:rFonts w:ascii="Calibri" w:hAnsi="Calibri" w:cs="Calibri"/>
          <w:sz w:val="22"/>
          <w:szCs w:val="22"/>
        </w:rPr>
        <w:t>,</w:t>
      </w:r>
      <w:r w:rsidRPr="001A1A05">
        <w:rPr>
          <w:rFonts w:ascii="Calibri" w:hAnsi="Calibri" w:cs="Calibri"/>
          <w:sz w:val="22"/>
          <w:szCs w:val="22"/>
        </w:rPr>
        <w:t xml:space="preserve"> o którym mowa w art. 26 ust 7a ustawy o CIT: </w:t>
      </w:r>
    </w:p>
    <w:p w14:paraId="6F28F28B" w14:textId="77777777" w:rsidR="001A1A05" w:rsidRDefault="00AA60B7" w:rsidP="001A1A05">
      <w:pPr>
        <w:pStyle w:val="Akapitzlist"/>
        <w:numPr>
          <w:ilvl w:val="0"/>
          <w:numId w:val="25"/>
        </w:numPr>
        <w:spacing w:after="120"/>
        <w:ind w:left="1843"/>
        <w:jc w:val="both"/>
        <w:rPr>
          <w:rFonts w:ascii="Calibri" w:hAnsi="Calibri" w:cs="Calibri"/>
          <w:sz w:val="22"/>
          <w:szCs w:val="22"/>
        </w:rPr>
      </w:pPr>
      <w:r w:rsidRPr="001A1A05">
        <w:rPr>
          <w:rFonts w:ascii="Calibri" w:hAnsi="Calibri" w:cs="Calibri"/>
          <w:sz w:val="22"/>
          <w:szCs w:val="22"/>
        </w:rPr>
        <w:lastRenderedPageBreak/>
        <w:t>oświadczenie to powinno zostać złożone z pierwszą płatnością po okresie zawieszenia (np. wypłata w lutym 3 m PLN - wypłata 1 m PLN we wrześniu -</w:t>
      </w:r>
      <w:r w:rsidR="001A1A05">
        <w:rPr>
          <w:rFonts w:ascii="Calibri" w:hAnsi="Calibri" w:cs="Calibri"/>
          <w:sz w:val="22"/>
          <w:szCs w:val="22"/>
        </w:rPr>
        <w:t xml:space="preserve"> </w:t>
      </w:r>
      <w:r w:rsidRPr="001A1A05">
        <w:rPr>
          <w:rFonts w:ascii="Calibri" w:hAnsi="Calibri" w:cs="Calibri"/>
          <w:sz w:val="22"/>
          <w:szCs w:val="22"/>
        </w:rPr>
        <w:t xml:space="preserve">oświadczenie we wrześniu przy wypłacie 1 m PLN) oraz, że </w:t>
      </w:r>
    </w:p>
    <w:p w14:paraId="15573A19" w14:textId="77777777" w:rsidR="001A1A05" w:rsidRDefault="00AA60B7" w:rsidP="001A1A05">
      <w:pPr>
        <w:pStyle w:val="Akapitzlist"/>
        <w:numPr>
          <w:ilvl w:val="0"/>
          <w:numId w:val="25"/>
        </w:numPr>
        <w:spacing w:after="120"/>
        <w:ind w:left="1843"/>
        <w:jc w:val="both"/>
        <w:rPr>
          <w:rFonts w:ascii="Calibri" w:hAnsi="Calibri" w:cs="Calibri"/>
          <w:sz w:val="22"/>
          <w:szCs w:val="22"/>
        </w:rPr>
      </w:pPr>
      <w:r w:rsidRPr="001A1A05">
        <w:rPr>
          <w:rFonts w:ascii="Calibri" w:hAnsi="Calibri" w:cs="Calibri"/>
          <w:sz w:val="22"/>
          <w:szCs w:val="22"/>
        </w:rPr>
        <w:t>analiza waru</w:t>
      </w:r>
      <w:r w:rsidR="001A1A05">
        <w:rPr>
          <w:rFonts w:ascii="Calibri" w:hAnsi="Calibri" w:cs="Calibri"/>
          <w:sz w:val="22"/>
          <w:szCs w:val="22"/>
        </w:rPr>
        <w:t>nków przy złożeniu oświadczenia</w:t>
      </w:r>
      <w:r w:rsidRPr="001A1A05">
        <w:rPr>
          <w:rFonts w:ascii="Calibri" w:hAnsi="Calibri" w:cs="Calibri"/>
          <w:sz w:val="22"/>
          <w:szCs w:val="22"/>
        </w:rPr>
        <w:t>/ wniosku o opinię powinna uwzględniać stan na moment pierwszej płatności po okresie zawieszenia (w podanym przykładzie, oświadczenie będzie dotyczyć wyłącznie wypłaconej kwoty we wrześniu).</w:t>
      </w:r>
      <w:bookmarkEnd w:id="1"/>
      <w:bookmarkEnd w:id="2"/>
      <w:bookmarkEnd w:id="3"/>
    </w:p>
    <w:p w14:paraId="7A5E3192" w14:textId="77777777" w:rsidR="001A1A05" w:rsidRDefault="00817B17" w:rsidP="001A1A05">
      <w:pPr>
        <w:pStyle w:val="Akapitzlist"/>
        <w:numPr>
          <w:ilvl w:val="0"/>
          <w:numId w:val="24"/>
        </w:numPr>
        <w:spacing w:after="120"/>
        <w:jc w:val="both"/>
        <w:rPr>
          <w:rFonts w:ascii="Calibri" w:hAnsi="Calibri" w:cs="Calibri"/>
          <w:sz w:val="22"/>
          <w:szCs w:val="22"/>
        </w:rPr>
      </w:pPr>
      <w:r w:rsidRPr="001A1A05">
        <w:rPr>
          <w:rFonts w:ascii="Calibri" w:hAnsi="Calibri" w:cs="Calibri"/>
          <w:sz w:val="22"/>
          <w:szCs w:val="22"/>
        </w:rPr>
        <w:t>Paragraf 3 rozporządzenia wprowadza ograniczenia w stosowaniu art. 26 ust. 2e ustawy</w:t>
      </w:r>
      <w:r w:rsidR="001A1A05">
        <w:rPr>
          <w:rFonts w:ascii="Calibri" w:hAnsi="Calibri" w:cs="Calibri"/>
          <w:sz w:val="22"/>
          <w:szCs w:val="22"/>
        </w:rPr>
        <w:br/>
      </w:r>
      <w:r w:rsidRPr="001A1A05">
        <w:rPr>
          <w:rFonts w:ascii="Calibri" w:hAnsi="Calibri" w:cs="Calibri"/>
          <w:sz w:val="22"/>
          <w:szCs w:val="22"/>
        </w:rPr>
        <w:t>o podatku dochodowym od osób prawnych do 31 grudnia 2019 r, w ten sposób, że płatnicy będą obowiązani pobrać zryczałtowany podatek dochodowy, według zasad określonych w tym przepisie, od wypłat należności z tytułów wymienionych w art. 21 ust. 1 i art. 22 ust. 1 ustawy, dokonywanych</w:t>
      </w:r>
      <w:r w:rsidR="001A1A05">
        <w:rPr>
          <w:rFonts w:ascii="Calibri" w:hAnsi="Calibri" w:cs="Calibri"/>
          <w:sz w:val="22"/>
          <w:szCs w:val="22"/>
        </w:rPr>
        <w:t xml:space="preserve"> </w:t>
      </w:r>
      <w:r w:rsidRPr="001A1A05">
        <w:rPr>
          <w:rFonts w:ascii="Calibri" w:hAnsi="Calibri" w:cs="Calibri"/>
          <w:sz w:val="22"/>
          <w:szCs w:val="22"/>
        </w:rPr>
        <w:t xml:space="preserve">w obowiązującym u wypłacającego te należności pierwszym roku podatkowym rozpoczynającym się po </w:t>
      </w:r>
      <w:r w:rsidR="001A1A05">
        <w:rPr>
          <w:rFonts w:ascii="Calibri" w:hAnsi="Calibri" w:cs="Calibri"/>
          <w:sz w:val="22"/>
          <w:szCs w:val="22"/>
        </w:rPr>
        <w:t>dniu 31 grudnia 2018 r., jeżeli:</w:t>
      </w:r>
    </w:p>
    <w:p w14:paraId="4222CD1B" w14:textId="77777777" w:rsidR="001A1A05" w:rsidRDefault="00817B17" w:rsidP="001A1A05">
      <w:pPr>
        <w:pStyle w:val="Akapitzlist"/>
        <w:numPr>
          <w:ilvl w:val="0"/>
          <w:numId w:val="27"/>
        </w:numPr>
        <w:spacing w:after="120"/>
        <w:ind w:left="1843"/>
        <w:jc w:val="both"/>
        <w:rPr>
          <w:rFonts w:ascii="Calibri" w:hAnsi="Calibri" w:cs="Calibri"/>
          <w:sz w:val="22"/>
          <w:szCs w:val="22"/>
        </w:rPr>
      </w:pPr>
      <w:r w:rsidRPr="001A1A05">
        <w:rPr>
          <w:rFonts w:ascii="Calibri" w:hAnsi="Calibri" w:cs="Calibri"/>
          <w:sz w:val="22"/>
          <w:szCs w:val="22"/>
        </w:rPr>
        <w:t>łączna kwota należności wypłacanych od papierów wartościowych zapisanych na rachunkach papierów wartościowych albo na rachunkach zbiorczych przekracza kwotę 2 000 000 zł;</w:t>
      </w:r>
    </w:p>
    <w:p w14:paraId="2FBC16A2" w14:textId="77777777" w:rsidR="001A1A05" w:rsidRDefault="00817B17" w:rsidP="001A1A05">
      <w:pPr>
        <w:pStyle w:val="Akapitzlist"/>
        <w:numPr>
          <w:ilvl w:val="0"/>
          <w:numId w:val="27"/>
        </w:numPr>
        <w:spacing w:after="120"/>
        <w:ind w:left="1843"/>
        <w:jc w:val="both"/>
        <w:rPr>
          <w:rFonts w:ascii="Calibri" w:hAnsi="Calibri" w:cs="Calibri"/>
          <w:sz w:val="22"/>
          <w:szCs w:val="22"/>
        </w:rPr>
      </w:pPr>
      <w:r w:rsidRPr="001A1A05">
        <w:rPr>
          <w:rFonts w:ascii="Calibri" w:hAnsi="Calibri" w:cs="Calibri"/>
          <w:sz w:val="22"/>
          <w:szCs w:val="22"/>
        </w:rPr>
        <w:t>łączna kwota należności wypłacanych z tytułów wymienionych w art. 21 ust. 1 i art. 22 ust. 1 ustawy, innych niż wskazane w pkt 1, przekracza kwotę 2 000 000 zł.</w:t>
      </w:r>
    </w:p>
    <w:p w14:paraId="05A50989" w14:textId="0575D7A4" w:rsidR="001A1A05" w:rsidRDefault="00817B17" w:rsidP="001A1A05">
      <w:pPr>
        <w:spacing w:after="120"/>
        <w:ind w:left="1483"/>
        <w:jc w:val="both"/>
        <w:rPr>
          <w:rFonts w:ascii="Calibri" w:hAnsi="Calibri" w:cs="Calibri"/>
          <w:sz w:val="22"/>
          <w:szCs w:val="22"/>
        </w:rPr>
      </w:pPr>
      <w:r w:rsidRPr="001A1A05">
        <w:rPr>
          <w:rFonts w:ascii="Calibri" w:hAnsi="Calibri" w:cs="Calibri"/>
          <w:sz w:val="22"/>
          <w:szCs w:val="22"/>
        </w:rPr>
        <w:t xml:space="preserve">Z uzasadnienia projektu wynika, że przepis ten w praktyce stosowany będzie </w:t>
      </w:r>
      <w:r w:rsidRPr="001A1A05">
        <w:rPr>
          <w:rFonts w:ascii="Calibri" w:hAnsi="Calibri" w:cs="Calibri"/>
          <w:i/>
          <w:sz w:val="22"/>
          <w:szCs w:val="22"/>
        </w:rPr>
        <w:t>„w sytuacji płatników prowadzących rachunki papierów wartościowych lub rachunki zbiorcze.”</w:t>
      </w:r>
      <w:r w:rsidR="00DF2E29" w:rsidRPr="001A1A05">
        <w:rPr>
          <w:rFonts w:ascii="Calibri" w:hAnsi="Calibri" w:cs="Calibri"/>
          <w:sz w:val="22"/>
          <w:szCs w:val="22"/>
        </w:rPr>
        <w:t>, jednak</w:t>
      </w:r>
      <w:r w:rsidR="001A1A05">
        <w:rPr>
          <w:rFonts w:ascii="Calibri" w:hAnsi="Calibri" w:cs="Calibri"/>
          <w:sz w:val="22"/>
          <w:szCs w:val="22"/>
        </w:rPr>
        <w:br/>
      </w:r>
      <w:r w:rsidR="00DF2E29" w:rsidRPr="001A1A05">
        <w:rPr>
          <w:rFonts w:ascii="Calibri" w:hAnsi="Calibri" w:cs="Calibri"/>
          <w:sz w:val="22"/>
          <w:szCs w:val="22"/>
        </w:rPr>
        <w:t xml:space="preserve">w naszej ocenie </w:t>
      </w:r>
      <w:r w:rsidRPr="001A1A05">
        <w:rPr>
          <w:rFonts w:ascii="Calibri" w:hAnsi="Calibri" w:cs="Calibri"/>
          <w:sz w:val="22"/>
          <w:szCs w:val="22"/>
        </w:rPr>
        <w:t xml:space="preserve">to nie wynika z literalnego brzmienia przepisu i może </w:t>
      </w:r>
      <w:r w:rsidR="00DF2E29" w:rsidRPr="001A1A05">
        <w:rPr>
          <w:rFonts w:ascii="Calibri" w:hAnsi="Calibri" w:cs="Calibri"/>
          <w:sz w:val="22"/>
          <w:szCs w:val="22"/>
        </w:rPr>
        <w:t>spowodować</w:t>
      </w:r>
      <w:r w:rsidRPr="001A1A05">
        <w:rPr>
          <w:rFonts w:ascii="Calibri" w:hAnsi="Calibri" w:cs="Calibri"/>
          <w:sz w:val="22"/>
          <w:szCs w:val="22"/>
        </w:rPr>
        <w:t xml:space="preserve"> zamieszanie.</w:t>
      </w:r>
      <w:r w:rsidR="00DF2E29" w:rsidRPr="001A1A05">
        <w:rPr>
          <w:rFonts w:ascii="Calibri" w:hAnsi="Calibri" w:cs="Calibri"/>
          <w:sz w:val="22"/>
          <w:szCs w:val="22"/>
        </w:rPr>
        <w:t xml:space="preserve"> </w:t>
      </w:r>
      <w:r w:rsidRPr="001A1A05">
        <w:rPr>
          <w:rFonts w:ascii="Calibri" w:hAnsi="Calibri" w:cs="Calibri"/>
          <w:bCs/>
          <w:sz w:val="22"/>
          <w:szCs w:val="22"/>
        </w:rPr>
        <w:t>Należy doprecyzować do jakich płatników stosuje się ograniczenia wynikające</w:t>
      </w:r>
      <w:r w:rsidR="005F606E">
        <w:rPr>
          <w:rFonts w:ascii="Calibri" w:hAnsi="Calibri" w:cs="Calibri"/>
          <w:bCs/>
          <w:sz w:val="22"/>
          <w:szCs w:val="22"/>
        </w:rPr>
        <w:br/>
      </w:r>
      <w:r w:rsidRPr="001A1A05">
        <w:rPr>
          <w:rFonts w:ascii="Calibri" w:hAnsi="Calibri" w:cs="Calibri"/>
          <w:bCs/>
          <w:sz w:val="22"/>
          <w:szCs w:val="22"/>
        </w:rPr>
        <w:t>z par</w:t>
      </w:r>
      <w:r w:rsidR="00DF2E29" w:rsidRPr="001A1A05">
        <w:rPr>
          <w:rFonts w:ascii="Calibri" w:hAnsi="Calibri" w:cs="Calibri"/>
          <w:bCs/>
          <w:sz w:val="22"/>
          <w:szCs w:val="22"/>
        </w:rPr>
        <w:t>agrafu</w:t>
      </w:r>
      <w:r w:rsidRPr="001A1A05">
        <w:rPr>
          <w:rFonts w:ascii="Calibri" w:hAnsi="Calibri" w:cs="Calibri"/>
          <w:bCs/>
          <w:sz w:val="22"/>
          <w:szCs w:val="22"/>
        </w:rPr>
        <w:t xml:space="preserve"> 3 Rozporządzenia.</w:t>
      </w:r>
    </w:p>
    <w:p w14:paraId="5FA93737" w14:textId="66677821" w:rsidR="00DF2E29" w:rsidRDefault="00DF2E29" w:rsidP="00A30184">
      <w:pPr>
        <w:spacing w:after="120"/>
        <w:ind w:left="1483"/>
        <w:jc w:val="both"/>
        <w:rPr>
          <w:rFonts w:ascii="Calibri" w:hAnsi="Calibri" w:cs="Calibri"/>
          <w:sz w:val="22"/>
          <w:szCs w:val="22"/>
        </w:rPr>
      </w:pPr>
      <w:r w:rsidRPr="005000C5">
        <w:rPr>
          <w:rFonts w:ascii="Calibri" w:hAnsi="Calibri" w:cs="Calibri"/>
          <w:sz w:val="22"/>
          <w:szCs w:val="22"/>
        </w:rPr>
        <w:t xml:space="preserve">Uważamy także, że </w:t>
      </w:r>
      <w:r w:rsidRPr="001A1A05">
        <w:rPr>
          <w:rFonts w:ascii="Calibri" w:hAnsi="Calibri" w:cs="Calibri"/>
          <w:sz w:val="22"/>
          <w:szCs w:val="22"/>
        </w:rPr>
        <w:t>n</w:t>
      </w:r>
      <w:r w:rsidR="00817B17" w:rsidRPr="001A1A05">
        <w:rPr>
          <w:rFonts w:ascii="Calibri" w:hAnsi="Calibri" w:cs="Calibri"/>
          <w:bCs/>
          <w:sz w:val="22"/>
          <w:szCs w:val="22"/>
        </w:rPr>
        <w:t>ależy doprecyzować sposób liczenia limitu 2 000 000 zł. w przypadku</w:t>
      </w:r>
      <w:r w:rsidRPr="001A1A05">
        <w:rPr>
          <w:rFonts w:ascii="Calibri" w:hAnsi="Calibri" w:cs="Calibri"/>
          <w:bCs/>
          <w:sz w:val="22"/>
          <w:szCs w:val="22"/>
        </w:rPr>
        <w:t xml:space="preserve"> wyłączeń czasowych, czyli paragrafów</w:t>
      </w:r>
      <w:r w:rsidR="00817B17" w:rsidRPr="001A1A05">
        <w:rPr>
          <w:rFonts w:ascii="Calibri" w:hAnsi="Calibri" w:cs="Calibri"/>
          <w:bCs/>
          <w:sz w:val="22"/>
          <w:szCs w:val="22"/>
        </w:rPr>
        <w:t xml:space="preserve"> 4 pkt 2 i 3 </w:t>
      </w:r>
      <w:r w:rsidRPr="001A1A05">
        <w:rPr>
          <w:rFonts w:ascii="Calibri" w:hAnsi="Calibri" w:cs="Calibri"/>
          <w:bCs/>
          <w:sz w:val="22"/>
          <w:szCs w:val="22"/>
        </w:rPr>
        <w:t>projektu r</w:t>
      </w:r>
      <w:r w:rsidR="00817B17" w:rsidRPr="001A1A05">
        <w:rPr>
          <w:rFonts w:ascii="Calibri" w:hAnsi="Calibri" w:cs="Calibri"/>
          <w:bCs/>
          <w:sz w:val="22"/>
          <w:szCs w:val="22"/>
        </w:rPr>
        <w:t>ozporządzenia</w:t>
      </w:r>
      <w:r w:rsidR="00817B17" w:rsidRPr="001A1A05">
        <w:rPr>
          <w:rFonts w:ascii="Calibri" w:hAnsi="Calibri" w:cs="Calibri"/>
          <w:sz w:val="22"/>
          <w:szCs w:val="22"/>
        </w:rPr>
        <w:t xml:space="preserve"> – czy limit liczony jest od wypłat dokonanych od p</w:t>
      </w:r>
      <w:r w:rsidR="00A946E6" w:rsidRPr="001A1A05">
        <w:rPr>
          <w:rFonts w:ascii="Calibri" w:hAnsi="Calibri" w:cs="Calibri"/>
          <w:sz w:val="22"/>
          <w:szCs w:val="22"/>
        </w:rPr>
        <w:t xml:space="preserve">oczątku roku, czy od wypłat po </w:t>
      </w:r>
      <w:r w:rsidR="00817B17" w:rsidRPr="001A1A05">
        <w:rPr>
          <w:rFonts w:ascii="Calibri" w:hAnsi="Calibri" w:cs="Calibri"/>
          <w:sz w:val="22"/>
          <w:szCs w:val="22"/>
        </w:rPr>
        <w:t>1</w:t>
      </w:r>
      <w:r w:rsidRPr="001A1A05">
        <w:rPr>
          <w:rFonts w:ascii="Calibri" w:hAnsi="Calibri" w:cs="Calibri"/>
          <w:sz w:val="22"/>
          <w:szCs w:val="22"/>
        </w:rPr>
        <w:t xml:space="preserve"> lipca </w:t>
      </w:r>
      <w:r w:rsidR="00817B17" w:rsidRPr="001A1A05">
        <w:rPr>
          <w:rFonts w:ascii="Calibri" w:hAnsi="Calibri" w:cs="Calibri"/>
          <w:sz w:val="22"/>
          <w:szCs w:val="22"/>
        </w:rPr>
        <w:t>2019 r. Ak</w:t>
      </w:r>
      <w:r w:rsidR="001A1A05" w:rsidRPr="001A1A05">
        <w:rPr>
          <w:rFonts w:ascii="Calibri" w:hAnsi="Calibri" w:cs="Calibri"/>
          <w:sz w:val="22"/>
          <w:szCs w:val="22"/>
        </w:rPr>
        <w:t xml:space="preserve">tualnie sposób wyliczenia wynika </w:t>
      </w:r>
      <w:r w:rsidR="00817B17" w:rsidRPr="001A1A05">
        <w:rPr>
          <w:rFonts w:ascii="Calibri" w:hAnsi="Calibri" w:cs="Calibri"/>
          <w:sz w:val="22"/>
          <w:szCs w:val="22"/>
        </w:rPr>
        <w:t xml:space="preserve">z </w:t>
      </w:r>
      <w:r w:rsidR="00817B17" w:rsidRPr="005000C5">
        <w:rPr>
          <w:rFonts w:ascii="Calibri" w:hAnsi="Calibri" w:cs="Calibri"/>
          <w:sz w:val="22"/>
          <w:szCs w:val="22"/>
        </w:rPr>
        <w:t xml:space="preserve">uzasadnienia projektu, a nie wynika z </w:t>
      </w:r>
      <w:r w:rsidRPr="005000C5">
        <w:rPr>
          <w:rFonts w:ascii="Calibri" w:hAnsi="Calibri" w:cs="Calibri"/>
          <w:sz w:val="22"/>
          <w:szCs w:val="22"/>
        </w:rPr>
        <w:t>treści</w:t>
      </w:r>
      <w:r w:rsidR="00817B17" w:rsidRPr="005000C5">
        <w:rPr>
          <w:rFonts w:ascii="Calibri" w:hAnsi="Calibri" w:cs="Calibri"/>
          <w:sz w:val="22"/>
          <w:szCs w:val="22"/>
        </w:rPr>
        <w:t xml:space="preserve"> przepisów. </w:t>
      </w:r>
    </w:p>
    <w:p w14:paraId="34D186D9" w14:textId="77777777" w:rsidR="005F606E" w:rsidRPr="005000C5" w:rsidRDefault="005F606E" w:rsidP="005000C5">
      <w:pPr>
        <w:spacing w:after="120" w:line="276" w:lineRule="auto"/>
        <w:ind w:left="851"/>
        <w:jc w:val="both"/>
        <w:rPr>
          <w:rFonts w:ascii="Calibri" w:hAnsi="Calibri" w:cs="Calibri"/>
          <w:sz w:val="22"/>
          <w:szCs w:val="22"/>
        </w:rPr>
      </w:pPr>
    </w:p>
    <w:p w14:paraId="0A3023D8" w14:textId="2FDA2AD0" w:rsidR="001021CF" w:rsidRPr="005000C5" w:rsidRDefault="00C90A6C" w:rsidP="005000C5">
      <w:pPr>
        <w:spacing w:after="120" w:line="276" w:lineRule="auto"/>
        <w:ind w:left="851"/>
        <w:jc w:val="both"/>
        <w:rPr>
          <w:rFonts w:ascii="Calibri" w:hAnsi="Calibri" w:cs="Calibri"/>
          <w:sz w:val="22"/>
          <w:szCs w:val="22"/>
        </w:rPr>
      </w:pPr>
      <w:r w:rsidRPr="005000C5">
        <w:rPr>
          <w:rFonts w:ascii="Calibri" w:eastAsia="Calibri" w:hAnsi="Calibri" w:cs="Calibri"/>
          <w:b/>
          <w:color w:val="auto"/>
          <w:sz w:val="22"/>
          <w:szCs w:val="22"/>
        </w:rPr>
        <w:t>Konfederacja Lewiata</w:t>
      </w:r>
      <w:r w:rsidR="00BC32E0" w:rsidRPr="005000C5">
        <w:rPr>
          <w:rFonts w:ascii="Calibri" w:eastAsia="Calibri" w:hAnsi="Calibri" w:cs="Calibri"/>
          <w:b/>
          <w:color w:val="auto"/>
          <w:sz w:val="22"/>
          <w:szCs w:val="22"/>
        </w:rPr>
        <w:t>n</w:t>
      </w:r>
    </w:p>
    <w:sectPr w:rsidR="001021CF" w:rsidRPr="005000C5" w:rsidSect="00C24B22">
      <w:headerReference w:type="default" r:id="rId9"/>
      <w:footerReference w:type="default" r:id="rId10"/>
      <w:headerReference w:type="first" r:id="rId11"/>
      <w:pgSz w:w="11900" w:h="16840"/>
      <w:pgMar w:top="851" w:right="992" w:bottom="1134" w:left="1134" w:header="0" w:footer="391"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435215" w16cid:durableId="1FB245D8"/>
  <w16cid:commentId w16cid:paraId="629D1816" w16cid:durableId="1FB246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4D614" w14:textId="77777777" w:rsidR="00D10EB8" w:rsidRDefault="00D10EB8">
      <w:r>
        <w:separator/>
      </w:r>
    </w:p>
  </w:endnote>
  <w:endnote w:type="continuationSeparator" w:id="0">
    <w:p w14:paraId="71259C9A" w14:textId="77777777" w:rsidR="00D10EB8" w:rsidRDefault="00D1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C13A9" w14:textId="5F0E8752" w:rsidR="00B011E7" w:rsidRDefault="00945776">
    <w:pPr>
      <w:pStyle w:val="Stopka"/>
      <w:jc w:val="right"/>
    </w:pPr>
    <w:r>
      <w:fldChar w:fldCharType="begin"/>
    </w:r>
    <w:r w:rsidR="008E76A2">
      <w:instrText xml:space="preserve"> PAGE </w:instrText>
    </w:r>
    <w:r>
      <w:fldChar w:fldCharType="separate"/>
    </w:r>
    <w:r w:rsidR="005B35B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91EFA" w14:textId="77777777" w:rsidR="00D10EB8" w:rsidRDefault="00D10EB8">
      <w:r>
        <w:separator/>
      </w:r>
    </w:p>
  </w:footnote>
  <w:footnote w:type="continuationSeparator" w:id="0">
    <w:p w14:paraId="74E01812" w14:textId="77777777" w:rsidR="00D10EB8" w:rsidRDefault="00D10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C06AA" w14:textId="77777777" w:rsidR="00B011E7" w:rsidRDefault="008E76A2">
    <w:pPr>
      <w:pStyle w:val="Nagwek"/>
      <w:tabs>
        <w:tab w:val="clear" w:pos="4536"/>
        <w:tab w:val="clear" w:pos="9072"/>
        <w:tab w:val="right" w:pos="9754"/>
      </w:tabs>
      <w:jc w:val="center"/>
    </w:pPr>
    <w:r>
      <w:t xml:space="preserve">                                                                                                                                            </w:t>
    </w:r>
  </w:p>
  <w:p w14:paraId="00586BA6" w14:textId="77777777" w:rsidR="00B011E7" w:rsidRDefault="00B011E7">
    <w:pPr>
      <w:pStyle w:val="Nagwek"/>
      <w:tabs>
        <w:tab w:val="clear" w:pos="4536"/>
        <w:tab w:val="clear" w:pos="9072"/>
        <w:tab w:val="right" w:pos="9754"/>
      </w:tabs>
    </w:pPr>
  </w:p>
  <w:p w14:paraId="5B266225" w14:textId="77777777" w:rsidR="00B011E7" w:rsidRDefault="008E76A2">
    <w:pPr>
      <w:pStyle w:val="Nagwek"/>
      <w:tabs>
        <w:tab w:val="clear" w:pos="4536"/>
        <w:tab w:val="clear" w:pos="9072"/>
        <w:tab w:val="right" w:pos="9754"/>
      </w:tabs>
    </w:pPr>
    <w:r>
      <w:rPr>
        <w:noProof/>
      </w:rPr>
      <w:drawing>
        <wp:inline distT="0" distB="0" distL="0" distR="0" wp14:anchorId="01C7FBFA" wp14:editId="701A592E">
          <wp:extent cx="2457450" cy="859487"/>
          <wp:effectExtent l="0" t="0" r="0" b="0"/>
          <wp:docPr id="1073741825" name="officeArt object" descr="P:\Biezace\Dep. Prawny\Przemysław Pruszyński\DZIAŁANIA\Obsługa Rady podatkowej\Logo_Rada_Podatkowa.jpg"/>
          <wp:cNvGraphicFramePr/>
          <a:graphic xmlns:a="http://schemas.openxmlformats.org/drawingml/2006/main">
            <a:graphicData uri="http://schemas.openxmlformats.org/drawingml/2006/picture">
              <pic:pic xmlns:pic="http://schemas.openxmlformats.org/drawingml/2006/picture">
                <pic:nvPicPr>
                  <pic:cNvPr id="1073741825" name="P:\Biezace\Dep. Prawny\Przemysław Pruszyński\DZIAŁANIA\Obsługa Rady podatkowej\Logo_Rada_Podatkowa.jpg" descr="P:\Biezace\Dep. Prawny\Przemysław Pruszyński\DZIAŁANIA\Obsługa Rady podatkowej\Logo_Rada_Podatkowa.jpg"/>
                  <pic:cNvPicPr>
                    <a:picLocks noChangeAspect="1"/>
                  </pic:cNvPicPr>
                </pic:nvPicPr>
                <pic:blipFill>
                  <a:blip r:embed="rId1">
                    <a:extLst/>
                  </a:blip>
                  <a:stretch>
                    <a:fillRect/>
                  </a:stretch>
                </pic:blipFill>
                <pic:spPr>
                  <a:xfrm>
                    <a:off x="0" y="0"/>
                    <a:ext cx="2457450" cy="859487"/>
                  </a:xfrm>
                  <a:prstGeom prst="rect">
                    <a:avLst/>
                  </a:prstGeom>
                  <a:ln w="12700" cap="flat">
                    <a:noFill/>
                    <a:miter lim="400000"/>
                  </a:ln>
                  <a:effectLst/>
                </pic:spPr>
              </pic:pic>
            </a:graphicData>
          </a:graphic>
        </wp:inline>
      </w:drawing>
    </w:r>
  </w:p>
  <w:p w14:paraId="6A90110A" w14:textId="77777777" w:rsidR="00B011E7" w:rsidRDefault="008E76A2">
    <w:pPr>
      <w:pStyle w:val="Nagwek"/>
      <w:tabs>
        <w:tab w:val="clear" w:pos="4536"/>
        <w:tab w:val="clear" w:pos="9072"/>
        <w:tab w:val="right" w:pos="10686"/>
      </w:tabs>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D39DC" w14:textId="77777777" w:rsidR="00B011E7" w:rsidRDefault="00B011E7">
    <w:pPr>
      <w:pStyle w:val="Nagwek"/>
    </w:pPr>
  </w:p>
  <w:p w14:paraId="0E61A256" w14:textId="77777777" w:rsidR="00B011E7" w:rsidRDefault="00B011E7">
    <w:pPr>
      <w:pStyle w:val="Nagwek"/>
    </w:pPr>
  </w:p>
  <w:p w14:paraId="529D88FE" w14:textId="77777777" w:rsidR="00B011E7" w:rsidRDefault="00B011E7">
    <w:pPr>
      <w:pStyle w:val="Nagwek"/>
    </w:pPr>
  </w:p>
  <w:p w14:paraId="009D6A9E" w14:textId="77777777" w:rsidR="00B011E7" w:rsidRDefault="008E76A2">
    <w:pPr>
      <w:pStyle w:val="Nagwek"/>
    </w:pPr>
    <w:r>
      <w:t xml:space="preserve">         </w:t>
    </w:r>
    <w:r>
      <w:rPr>
        <w:noProof/>
      </w:rPr>
      <w:drawing>
        <wp:inline distT="0" distB="0" distL="0" distR="0" wp14:anchorId="3DDC3A7A" wp14:editId="44BC3DC0">
          <wp:extent cx="714375" cy="933450"/>
          <wp:effectExtent l="0" t="0" r="0" b="0"/>
          <wp:docPr id="1073741826" name="officeArt object" descr="Papier_Lewiatan_10_01"/>
          <wp:cNvGraphicFramePr/>
          <a:graphic xmlns:a="http://schemas.openxmlformats.org/drawingml/2006/main">
            <a:graphicData uri="http://schemas.openxmlformats.org/drawingml/2006/picture">
              <pic:pic xmlns:pic="http://schemas.openxmlformats.org/drawingml/2006/picture">
                <pic:nvPicPr>
                  <pic:cNvPr id="1073741826" name="Papier_Lewiatan_10_01" descr="Papier_Lewiatan_10_01"/>
                  <pic:cNvPicPr>
                    <a:picLocks noChangeAspect="1"/>
                  </pic:cNvPicPr>
                </pic:nvPicPr>
                <pic:blipFill>
                  <a:blip r:embed="rId1">
                    <a:extLst/>
                  </a:blip>
                  <a:stretch>
                    <a:fillRect/>
                  </a:stretch>
                </pic:blipFill>
                <pic:spPr>
                  <a:xfrm>
                    <a:off x="0" y="0"/>
                    <a:ext cx="714375" cy="9334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36C"/>
    <w:multiLevelType w:val="hybridMultilevel"/>
    <w:tmpl w:val="981E4A86"/>
    <w:lvl w:ilvl="0" w:tplc="B3B81CE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 w15:restartNumberingAfterBreak="0">
    <w:nsid w:val="10D72C28"/>
    <w:multiLevelType w:val="hybridMultilevel"/>
    <w:tmpl w:val="5C92DDE8"/>
    <w:styleLink w:val="Zaimportowanystyl1"/>
    <w:lvl w:ilvl="0" w:tplc="86A259DC">
      <w:start w:val="1"/>
      <w:numFmt w:val="decimal"/>
      <w:lvlText w:val="%1."/>
      <w:lvlJc w:val="left"/>
      <w:pPr>
        <w:ind w:left="128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C93FE">
      <w:start w:val="1"/>
      <w:numFmt w:val="lowerLetter"/>
      <w:lvlText w:val="%2."/>
      <w:lvlJc w:val="left"/>
      <w:pPr>
        <w:ind w:left="200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ACCFAA">
      <w:start w:val="1"/>
      <w:numFmt w:val="lowerRoman"/>
      <w:lvlText w:val="%3."/>
      <w:lvlJc w:val="left"/>
      <w:pPr>
        <w:ind w:left="2727"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74D112">
      <w:start w:val="1"/>
      <w:numFmt w:val="decimal"/>
      <w:lvlText w:val="%4."/>
      <w:lvlJc w:val="left"/>
      <w:pPr>
        <w:ind w:left="344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0C7672">
      <w:start w:val="1"/>
      <w:numFmt w:val="lowerLetter"/>
      <w:lvlText w:val="%5."/>
      <w:lvlJc w:val="left"/>
      <w:pPr>
        <w:ind w:left="416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A4E70">
      <w:start w:val="1"/>
      <w:numFmt w:val="lowerRoman"/>
      <w:lvlText w:val="%6."/>
      <w:lvlJc w:val="left"/>
      <w:pPr>
        <w:ind w:left="4887"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9A8688">
      <w:start w:val="1"/>
      <w:numFmt w:val="decimal"/>
      <w:lvlText w:val="%7."/>
      <w:lvlJc w:val="left"/>
      <w:pPr>
        <w:ind w:left="560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16EE74">
      <w:start w:val="1"/>
      <w:numFmt w:val="lowerLetter"/>
      <w:lvlText w:val="%8."/>
      <w:lvlJc w:val="left"/>
      <w:pPr>
        <w:ind w:left="632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C8EAE6">
      <w:start w:val="1"/>
      <w:numFmt w:val="lowerRoman"/>
      <w:lvlText w:val="%9."/>
      <w:lvlJc w:val="left"/>
      <w:pPr>
        <w:ind w:left="7047"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470DE2"/>
    <w:multiLevelType w:val="hybridMultilevel"/>
    <w:tmpl w:val="A6F46E24"/>
    <w:styleLink w:val="Zaimportowanystyl16"/>
    <w:lvl w:ilvl="0" w:tplc="C1F2E996">
      <w:start w:val="1"/>
      <w:numFmt w:val="lowerLetter"/>
      <w:lvlText w:val="%1)"/>
      <w:lvlJc w:val="left"/>
      <w:pPr>
        <w:ind w:left="200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965302">
      <w:start w:val="1"/>
      <w:numFmt w:val="lowerLetter"/>
      <w:lvlText w:val="%2."/>
      <w:lvlJc w:val="left"/>
      <w:pPr>
        <w:ind w:left="272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CAA0C2">
      <w:start w:val="1"/>
      <w:numFmt w:val="lowerRoman"/>
      <w:lvlText w:val="%3."/>
      <w:lvlJc w:val="left"/>
      <w:pPr>
        <w:ind w:left="3447"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D6837C">
      <w:start w:val="1"/>
      <w:numFmt w:val="decimal"/>
      <w:lvlText w:val="%4."/>
      <w:lvlJc w:val="left"/>
      <w:pPr>
        <w:ind w:left="416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2802AA">
      <w:start w:val="1"/>
      <w:numFmt w:val="lowerLetter"/>
      <w:lvlText w:val="%5."/>
      <w:lvlJc w:val="left"/>
      <w:pPr>
        <w:ind w:left="488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E2EC18">
      <w:start w:val="1"/>
      <w:numFmt w:val="lowerRoman"/>
      <w:lvlText w:val="%6."/>
      <w:lvlJc w:val="left"/>
      <w:pPr>
        <w:ind w:left="5607"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72669A">
      <w:start w:val="1"/>
      <w:numFmt w:val="decimal"/>
      <w:lvlText w:val="%7."/>
      <w:lvlJc w:val="left"/>
      <w:pPr>
        <w:ind w:left="632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8E220C">
      <w:start w:val="1"/>
      <w:numFmt w:val="lowerLetter"/>
      <w:lvlText w:val="%8."/>
      <w:lvlJc w:val="left"/>
      <w:pPr>
        <w:ind w:left="704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4AB24E">
      <w:start w:val="1"/>
      <w:numFmt w:val="lowerRoman"/>
      <w:lvlText w:val="%9."/>
      <w:lvlJc w:val="left"/>
      <w:pPr>
        <w:ind w:left="7767"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8B80EB8"/>
    <w:multiLevelType w:val="hybridMultilevel"/>
    <w:tmpl w:val="AB56B01A"/>
    <w:styleLink w:val="Zaimportowanystyl12"/>
    <w:lvl w:ilvl="0" w:tplc="4FD407D8">
      <w:start w:val="1"/>
      <w:numFmt w:val="lowerLetter"/>
      <w:lvlText w:val="%1)"/>
      <w:lvlJc w:val="left"/>
      <w:pPr>
        <w:ind w:left="200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E6FCF6">
      <w:start w:val="1"/>
      <w:numFmt w:val="lowerLetter"/>
      <w:lvlText w:val="%2."/>
      <w:lvlJc w:val="left"/>
      <w:pPr>
        <w:ind w:left="272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8C6D20">
      <w:start w:val="1"/>
      <w:numFmt w:val="lowerRoman"/>
      <w:lvlText w:val="%3."/>
      <w:lvlJc w:val="left"/>
      <w:pPr>
        <w:ind w:left="3447"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ECACF2">
      <w:start w:val="1"/>
      <w:numFmt w:val="decimal"/>
      <w:lvlText w:val="%4."/>
      <w:lvlJc w:val="left"/>
      <w:pPr>
        <w:ind w:left="416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0A3C6E">
      <w:start w:val="1"/>
      <w:numFmt w:val="lowerLetter"/>
      <w:lvlText w:val="%5."/>
      <w:lvlJc w:val="left"/>
      <w:pPr>
        <w:ind w:left="488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E0CD70">
      <w:start w:val="1"/>
      <w:numFmt w:val="lowerRoman"/>
      <w:lvlText w:val="%6."/>
      <w:lvlJc w:val="left"/>
      <w:pPr>
        <w:ind w:left="5607"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F0869C">
      <w:start w:val="1"/>
      <w:numFmt w:val="decimal"/>
      <w:lvlText w:val="%7."/>
      <w:lvlJc w:val="left"/>
      <w:pPr>
        <w:ind w:left="632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6ABF22">
      <w:start w:val="1"/>
      <w:numFmt w:val="lowerLetter"/>
      <w:lvlText w:val="%8."/>
      <w:lvlJc w:val="left"/>
      <w:pPr>
        <w:ind w:left="704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40F882">
      <w:start w:val="1"/>
      <w:numFmt w:val="lowerRoman"/>
      <w:lvlText w:val="%9."/>
      <w:lvlJc w:val="left"/>
      <w:pPr>
        <w:ind w:left="7767"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2F5F3D"/>
    <w:multiLevelType w:val="hybridMultilevel"/>
    <w:tmpl w:val="43D23A56"/>
    <w:lvl w:ilvl="0" w:tplc="7FF4545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D0F585A"/>
    <w:multiLevelType w:val="multilevel"/>
    <w:tmpl w:val="5AF28E54"/>
    <w:styleLink w:val="Zaimportowanystyl15"/>
    <w:lvl w:ilvl="0">
      <w:start w:val="1"/>
      <w:numFmt w:val="lowerLetter"/>
      <w:lvlText w:val="%1)"/>
      <w:lvlJc w:val="left"/>
      <w:pPr>
        <w:ind w:left="198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269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3035"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37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4085"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79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495"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584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6545"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D7B77AC"/>
    <w:multiLevelType w:val="hybridMultilevel"/>
    <w:tmpl w:val="AF40A30C"/>
    <w:styleLink w:val="Litery"/>
    <w:lvl w:ilvl="0" w:tplc="7B26FBA2">
      <w:start w:val="1"/>
      <w:numFmt w:val="decimal"/>
      <w:lvlText w:val="%1)"/>
      <w:lvlJc w:val="left"/>
      <w:pPr>
        <w:tabs>
          <w:tab w:val="right" w:pos="9754"/>
        </w:tabs>
        <w:ind w:left="11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4A372E">
      <w:start w:val="1"/>
      <w:numFmt w:val="decimal"/>
      <w:lvlText w:val="%2)"/>
      <w:lvlJc w:val="left"/>
      <w:pPr>
        <w:tabs>
          <w:tab w:val="right" w:pos="9754"/>
        </w:tabs>
        <w:ind w:left="21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421218">
      <w:start w:val="1"/>
      <w:numFmt w:val="decimal"/>
      <w:lvlText w:val="%3)"/>
      <w:lvlJc w:val="left"/>
      <w:pPr>
        <w:tabs>
          <w:tab w:val="right" w:pos="9754"/>
        </w:tabs>
        <w:ind w:left="31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662786">
      <w:start w:val="1"/>
      <w:numFmt w:val="decimal"/>
      <w:lvlText w:val="%4)"/>
      <w:lvlJc w:val="left"/>
      <w:pPr>
        <w:tabs>
          <w:tab w:val="right" w:pos="9754"/>
        </w:tabs>
        <w:ind w:left="41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DEF9C4">
      <w:start w:val="1"/>
      <w:numFmt w:val="decimal"/>
      <w:lvlText w:val="%5)"/>
      <w:lvlJc w:val="left"/>
      <w:pPr>
        <w:tabs>
          <w:tab w:val="right" w:pos="9754"/>
        </w:tabs>
        <w:ind w:left="51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26311A">
      <w:start w:val="1"/>
      <w:numFmt w:val="decimal"/>
      <w:lvlText w:val="%6)"/>
      <w:lvlJc w:val="left"/>
      <w:pPr>
        <w:tabs>
          <w:tab w:val="right" w:pos="9754"/>
        </w:tabs>
        <w:ind w:left="61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FCC33C">
      <w:start w:val="1"/>
      <w:numFmt w:val="decimal"/>
      <w:lvlText w:val="%7)"/>
      <w:lvlJc w:val="left"/>
      <w:pPr>
        <w:tabs>
          <w:tab w:val="right" w:pos="9754"/>
        </w:tabs>
        <w:ind w:left="71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C07FE2">
      <w:start w:val="1"/>
      <w:numFmt w:val="decimal"/>
      <w:lvlText w:val="%8)"/>
      <w:lvlJc w:val="left"/>
      <w:pPr>
        <w:tabs>
          <w:tab w:val="right" w:pos="9754"/>
        </w:tabs>
        <w:ind w:left="81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9AE3FE">
      <w:start w:val="1"/>
      <w:numFmt w:val="decimal"/>
      <w:lvlText w:val="%9)"/>
      <w:lvlJc w:val="left"/>
      <w:pPr>
        <w:tabs>
          <w:tab w:val="right" w:pos="9754"/>
        </w:tabs>
        <w:ind w:left="91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EAC412A"/>
    <w:multiLevelType w:val="hybridMultilevel"/>
    <w:tmpl w:val="6406CCAE"/>
    <w:styleLink w:val="Zaimportowanystyl8"/>
    <w:lvl w:ilvl="0" w:tplc="C7D4B370">
      <w:start w:val="1"/>
      <w:numFmt w:val="lowerLetter"/>
      <w:lvlText w:val="%1)"/>
      <w:lvlJc w:val="left"/>
      <w:pPr>
        <w:ind w:left="200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34EBBC">
      <w:start w:val="1"/>
      <w:numFmt w:val="lowerLetter"/>
      <w:lvlText w:val="%2."/>
      <w:lvlJc w:val="left"/>
      <w:pPr>
        <w:ind w:left="272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088166">
      <w:start w:val="1"/>
      <w:numFmt w:val="lowerRoman"/>
      <w:lvlText w:val="%3."/>
      <w:lvlJc w:val="left"/>
      <w:pPr>
        <w:ind w:left="3447"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76B2DC">
      <w:start w:val="1"/>
      <w:numFmt w:val="decimal"/>
      <w:lvlText w:val="%4."/>
      <w:lvlJc w:val="left"/>
      <w:pPr>
        <w:ind w:left="416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6A3902">
      <w:start w:val="1"/>
      <w:numFmt w:val="lowerLetter"/>
      <w:lvlText w:val="%5."/>
      <w:lvlJc w:val="left"/>
      <w:pPr>
        <w:ind w:left="488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80EDF6">
      <w:start w:val="1"/>
      <w:numFmt w:val="lowerRoman"/>
      <w:lvlText w:val="%6."/>
      <w:lvlJc w:val="left"/>
      <w:pPr>
        <w:ind w:left="5607"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2B5F6">
      <w:start w:val="1"/>
      <w:numFmt w:val="decimal"/>
      <w:lvlText w:val="%7."/>
      <w:lvlJc w:val="left"/>
      <w:pPr>
        <w:ind w:left="632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8861EE">
      <w:start w:val="1"/>
      <w:numFmt w:val="lowerLetter"/>
      <w:lvlText w:val="%8."/>
      <w:lvlJc w:val="left"/>
      <w:pPr>
        <w:ind w:left="704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882E18">
      <w:start w:val="1"/>
      <w:numFmt w:val="lowerRoman"/>
      <w:lvlText w:val="%9."/>
      <w:lvlJc w:val="left"/>
      <w:pPr>
        <w:ind w:left="7767"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1606F6C"/>
    <w:multiLevelType w:val="hybridMultilevel"/>
    <w:tmpl w:val="A1689FAE"/>
    <w:styleLink w:val="Zaimportowanystyl5"/>
    <w:lvl w:ilvl="0" w:tplc="468851DA">
      <w:start w:val="1"/>
      <w:numFmt w:val="lowerLetter"/>
      <w:lvlText w:val="%1)"/>
      <w:lvlJc w:val="left"/>
      <w:pPr>
        <w:ind w:left="200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98A7A6">
      <w:start w:val="1"/>
      <w:numFmt w:val="lowerLetter"/>
      <w:lvlText w:val="%2."/>
      <w:lvlJc w:val="left"/>
      <w:pPr>
        <w:ind w:left="272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68F43C">
      <w:start w:val="1"/>
      <w:numFmt w:val="lowerRoman"/>
      <w:lvlText w:val="%3."/>
      <w:lvlJc w:val="left"/>
      <w:pPr>
        <w:ind w:left="3441"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4049A8">
      <w:start w:val="1"/>
      <w:numFmt w:val="decimal"/>
      <w:lvlText w:val="%4."/>
      <w:lvlJc w:val="left"/>
      <w:pPr>
        <w:ind w:left="416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4C2FB4">
      <w:start w:val="1"/>
      <w:numFmt w:val="lowerLetter"/>
      <w:lvlText w:val="%5."/>
      <w:lvlJc w:val="left"/>
      <w:pPr>
        <w:ind w:left="488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72306C">
      <w:start w:val="1"/>
      <w:numFmt w:val="lowerRoman"/>
      <w:lvlText w:val="%6."/>
      <w:lvlJc w:val="left"/>
      <w:pPr>
        <w:ind w:left="5601"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2A9D80">
      <w:start w:val="1"/>
      <w:numFmt w:val="decimal"/>
      <w:lvlText w:val="%7."/>
      <w:lvlJc w:val="left"/>
      <w:pPr>
        <w:ind w:left="632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1E9C1C">
      <w:start w:val="1"/>
      <w:numFmt w:val="lowerLetter"/>
      <w:lvlText w:val="%8."/>
      <w:lvlJc w:val="left"/>
      <w:pPr>
        <w:ind w:left="704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1C0E3C">
      <w:start w:val="1"/>
      <w:numFmt w:val="lowerRoman"/>
      <w:lvlText w:val="%9."/>
      <w:lvlJc w:val="left"/>
      <w:pPr>
        <w:ind w:left="7761"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6B8663C"/>
    <w:multiLevelType w:val="hybridMultilevel"/>
    <w:tmpl w:val="D6D8A086"/>
    <w:styleLink w:val="Zaimportowanystyl14"/>
    <w:lvl w:ilvl="0" w:tplc="B85E983A">
      <w:start w:val="1"/>
      <w:numFmt w:val="lowerLetter"/>
      <w:lvlText w:val="%1)"/>
      <w:lvlJc w:val="left"/>
      <w:pPr>
        <w:ind w:left="200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9AB80C">
      <w:start w:val="1"/>
      <w:numFmt w:val="lowerLetter"/>
      <w:lvlText w:val="%2."/>
      <w:lvlJc w:val="left"/>
      <w:pPr>
        <w:ind w:left="272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027EC6">
      <w:start w:val="1"/>
      <w:numFmt w:val="lowerRoman"/>
      <w:lvlText w:val="%3."/>
      <w:lvlJc w:val="left"/>
      <w:pPr>
        <w:ind w:left="3447"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38253E">
      <w:start w:val="1"/>
      <w:numFmt w:val="decimal"/>
      <w:lvlText w:val="%4."/>
      <w:lvlJc w:val="left"/>
      <w:pPr>
        <w:ind w:left="416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8997A">
      <w:start w:val="1"/>
      <w:numFmt w:val="lowerLetter"/>
      <w:lvlText w:val="%5."/>
      <w:lvlJc w:val="left"/>
      <w:pPr>
        <w:ind w:left="488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7E043C">
      <w:start w:val="1"/>
      <w:numFmt w:val="lowerRoman"/>
      <w:lvlText w:val="%6."/>
      <w:lvlJc w:val="left"/>
      <w:pPr>
        <w:ind w:left="5607"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5687FE">
      <w:start w:val="1"/>
      <w:numFmt w:val="decimal"/>
      <w:lvlText w:val="%7."/>
      <w:lvlJc w:val="left"/>
      <w:pPr>
        <w:ind w:left="632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7C1776">
      <w:start w:val="1"/>
      <w:numFmt w:val="lowerLetter"/>
      <w:lvlText w:val="%8."/>
      <w:lvlJc w:val="left"/>
      <w:pPr>
        <w:ind w:left="704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C40610">
      <w:start w:val="1"/>
      <w:numFmt w:val="lowerRoman"/>
      <w:lvlText w:val="%9."/>
      <w:lvlJc w:val="left"/>
      <w:pPr>
        <w:ind w:left="7767"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8096153"/>
    <w:multiLevelType w:val="hybridMultilevel"/>
    <w:tmpl w:val="027A4B36"/>
    <w:styleLink w:val="Zaimportowanystyl11"/>
    <w:lvl w:ilvl="0" w:tplc="D4404CDC">
      <w:start w:val="1"/>
      <w:numFmt w:val="lowerLetter"/>
      <w:lvlText w:val="%1)"/>
      <w:lvlJc w:val="left"/>
      <w:pPr>
        <w:ind w:left="20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F4D126">
      <w:start w:val="1"/>
      <w:numFmt w:val="lowerLetter"/>
      <w:lvlText w:val="%2."/>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B0A550">
      <w:start w:val="1"/>
      <w:numFmt w:val="lowerRoman"/>
      <w:lvlText w:val="%3."/>
      <w:lvlJc w:val="left"/>
      <w:pPr>
        <w:ind w:left="3447"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4CB50E">
      <w:start w:val="1"/>
      <w:numFmt w:val="decimal"/>
      <w:lvlText w:val="%4."/>
      <w:lvlJc w:val="left"/>
      <w:pPr>
        <w:ind w:left="41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36C59A">
      <w:start w:val="1"/>
      <w:numFmt w:val="lowerLetter"/>
      <w:lvlText w:val="%5."/>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B8ADA8">
      <w:start w:val="1"/>
      <w:numFmt w:val="lowerRoman"/>
      <w:lvlText w:val="%6."/>
      <w:lvlJc w:val="left"/>
      <w:pPr>
        <w:ind w:left="5607"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FA2868">
      <w:start w:val="1"/>
      <w:numFmt w:val="decimal"/>
      <w:lvlText w:val="%7."/>
      <w:lvlJc w:val="left"/>
      <w:pPr>
        <w:ind w:left="63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A0CD2C">
      <w:start w:val="1"/>
      <w:numFmt w:val="lowerLetter"/>
      <w:lvlText w:val="%8."/>
      <w:lvlJc w:val="left"/>
      <w:pPr>
        <w:ind w:left="70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3E60BA">
      <w:start w:val="1"/>
      <w:numFmt w:val="lowerRoman"/>
      <w:lvlText w:val="%9."/>
      <w:lvlJc w:val="left"/>
      <w:pPr>
        <w:ind w:left="7767"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4A41832"/>
    <w:multiLevelType w:val="hybridMultilevel"/>
    <w:tmpl w:val="C72A1636"/>
    <w:styleLink w:val="Zaimportowanystyl10"/>
    <w:lvl w:ilvl="0" w:tplc="8126178A">
      <w:start w:val="1"/>
      <w:numFmt w:val="lowerLetter"/>
      <w:lvlText w:val="%1)"/>
      <w:lvlJc w:val="left"/>
      <w:pPr>
        <w:ind w:left="200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60D5AE">
      <w:start w:val="1"/>
      <w:numFmt w:val="lowerLetter"/>
      <w:lvlText w:val="%2."/>
      <w:lvlJc w:val="left"/>
      <w:pPr>
        <w:ind w:left="272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C8D6FE">
      <w:start w:val="1"/>
      <w:numFmt w:val="lowerRoman"/>
      <w:lvlText w:val="%3."/>
      <w:lvlJc w:val="left"/>
      <w:pPr>
        <w:ind w:left="3447"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FC2976">
      <w:start w:val="1"/>
      <w:numFmt w:val="decimal"/>
      <w:lvlText w:val="%4."/>
      <w:lvlJc w:val="left"/>
      <w:pPr>
        <w:ind w:left="416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CEBA5C">
      <w:start w:val="1"/>
      <w:numFmt w:val="lowerLetter"/>
      <w:lvlText w:val="%5."/>
      <w:lvlJc w:val="left"/>
      <w:pPr>
        <w:ind w:left="488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6C6EEE">
      <w:start w:val="1"/>
      <w:numFmt w:val="lowerRoman"/>
      <w:lvlText w:val="%6."/>
      <w:lvlJc w:val="left"/>
      <w:pPr>
        <w:ind w:left="5607"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B0EDE0">
      <w:start w:val="1"/>
      <w:numFmt w:val="decimal"/>
      <w:lvlText w:val="%7."/>
      <w:lvlJc w:val="left"/>
      <w:pPr>
        <w:ind w:left="632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FA72C8">
      <w:start w:val="1"/>
      <w:numFmt w:val="lowerLetter"/>
      <w:lvlText w:val="%8."/>
      <w:lvlJc w:val="left"/>
      <w:pPr>
        <w:ind w:left="704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A89BB2">
      <w:start w:val="1"/>
      <w:numFmt w:val="lowerRoman"/>
      <w:lvlText w:val="%9."/>
      <w:lvlJc w:val="left"/>
      <w:pPr>
        <w:ind w:left="7767"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6057900"/>
    <w:multiLevelType w:val="hybridMultilevel"/>
    <w:tmpl w:val="76283FB8"/>
    <w:styleLink w:val="Zaimportowanystyl6"/>
    <w:lvl w:ilvl="0" w:tplc="D31A2370">
      <w:start w:val="1"/>
      <w:numFmt w:val="lowerRoman"/>
      <w:lvlText w:val="%1."/>
      <w:lvlJc w:val="left"/>
      <w:pPr>
        <w:ind w:left="2721" w:hanging="4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52371E">
      <w:start w:val="1"/>
      <w:numFmt w:val="lowerLetter"/>
      <w:lvlText w:val="%2."/>
      <w:lvlJc w:val="left"/>
      <w:pPr>
        <w:ind w:left="344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28E228">
      <w:start w:val="1"/>
      <w:numFmt w:val="lowerRoman"/>
      <w:lvlText w:val="%3."/>
      <w:lvlJc w:val="left"/>
      <w:pPr>
        <w:ind w:left="4161"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0A1310">
      <w:start w:val="1"/>
      <w:numFmt w:val="decimal"/>
      <w:lvlText w:val="%4."/>
      <w:lvlJc w:val="left"/>
      <w:pPr>
        <w:ind w:left="488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B402C4">
      <w:start w:val="1"/>
      <w:numFmt w:val="lowerLetter"/>
      <w:lvlText w:val="%5."/>
      <w:lvlJc w:val="left"/>
      <w:pPr>
        <w:ind w:left="560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72A900">
      <w:start w:val="1"/>
      <w:numFmt w:val="lowerRoman"/>
      <w:lvlText w:val="%6."/>
      <w:lvlJc w:val="left"/>
      <w:pPr>
        <w:ind w:left="6321"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A64F9C">
      <w:start w:val="1"/>
      <w:numFmt w:val="decimal"/>
      <w:lvlText w:val="%7."/>
      <w:lvlJc w:val="left"/>
      <w:pPr>
        <w:ind w:left="704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4238D0">
      <w:start w:val="1"/>
      <w:numFmt w:val="lowerLetter"/>
      <w:lvlText w:val="%8."/>
      <w:lvlJc w:val="left"/>
      <w:pPr>
        <w:ind w:left="776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5EF98C">
      <w:start w:val="1"/>
      <w:numFmt w:val="lowerRoman"/>
      <w:lvlText w:val="%9."/>
      <w:lvlJc w:val="left"/>
      <w:pPr>
        <w:ind w:left="8481"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8494F3B"/>
    <w:multiLevelType w:val="hybridMultilevel"/>
    <w:tmpl w:val="920C7ED8"/>
    <w:styleLink w:val="Zaimportowanystyl4"/>
    <w:lvl w:ilvl="0" w:tplc="98A8E19C">
      <w:start w:val="1"/>
      <w:numFmt w:val="lowerRoman"/>
      <w:lvlText w:val="%1."/>
      <w:lvlJc w:val="left"/>
      <w:pPr>
        <w:ind w:left="2727" w:hanging="4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5896D6">
      <w:start w:val="1"/>
      <w:numFmt w:val="lowerLetter"/>
      <w:lvlText w:val="%2."/>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2AB488">
      <w:start w:val="1"/>
      <w:numFmt w:val="lowerRoman"/>
      <w:lvlText w:val="%3."/>
      <w:lvlJc w:val="left"/>
      <w:pPr>
        <w:ind w:left="4167"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7C857A">
      <w:start w:val="1"/>
      <w:numFmt w:val="decimal"/>
      <w:lvlText w:val="%4."/>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E4D5AE">
      <w:start w:val="1"/>
      <w:numFmt w:val="lowerLetter"/>
      <w:lvlText w:val="%5."/>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DAA61C">
      <w:start w:val="1"/>
      <w:numFmt w:val="lowerRoman"/>
      <w:lvlText w:val="%6."/>
      <w:lvlJc w:val="left"/>
      <w:pPr>
        <w:ind w:left="6327"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B671D6">
      <w:start w:val="1"/>
      <w:numFmt w:val="decimal"/>
      <w:lvlText w:val="%7."/>
      <w:lvlJc w:val="left"/>
      <w:pPr>
        <w:ind w:left="70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A055A8">
      <w:start w:val="1"/>
      <w:numFmt w:val="lowerLetter"/>
      <w:lvlText w:val="%8."/>
      <w:lvlJc w:val="left"/>
      <w:pPr>
        <w:ind w:left="77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5E48CE">
      <w:start w:val="1"/>
      <w:numFmt w:val="lowerRoman"/>
      <w:lvlText w:val="%9."/>
      <w:lvlJc w:val="left"/>
      <w:pPr>
        <w:ind w:left="8487"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C5A684F"/>
    <w:multiLevelType w:val="hybridMultilevel"/>
    <w:tmpl w:val="6FD476D8"/>
    <w:lvl w:ilvl="0" w:tplc="D6FE46C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74451A"/>
    <w:multiLevelType w:val="hybridMultilevel"/>
    <w:tmpl w:val="5914CE4C"/>
    <w:styleLink w:val="Zaimportowanystyl9"/>
    <w:lvl w:ilvl="0" w:tplc="EDD6AD46">
      <w:start w:val="1"/>
      <w:numFmt w:val="lowerLetter"/>
      <w:lvlText w:val="%1)"/>
      <w:lvlJc w:val="left"/>
      <w:pPr>
        <w:ind w:left="19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864AA">
      <w:start w:val="1"/>
      <w:numFmt w:val="lowerLetter"/>
      <w:lvlText w:val="%2."/>
      <w:lvlJc w:val="left"/>
      <w:pPr>
        <w:ind w:left="270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120C3E">
      <w:start w:val="1"/>
      <w:numFmt w:val="lowerRoman"/>
      <w:lvlText w:val="%3."/>
      <w:lvlJc w:val="left"/>
      <w:pPr>
        <w:ind w:left="3425"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AED5A">
      <w:start w:val="1"/>
      <w:numFmt w:val="decimal"/>
      <w:lvlText w:val="%4."/>
      <w:lvlJc w:val="left"/>
      <w:pPr>
        <w:ind w:left="41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E0F31A">
      <w:start w:val="1"/>
      <w:numFmt w:val="lowerLetter"/>
      <w:lvlText w:val="%5."/>
      <w:lvlJc w:val="left"/>
      <w:pPr>
        <w:ind w:left="486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E551C">
      <w:start w:val="1"/>
      <w:numFmt w:val="lowerRoman"/>
      <w:lvlText w:val="%6."/>
      <w:lvlJc w:val="left"/>
      <w:pPr>
        <w:ind w:left="5585"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2E7D78">
      <w:start w:val="1"/>
      <w:numFmt w:val="decimal"/>
      <w:lvlText w:val="%7."/>
      <w:lvlJc w:val="left"/>
      <w:pPr>
        <w:ind w:left="630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A86B3E">
      <w:start w:val="1"/>
      <w:numFmt w:val="lowerLetter"/>
      <w:lvlText w:val="%8."/>
      <w:lvlJc w:val="left"/>
      <w:pPr>
        <w:ind w:left="70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FEB9C0">
      <w:start w:val="1"/>
      <w:numFmt w:val="lowerRoman"/>
      <w:lvlText w:val="%9."/>
      <w:lvlJc w:val="left"/>
      <w:pPr>
        <w:ind w:left="7745"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C612C7E"/>
    <w:multiLevelType w:val="hybridMultilevel"/>
    <w:tmpl w:val="D7B83D5C"/>
    <w:lvl w:ilvl="0" w:tplc="F38E273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1549E1"/>
    <w:multiLevelType w:val="hybridMultilevel"/>
    <w:tmpl w:val="E5D4B758"/>
    <w:lvl w:ilvl="0" w:tplc="4470C90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B40B0E"/>
    <w:multiLevelType w:val="hybridMultilevel"/>
    <w:tmpl w:val="9E36EF22"/>
    <w:styleLink w:val="Zaimportowanystyl3"/>
    <w:lvl w:ilvl="0" w:tplc="8CD6672E">
      <w:start w:val="1"/>
      <w:numFmt w:val="lowerLetter"/>
      <w:lvlText w:val="%1)"/>
      <w:lvlJc w:val="left"/>
      <w:pPr>
        <w:ind w:left="200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FA6A2C">
      <w:start w:val="1"/>
      <w:numFmt w:val="lowerLetter"/>
      <w:lvlText w:val="%2."/>
      <w:lvlJc w:val="left"/>
      <w:pPr>
        <w:ind w:left="272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FE6F3E">
      <w:start w:val="1"/>
      <w:numFmt w:val="lowerRoman"/>
      <w:lvlText w:val="%3."/>
      <w:lvlJc w:val="left"/>
      <w:pPr>
        <w:ind w:left="3447"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FAE3BE">
      <w:start w:val="1"/>
      <w:numFmt w:val="decimal"/>
      <w:lvlText w:val="%4."/>
      <w:lvlJc w:val="left"/>
      <w:pPr>
        <w:ind w:left="416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6A3722">
      <w:start w:val="1"/>
      <w:numFmt w:val="lowerLetter"/>
      <w:lvlText w:val="%5."/>
      <w:lvlJc w:val="left"/>
      <w:pPr>
        <w:ind w:left="488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8A1398">
      <w:start w:val="1"/>
      <w:numFmt w:val="lowerRoman"/>
      <w:lvlText w:val="%6."/>
      <w:lvlJc w:val="left"/>
      <w:pPr>
        <w:ind w:left="5607"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54BC90">
      <w:start w:val="1"/>
      <w:numFmt w:val="decimal"/>
      <w:lvlText w:val="%7."/>
      <w:lvlJc w:val="left"/>
      <w:pPr>
        <w:ind w:left="632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24FD62">
      <w:start w:val="1"/>
      <w:numFmt w:val="lowerLetter"/>
      <w:lvlText w:val="%8."/>
      <w:lvlJc w:val="left"/>
      <w:pPr>
        <w:ind w:left="704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36B7B0">
      <w:start w:val="1"/>
      <w:numFmt w:val="lowerRoman"/>
      <w:lvlText w:val="%9."/>
      <w:lvlJc w:val="left"/>
      <w:pPr>
        <w:ind w:left="7767"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3562F09"/>
    <w:multiLevelType w:val="hybridMultilevel"/>
    <w:tmpl w:val="38E653F8"/>
    <w:lvl w:ilvl="0" w:tplc="9DB6FB4C">
      <w:start w:val="1"/>
      <w:numFmt w:val="decimal"/>
      <w:lvlText w:val="%1)"/>
      <w:lvlJc w:val="left"/>
      <w:pPr>
        <w:ind w:left="1211" w:hanging="360"/>
      </w:pPr>
      <w:rPr>
        <w:rFonts w:eastAsia="Calibri"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63871026"/>
    <w:multiLevelType w:val="hybridMultilevel"/>
    <w:tmpl w:val="54A23FFC"/>
    <w:styleLink w:val="Zaimportowanystyl13"/>
    <w:lvl w:ilvl="0" w:tplc="F2E4D3A6">
      <w:start w:val="1"/>
      <w:numFmt w:val="bullet"/>
      <w:lvlText w:val="-"/>
      <w:lvlJc w:val="left"/>
      <w:pPr>
        <w:ind w:left="272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94027A">
      <w:start w:val="1"/>
      <w:numFmt w:val="bullet"/>
      <w:lvlText w:val="o"/>
      <w:lvlJc w:val="left"/>
      <w:pPr>
        <w:ind w:left="34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24B4D8">
      <w:start w:val="1"/>
      <w:numFmt w:val="bullet"/>
      <w:lvlText w:val="▪"/>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BA68BA">
      <w:start w:val="1"/>
      <w:numFmt w:val="bullet"/>
      <w:lvlText w:val="·"/>
      <w:lvlJc w:val="left"/>
      <w:pPr>
        <w:ind w:left="48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244DC">
      <w:start w:val="1"/>
      <w:numFmt w:val="bullet"/>
      <w:lvlText w:val="o"/>
      <w:lvlJc w:val="left"/>
      <w:pPr>
        <w:ind w:left="56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D6C8BE">
      <w:start w:val="1"/>
      <w:numFmt w:val="bullet"/>
      <w:lvlText w:val="▪"/>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5A2356">
      <w:start w:val="1"/>
      <w:numFmt w:val="bullet"/>
      <w:lvlText w:val="·"/>
      <w:lvlJc w:val="left"/>
      <w:pPr>
        <w:ind w:left="70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222E28">
      <w:start w:val="1"/>
      <w:numFmt w:val="bullet"/>
      <w:lvlText w:val="o"/>
      <w:lvlJc w:val="left"/>
      <w:pPr>
        <w:ind w:left="77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2C0CDE">
      <w:start w:val="1"/>
      <w:numFmt w:val="bullet"/>
      <w:lvlText w:val="▪"/>
      <w:lvlJc w:val="left"/>
      <w:pPr>
        <w:ind w:left="84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6A106ED"/>
    <w:multiLevelType w:val="hybridMultilevel"/>
    <w:tmpl w:val="E96209D6"/>
    <w:styleLink w:val="Zaimportowanystyl7"/>
    <w:lvl w:ilvl="0" w:tplc="B360FFDA">
      <w:start w:val="1"/>
      <w:numFmt w:val="lowerLetter"/>
      <w:lvlText w:val="%1)"/>
      <w:lvlJc w:val="left"/>
      <w:pPr>
        <w:ind w:left="20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A47548">
      <w:start w:val="1"/>
      <w:numFmt w:val="lowerLetter"/>
      <w:lvlText w:val="%2."/>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F4695A">
      <w:start w:val="1"/>
      <w:numFmt w:val="lowerRoman"/>
      <w:lvlText w:val="%3."/>
      <w:lvlJc w:val="left"/>
      <w:pPr>
        <w:ind w:left="3447"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7C48A4">
      <w:start w:val="1"/>
      <w:numFmt w:val="decimal"/>
      <w:lvlText w:val="%4."/>
      <w:lvlJc w:val="left"/>
      <w:pPr>
        <w:ind w:left="41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2858B2">
      <w:start w:val="1"/>
      <w:numFmt w:val="lowerLetter"/>
      <w:lvlText w:val="%5."/>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26EE3E">
      <w:start w:val="1"/>
      <w:numFmt w:val="lowerRoman"/>
      <w:lvlText w:val="%6."/>
      <w:lvlJc w:val="left"/>
      <w:pPr>
        <w:ind w:left="5607"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3E16DA">
      <w:start w:val="1"/>
      <w:numFmt w:val="decimal"/>
      <w:lvlText w:val="%7."/>
      <w:lvlJc w:val="left"/>
      <w:pPr>
        <w:ind w:left="63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60B3DC">
      <w:start w:val="1"/>
      <w:numFmt w:val="lowerLetter"/>
      <w:lvlText w:val="%8."/>
      <w:lvlJc w:val="left"/>
      <w:pPr>
        <w:ind w:left="70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B08986">
      <w:start w:val="1"/>
      <w:numFmt w:val="lowerRoman"/>
      <w:lvlText w:val="%9."/>
      <w:lvlJc w:val="left"/>
      <w:pPr>
        <w:ind w:left="7767"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71437EB"/>
    <w:multiLevelType w:val="hybridMultilevel"/>
    <w:tmpl w:val="35080638"/>
    <w:lvl w:ilvl="0" w:tplc="6C462C6A">
      <w:start w:val="1"/>
      <w:numFmt w:val="lowerLetter"/>
      <w:lvlText w:val="%1)"/>
      <w:lvlJc w:val="left"/>
      <w:pPr>
        <w:ind w:left="1418" w:hanging="360"/>
      </w:pPr>
      <w:rPr>
        <w:rFonts w:hint="default"/>
      </w:r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23" w15:restartNumberingAfterBreak="0">
    <w:nsid w:val="6F641C0D"/>
    <w:multiLevelType w:val="hybridMultilevel"/>
    <w:tmpl w:val="A7F85258"/>
    <w:styleLink w:val="Zaimportowanystyl2"/>
    <w:lvl w:ilvl="0" w:tplc="49ACBCD8">
      <w:start w:val="1"/>
      <w:numFmt w:val="lowerLetter"/>
      <w:lvlText w:val="%1)"/>
      <w:lvlJc w:val="left"/>
      <w:pPr>
        <w:ind w:left="2001"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7489D0">
      <w:start w:val="1"/>
      <w:numFmt w:val="lowerLetter"/>
      <w:lvlText w:val="%2."/>
      <w:lvlJc w:val="left"/>
      <w:pPr>
        <w:ind w:left="2721"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505CD6">
      <w:start w:val="1"/>
      <w:numFmt w:val="lowerRoman"/>
      <w:lvlText w:val="%3."/>
      <w:lvlJc w:val="left"/>
      <w:pPr>
        <w:ind w:left="3441"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DA4D80">
      <w:start w:val="1"/>
      <w:numFmt w:val="decimal"/>
      <w:lvlText w:val="%4."/>
      <w:lvlJc w:val="left"/>
      <w:pPr>
        <w:ind w:left="4161"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4A6DFE">
      <w:start w:val="1"/>
      <w:numFmt w:val="lowerLetter"/>
      <w:lvlText w:val="%5."/>
      <w:lvlJc w:val="left"/>
      <w:pPr>
        <w:ind w:left="4881"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DE81FA">
      <w:start w:val="1"/>
      <w:numFmt w:val="lowerRoman"/>
      <w:lvlText w:val="%6."/>
      <w:lvlJc w:val="left"/>
      <w:pPr>
        <w:ind w:left="5601"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8F0E6">
      <w:start w:val="1"/>
      <w:numFmt w:val="decimal"/>
      <w:lvlText w:val="%7."/>
      <w:lvlJc w:val="left"/>
      <w:pPr>
        <w:ind w:left="6321"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F40224">
      <w:start w:val="1"/>
      <w:numFmt w:val="lowerLetter"/>
      <w:lvlText w:val="%8."/>
      <w:lvlJc w:val="left"/>
      <w:pPr>
        <w:ind w:left="7041"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88DE2C">
      <w:start w:val="1"/>
      <w:numFmt w:val="lowerRoman"/>
      <w:lvlText w:val="%9."/>
      <w:lvlJc w:val="left"/>
      <w:pPr>
        <w:ind w:left="7761"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3875125"/>
    <w:multiLevelType w:val="hybridMultilevel"/>
    <w:tmpl w:val="7FBA8D5C"/>
    <w:lvl w:ilvl="0" w:tplc="B3B81CE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5" w15:restartNumberingAfterBreak="0">
    <w:nsid w:val="76FE350D"/>
    <w:multiLevelType w:val="hybridMultilevel"/>
    <w:tmpl w:val="21E23B0C"/>
    <w:lvl w:ilvl="0" w:tplc="F9109CB4">
      <w:start w:val="1"/>
      <w:numFmt w:val="lowerLetter"/>
      <w:lvlText w:val="%1)"/>
      <w:lvlJc w:val="left"/>
      <w:pPr>
        <w:ind w:left="1553" w:hanging="135"/>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7B8D2147"/>
    <w:multiLevelType w:val="hybridMultilevel"/>
    <w:tmpl w:val="AC104D8C"/>
    <w:lvl w:ilvl="0" w:tplc="472E0BFE">
      <w:start w:val="1"/>
      <w:numFmt w:val="decimal"/>
      <w:lvlText w:val="%1."/>
      <w:lvlJc w:val="lef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1"/>
  </w:num>
  <w:num w:numId="2">
    <w:abstractNumId w:val="23"/>
  </w:num>
  <w:num w:numId="3">
    <w:abstractNumId w:val="18"/>
  </w:num>
  <w:num w:numId="4">
    <w:abstractNumId w:val="13"/>
  </w:num>
  <w:num w:numId="5">
    <w:abstractNumId w:val="8"/>
  </w:num>
  <w:num w:numId="6">
    <w:abstractNumId w:val="12"/>
  </w:num>
  <w:num w:numId="7">
    <w:abstractNumId w:val="21"/>
  </w:num>
  <w:num w:numId="8">
    <w:abstractNumId w:val="7"/>
  </w:num>
  <w:num w:numId="9">
    <w:abstractNumId w:val="15"/>
  </w:num>
  <w:num w:numId="10">
    <w:abstractNumId w:val="11"/>
  </w:num>
  <w:num w:numId="11">
    <w:abstractNumId w:val="10"/>
  </w:num>
  <w:num w:numId="12">
    <w:abstractNumId w:val="3"/>
  </w:num>
  <w:num w:numId="13">
    <w:abstractNumId w:val="20"/>
  </w:num>
  <w:num w:numId="14">
    <w:abstractNumId w:val="9"/>
  </w:num>
  <w:num w:numId="15">
    <w:abstractNumId w:val="5"/>
  </w:num>
  <w:num w:numId="16">
    <w:abstractNumId w:val="2"/>
  </w:num>
  <w:num w:numId="17">
    <w:abstractNumId w:val="6"/>
  </w:num>
  <w:num w:numId="18">
    <w:abstractNumId w:val="19"/>
  </w:num>
  <w:num w:numId="19">
    <w:abstractNumId w:val="4"/>
  </w:num>
  <w:num w:numId="20">
    <w:abstractNumId w:val="16"/>
  </w:num>
  <w:num w:numId="21">
    <w:abstractNumId w:val="14"/>
  </w:num>
  <w:num w:numId="22">
    <w:abstractNumId w:val="17"/>
  </w:num>
  <w:num w:numId="23">
    <w:abstractNumId w:val="26"/>
  </w:num>
  <w:num w:numId="24">
    <w:abstractNumId w:val="22"/>
  </w:num>
  <w:num w:numId="25">
    <w:abstractNumId w:val="24"/>
  </w:num>
  <w:num w:numId="26">
    <w:abstractNumId w:val="25"/>
  </w:num>
  <w:num w:numId="2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E7"/>
    <w:rsid w:val="00002282"/>
    <w:rsid w:val="00005F25"/>
    <w:rsid w:val="00010B24"/>
    <w:rsid w:val="00023E67"/>
    <w:rsid w:val="00025813"/>
    <w:rsid w:val="0003152A"/>
    <w:rsid w:val="00044A89"/>
    <w:rsid w:val="00045F02"/>
    <w:rsid w:val="00053EF7"/>
    <w:rsid w:val="0005439B"/>
    <w:rsid w:val="00057937"/>
    <w:rsid w:val="0006215C"/>
    <w:rsid w:val="00065EAB"/>
    <w:rsid w:val="00076D17"/>
    <w:rsid w:val="00094F34"/>
    <w:rsid w:val="000A2A41"/>
    <w:rsid w:val="000B4E6A"/>
    <w:rsid w:val="000B62C6"/>
    <w:rsid w:val="000C0529"/>
    <w:rsid w:val="000C1F0F"/>
    <w:rsid w:val="000C41FA"/>
    <w:rsid w:val="000C5189"/>
    <w:rsid w:val="000C609C"/>
    <w:rsid w:val="000D75DF"/>
    <w:rsid w:val="000E5023"/>
    <w:rsid w:val="000F4845"/>
    <w:rsid w:val="000F5728"/>
    <w:rsid w:val="001021CF"/>
    <w:rsid w:val="00121C56"/>
    <w:rsid w:val="00134B21"/>
    <w:rsid w:val="00136E7E"/>
    <w:rsid w:val="00153CA2"/>
    <w:rsid w:val="00163512"/>
    <w:rsid w:val="00164E1B"/>
    <w:rsid w:val="00166879"/>
    <w:rsid w:val="00190AC5"/>
    <w:rsid w:val="001955BE"/>
    <w:rsid w:val="001A1A05"/>
    <w:rsid w:val="001A3DFF"/>
    <w:rsid w:val="001B0FD7"/>
    <w:rsid w:val="001B14BE"/>
    <w:rsid w:val="001B20BC"/>
    <w:rsid w:val="001B7F77"/>
    <w:rsid w:val="001C3BB0"/>
    <w:rsid w:val="00203012"/>
    <w:rsid w:val="0021106C"/>
    <w:rsid w:val="002153B8"/>
    <w:rsid w:val="002177D2"/>
    <w:rsid w:val="00217E01"/>
    <w:rsid w:val="00222A68"/>
    <w:rsid w:val="002264A9"/>
    <w:rsid w:val="00237B63"/>
    <w:rsid w:val="00244FBA"/>
    <w:rsid w:val="00252C26"/>
    <w:rsid w:val="0026124F"/>
    <w:rsid w:val="00266CDF"/>
    <w:rsid w:val="00273C93"/>
    <w:rsid w:val="002859CF"/>
    <w:rsid w:val="002A17B7"/>
    <w:rsid w:val="002B4537"/>
    <w:rsid w:val="002C254C"/>
    <w:rsid w:val="002C44C6"/>
    <w:rsid w:val="002C5984"/>
    <w:rsid w:val="002D29C1"/>
    <w:rsid w:val="002D45DB"/>
    <w:rsid w:val="002F3F46"/>
    <w:rsid w:val="002F43A6"/>
    <w:rsid w:val="00304FCE"/>
    <w:rsid w:val="00305939"/>
    <w:rsid w:val="00314827"/>
    <w:rsid w:val="00315DA0"/>
    <w:rsid w:val="003217B7"/>
    <w:rsid w:val="00321D62"/>
    <w:rsid w:val="003357E0"/>
    <w:rsid w:val="00337432"/>
    <w:rsid w:val="00341F34"/>
    <w:rsid w:val="00354FA6"/>
    <w:rsid w:val="003747E9"/>
    <w:rsid w:val="00384299"/>
    <w:rsid w:val="003B1F7F"/>
    <w:rsid w:val="003C27AC"/>
    <w:rsid w:val="003C5337"/>
    <w:rsid w:val="003D2244"/>
    <w:rsid w:val="003D241B"/>
    <w:rsid w:val="003D49CB"/>
    <w:rsid w:val="003D5855"/>
    <w:rsid w:val="003E28A7"/>
    <w:rsid w:val="003F11BC"/>
    <w:rsid w:val="003F3FFD"/>
    <w:rsid w:val="003F7E37"/>
    <w:rsid w:val="00401AF8"/>
    <w:rsid w:val="00402EEB"/>
    <w:rsid w:val="004170E2"/>
    <w:rsid w:val="004214A3"/>
    <w:rsid w:val="0043361E"/>
    <w:rsid w:val="00433ADD"/>
    <w:rsid w:val="004403AA"/>
    <w:rsid w:val="00442339"/>
    <w:rsid w:val="004439C2"/>
    <w:rsid w:val="0044415E"/>
    <w:rsid w:val="00446016"/>
    <w:rsid w:val="0045486F"/>
    <w:rsid w:val="00456272"/>
    <w:rsid w:val="00471D17"/>
    <w:rsid w:val="00473BEA"/>
    <w:rsid w:val="00477F15"/>
    <w:rsid w:val="0048571E"/>
    <w:rsid w:val="0048655F"/>
    <w:rsid w:val="00497E91"/>
    <w:rsid w:val="004A0792"/>
    <w:rsid w:val="004A113C"/>
    <w:rsid w:val="004A4251"/>
    <w:rsid w:val="004A6795"/>
    <w:rsid w:val="004C0156"/>
    <w:rsid w:val="004C635B"/>
    <w:rsid w:val="004D008F"/>
    <w:rsid w:val="004D307C"/>
    <w:rsid w:val="004D3D71"/>
    <w:rsid w:val="004D6870"/>
    <w:rsid w:val="004F535B"/>
    <w:rsid w:val="004F58C6"/>
    <w:rsid w:val="005000C5"/>
    <w:rsid w:val="00505804"/>
    <w:rsid w:val="00506278"/>
    <w:rsid w:val="00510AF0"/>
    <w:rsid w:val="00511CB3"/>
    <w:rsid w:val="00521817"/>
    <w:rsid w:val="00524447"/>
    <w:rsid w:val="00531F0D"/>
    <w:rsid w:val="005513F8"/>
    <w:rsid w:val="00560901"/>
    <w:rsid w:val="00580992"/>
    <w:rsid w:val="00583F56"/>
    <w:rsid w:val="005866ED"/>
    <w:rsid w:val="00594FB1"/>
    <w:rsid w:val="00596E55"/>
    <w:rsid w:val="005A4AB4"/>
    <w:rsid w:val="005B35B1"/>
    <w:rsid w:val="005B3C1E"/>
    <w:rsid w:val="005C709A"/>
    <w:rsid w:val="005D37D1"/>
    <w:rsid w:val="005E009B"/>
    <w:rsid w:val="005E1612"/>
    <w:rsid w:val="005F606E"/>
    <w:rsid w:val="00601FC9"/>
    <w:rsid w:val="0062242C"/>
    <w:rsid w:val="00633E81"/>
    <w:rsid w:val="00635280"/>
    <w:rsid w:val="006535DC"/>
    <w:rsid w:val="0068731C"/>
    <w:rsid w:val="00694A83"/>
    <w:rsid w:val="0069520F"/>
    <w:rsid w:val="006B3ED6"/>
    <w:rsid w:val="006C2733"/>
    <w:rsid w:val="006C72AE"/>
    <w:rsid w:val="006C7DB8"/>
    <w:rsid w:val="006E5A18"/>
    <w:rsid w:val="006F55B0"/>
    <w:rsid w:val="0070058C"/>
    <w:rsid w:val="00707FF9"/>
    <w:rsid w:val="00710AE5"/>
    <w:rsid w:val="00716F0C"/>
    <w:rsid w:val="0074493B"/>
    <w:rsid w:val="00766045"/>
    <w:rsid w:val="00772A77"/>
    <w:rsid w:val="00787311"/>
    <w:rsid w:val="007A1338"/>
    <w:rsid w:val="007A7508"/>
    <w:rsid w:val="007B044A"/>
    <w:rsid w:val="007B0587"/>
    <w:rsid w:val="007C3F5C"/>
    <w:rsid w:val="007D4104"/>
    <w:rsid w:val="007E518F"/>
    <w:rsid w:val="007F7219"/>
    <w:rsid w:val="007F788D"/>
    <w:rsid w:val="0081258A"/>
    <w:rsid w:val="0081695D"/>
    <w:rsid w:val="00817B17"/>
    <w:rsid w:val="00822FA6"/>
    <w:rsid w:val="00825476"/>
    <w:rsid w:val="00827722"/>
    <w:rsid w:val="00833CC9"/>
    <w:rsid w:val="00842F2D"/>
    <w:rsid w:val="0084326D"/>
    <w:rsid w:val="0085019D"/>
    <w:rsid w:val="008627F0"/>
    <w:rsid w:val="0088388A"/>
    <w:rsid w:val="008859AD"/>
    <w:rsid w:val="00885A7A"/>
    <w:rsid w:val="0089105E"/>
    <w:rsid w:val="008971B3"/>
    <w:rsid w:val="008A5F58"/>
    <w:rsid w:val="008B62C6"/>
    <w:rsid w:val="008C2926"/>
    <w:rsid w:val="008C5CFB"/>
    <w:rsid w:val="008E36A6"/>
    <w:rsid w:val="008E76A2"/>
    <w:rsid w:val="008F76CC"/>
    <w:rsid w:val="008F7A20"/>
    <w:rsid w:val="0090390B"/>
    <w:rsid w:val="00907EC4"/>
    <w:rsid w:val="00910980"/>
    <w:rsid w:val="00923276"/>
    <w:rsid w:val="009244AC"/>
    <w:rsid w:val="00924B6F"/>
    <w:rsid w:val="00945776"/>
    <w:rsid w:val="009825C1"/>
    <w:rsid w:val="009906B8"/>
    <w:rsid w:val="009A561E"/>
    <w:rsid w:val="009A69C8"/>
    <w:rsid w:val="009A7280"/>
    <w:rsid w:val="009C7F92"/>
    <w:rsid w:val="009D19C3"/>
    <w:rsid w:val="009D7943"/>
    <w:rsid w:val="009E3DC7"/>
    <w:rsid w:val="009F041C"/>
    <w:rsid w:val="009F395E"/>
    <w:rsid w:val="00A0017B"/>
    <w:rsid w:val="00A0603E"/>
    <w:rsid w:val="00A116A0"/>
    <w:rsid w:val="00A23CDB"/>
    <w:rsid w:val="00A30184"/>
    <w:rsid w:val="00A30DAB"/>
    <w:rsid w:val="00A34E01"/>
    <w:rsid w:val="00A808EB"/>
    <w:rsid w:val="00A86BA8"/>
    <w:rsid w:val="00A946E6"/>
    <w:rsid w:val="00A96751"/>
    <w:rsid w:val="00AA4AA4"/>
    <w:rsid w:val="00AA5EF8"/>
    <w:rsid w:val="00AA60B7"/>
    <w:rsid w:val="00AA6D67"/>
    <w:rsid w:val="00AB0F20"/>
    <w:rsid w:val="00AB2046"/>
    <w:rsid w:val="00AB365B"/>
    <w:rsid w:val="00AB3916"/>
    <w:rsid w:val="00AB4DAB"/>
    <w:rsid w:val="00AC1D24"/>
    <w:rsid w:val="00AC36D6"/>
    <w:rsid w:val="00AC4F43"/>
    <w:rsid w:val="00AC63F1"/>
    <w:rsid w:val="00AD1E20"/>
    <w:rsid w:val="00AD4159"/>
    <w:rsid w:val="00AD499E"/>
    <w:rsid w:val="00B011E7"/>
    <w:rsid w:val="00B04186"/>
    <w:rsid w:val="00B04636"/>
    <w:rsid w:val="00B22547"/>
    <w:rsid w:val="00B32CD9"/>
    <w:rsid w:val="00B37E1A"/>
    <w:rsid w:val="00B47F61"/>
    <w:rsid w:val="00B50337"/>
    <w:rsid w:val="00B57D2E"/>
    <w:rsid w:val="00B61CBA"/>
    <w:rsid w:val="00B70790"/>
    <w:rsid w:val="00B74145"/>
    <w:rsid w:val="00B74F01"/>
    <w:rsid w:val="00B80101"/>
    <w:rsid w:val="00B802BB"/>
    <w:rsid w:val="00B8114D"/>
    <w:rsid w:val="00B85467"/>
    <w:rsid w:val="00B85F26"/>
    <w:rsid w:val="00B94DC5"/>
    <w:rsid w:val="00BA5ACF"/>
    <w:rsid w:val="00BB22B6"/>
    <w:rsid w:val="00BC32E0"/>
    <w:rsid w:val="00BD5AAE"/>
    <w:rsid w:val="00BE112B"/>
    <w:rsid w:val="00BE2F8E"/>
    <w:rsid w:val="00BE55F6"/>
    <w:rsid w:val="00BF1E07"/>
    <w:rsid w:val="00C04915"/>
    <w:rsid w:val="00C13200"/>
    <w:rsid w:val="00C15B99"/>
    <w:rsid w:val="00C24B22"/>
    <w:rsid w:val="00C26238"/>
    <w:rsid w:val="00C27FAE"/>
    <w:rsid w:val="00C34F97"/>
    <w:rsid w:val="00C43988"/>
    <w:rsid w:val="00C478D3"/>
    <w:rsid w:val="00C52422"/>
    <w:rsid w:val="00C54EEF"/>
    <w:rsid w:val="00C631C9"/>
    <w:rsid w:val="00C67D17"/>
    <w:rsid w:val="00C70CB3"/>
    <w:rsid w:val="00C718B8"/>
    <w:rsid w:val="00C734E9"/>
    <w:rsid w:val="00C76F5D"/>
    <w:rsid w:val="00C81415"/>
    <w:rsid w:val="00C86BB9"/>
    <w:rsid w:val="00C90A6C"/>
    <w:rsid w:val="00CC4F2C"/>
    <w:rsid w:val="00CC654D"/>
    <w:rsid w:val="00CD2C2E"/>
    <w:rsid w:val="00CD4AC7"/>
    <w:rsid w:val="00CD7A77"/>
    <w:rsid w:val="00CE604F"/>
    <w:rsid w:val="00D011F8"/>
    <w:rsid w:val="00D01C15"/>
    <w:rsid w:val="00D101D9"/>
    <w:rsid w:val="00D10EB8"/>
    <w:rsid w:val="00D21D1F"/>
    <w:rsid w:val="00D232AE"/>
    <w:rsid w:val="00D32C22"/>
    <w:rsid w:val="00D336ED"/>
    <w:rsid w:val="00D35586"/>
    <w:rsid w:val="00D51AE5"/>
    <w:rsid w:val="00D56E99"/>
    <w:rsid w:val="00D64ADF"/>
    <w:rsid w:val="00D67D2A"/>
    <w:rsid w:val="00D879A5"/>
    <w:rsid w:val="00DA1967"/>
    <w:rsid w:val="00DA6975"/>
    <w:rsid w:val="00DA6BC2"/>
    <w:rsid w:val="00DB23A9"/>
    <w:rsid w:val="00DB2739"/>
    <w:rsid w:val="00DB290A"/>
    <w:rsid w:val="00DC211C"/>
    <w:rsid w:val="00DC2853"/>
    <w:rsid w:val="00DE1ADB"/>
    <w:rsid w:val="00DE1D30"/>
    <w:rsid w:val="00DF2E29"/>
    <w:rsid w:val="00E02F16"/>
    <w:rsid w:val="00E03E04"/>
    <w:rsid w:val="00E055C7"/>
    <w:rsid w:val="00E2683E"/>
    <w:rsid w:val="00E30C44"/>
    <w:rsid w:val="00E34A15"/>
    <w:rsid w:val="00E36EC6"/>
    <w:rsid w:val="00E43815"/>
    <w:rsid w:val="00E51C42"/>
    <w:rsid w:val="00E57574"/>
    <w:rsid w:val="00E71149"/>
    <w:rsid w:val="00E7457B"/>
    <w:rsid w:val="00E831C6"/>
    <w:rsid w:val="00E916AA"/>
    <w:rsid w:val="00E97AB8"/>
    <w:rsid w:val="00EA087F"/>
    <w:rsid w:val="00EC2697"/>
    <w:rsid w:val="00EC706A"/>
    <w:rsid w:val="00ED7861"/>
    <w:rsid w:val="00ED7B3E"/>
    <w:rsid w:val="00EE49FE"/>
    <w:rsid w:val="00EF6ECD"/>
    <w:rsid w:val="00F07293"/>
    <w:rsid w:val="00F23C10"/>
    <w:rsid w:val="00F3167F"/>
    <w:rsid w:val="00F36478"/>
    <w:rsid w:val="00F37711"/>
    <w:rsid w:val="00F4215D"/>
    <w:rsid w:val="00F43A40"/>
    <w:rsid w:val="00F473A9"/>
    <w:rsid w:val="00F6298A"/>
    <w:rsid w:val="00F65554"/>
    <w:rsid w:val="00F65932"/>
    <w:rsid w:val="00F773A3"/>
    <w:rsid w:val="00F853BF"/>
    <w:rsid w:val="00F870D1"/>
    <w:rsid w:val="00F91848"/>
    <w:rsid w:val="00F93DA1"/>
    <w:rsid w:val="00FA355D"/>
    <w:rsid w:val="00FA79FE"/>
    <w:rsid w:val="00FB3353"/>
    <w:rsid w:val="00FB3F5C"/>
    <w:rsid w:val="00FF021E"/>
    <w:rsid w:val="00FF0834"/>
    <w:rsid w:val="00FF1B79"/>
    <w:rsid w:val="00FF4C64"/>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7B813"/>
  <w15:docId w15:val="{6387E57B-CD89-462C-9881-FC567E6D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24B22"/>
    <w:rPr>
      <w:rFonts w:eastAsia="Times New Roman"/>
      <w:color w:val="000000"/>
      <w:sz w:val="24"/>
      <w:szCs w:val="24"/>
      <w:u w:color="000000"/>
    </w:rPr>
  </w:style>
  <w:style w:type="paragraph" w:styleId="Nagwek4">
    <w:name w:val="heading 4"/>
    <w:next w:val="TreA"/>
    <w:link w:val="Nagwek4Znak"/>
    <w:rsid w:val="005D37D1"/>
    <w:pPr>
      <w:keepNext/>
      <w:keepLines/>
      <w:spacing w:before="40" w:after="120" w:line="276" w:lineRule="auto"/>
      <w:jc w:val="both"/>
      <w:outlineLvl w:val="3"/>
    </w:pPr>
    <w:rPr>
      <w:rFonts w:ascii="Arial Narrow" w:hAnsi="Arial Narrow" w:cs="Arial Unicode MS"/>
      <w:b/>
      <w:bCs/>
      <w:i/>
      <w:iC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24B22"/>
    <w:rPr>
      <w:u w:val="single"/>
    </w:rPr>
  </w:style>
  <w:style w:type="table" w:customStyle="1" w:styleId="TableNormal1">
    <w:name w:val="Table Normal1"/>
    <w:rsid w:val="00C24B22"/>
    <w:tblPr>
      <w:tblInd w:w="0" w:type="dxa"/>
      <w:tblCellMar>
        <w:top w:w="0" w:type="dxa"/>
        <w:left w:w="0" w:type="dxa"/>
        <w:bottom w:w="0" w:type="dxa"/>
        <w:right w:w="0" w:type="dxa"/>
      </w:tblCellMar>
    </w:tblPr>
  </w:style>
  <w:style w:type="paragraph" w:styleId="Nagwek">
    <w:name w:val="header"/>
    <w:rsid w:val="00C24B22"/>
    <w:pPr>
      <w:tabs>
        <w:tab w:val="center" w:pos="4536"/>
        <w:tab w:val="right" w:pos="9072"/>
      </w:tabs>
    </w:pPr>
    <w:rPr>
      <w:rFonts w:cs="Arial Unicode MS"/>
      <w:color w:val="000000"/>
      <w:sz w:val="24"/>
      <w:szCs w:val="24"/>
      <w:u w:color="000000"/>
    </w:rPr>
  </w:style>
  <w:style w:type="paragraph" w:styleId="Stopka">
    <w:name w:val="footer"/>
    <w:rsid w:val="00C24B22"/>
    <w:pPr>
      <w:tabs>
        <w:tab w:val="center" w:pos="4536"/>
        <w:tab w:val="right" w:pos="9072"/>
      </w:tabs>
    </w:pPr>
    <w:rPr>
      <w:rFonts w:eastAsia="Times New Roman"/>
      <w:color w:val="000000"/>
      <w:sz w:val="24"/>
      <w:szCs w:val="24"/>
      <w:u w:color="000000"/>
    </w:rPr>
  </w:style>
  <w:style w:type="paragraph" w:customStyle="1" w:styleId="Nagwekistopka">
    <w:name w:val="Nagłówek i stopka"/>
    <w:rsid w:val="00C24B22"/>
    <w:pPr>
      <w:tabs>
        <w:tab w:val="right" w:pos="9020"/>
      </w:tabs>
    </w:pPr>
    <w:rPr>
      <w:rFonts w:ascii="Helvetica" w:eastAsia="Helvetica" w:hAnsi="Helvetica" w:cs="Helvetica"/>
      <w:color w:val="000000"/>
      <w:sz w:val="24"/>
      <w:szCs w:val="24"/>
    </w:rPr>
  </w:style>
  <w:style w:type="paragraph" w:customStyle="1" w:styleId="Domylne">
    <w:name w:val="Domyślne"/>
    <w:rsid w:val="00C24B22"/>
    <w:rPr>
      <w:rFonts w:ascii="Helvetica" w:eastAsia="Helvetica" w:hAnsi="Helvetica" w:cs="Helvetica"/>
      <w:color w:val="000000"/>
      <w:sz w:val="22"/>
      <w:szCs w:val="22"/>
    </w:rPr>
  </w:style>
  <w:style w:type="paragraph" w:styleId="Akapitzlist">
    <w:name w:val="List Paragraph"/>
    <w:link w:val="AkapitzlistZnak"/>
    <w:uiPriority w:val="34"/>
    <w:qFormat/>
    <w:rsid w:val="00C24B22"/>
    <w:pPr>
      <w:spacing w:after="200" w:line="276" w:lineRule="auto"/>
      <w:ind w:left="720"/>
    </w:pPr>
    <w:rPr>
      <w:rFonts w:cs="Arial Unicode MS"/>
      <w:color w:val="000000"/>
      <w:sz w:val="24"/>
      <w:szCs w:val="24"/>
      <w:u w:color="000000"/>
    </w:rPr>
  </w:style>
  <w:style w:type="numbering" w:customStyle="1" w:styleId="Zaimportowanystyl1">
    <w:name w:val="Zaimportowany styl 1"/>
    <w:rsid w:val="00C24B22"/>
    <w:pPr>
      <w:numPr>
        <w:numId w:val="1"/>
      </w:numPr>
    </w:pPr>
  </w:style>
  <w:style w:type="numbering" w:customStyle="1" w:styleId="Zaimportowanystyl2">
    <w:name w:val="Zaimportowany styl 2"/>
    <w:rsid w:val="00C24B22"/>
    <w:pPr>
      <w:numPr>
        <w:numId w:val="2"/>
      </w:numPr>
    </w:pPr>
  </w:style>
  <w:style w:type="numbering" w:customStyle="1" w:styleId="Zaimportowanystyl3">
    <w:name w:val="Zaimportowany styl 3"/>
    <w:rsid w:val="00C24B22"/>
    <w:pPr>
      <w:numPr>
        <w:numId w:val="3"/>
      </w:numPr>
    </w:pPr>
  </w:style>
  <w:style w:type="numbering" w:customStyle="1" w:styleId="Zaimportowanystyl4">
    <w:name w:val="Zaimportowany styl 4"/>
    <w:rsid w:val="00C24B22"/>
    <w:pPr>
      <w:numPr>
        <w:numId w:val="4"/>
      </w:numPr>
    </w:pPr>
  </w:style>
  <w:style w:type="numbering" w:customStyle="1" w:styleId="Zaimportowanystyl5">
    <w:name w:val="Zaimportowany styl 5"/>
    <w:rsid w:val="00C24B22"/>
    <w:pPr>
      <w:numPr>
        <w:numId w:val="5"/>
      </w:numPr>
    </w:pPr>
  </w:style>
  <w:style w:type="numbering" w:customStyle="1" w:styleId="Zaimportowanystyl6">
    <w:name w:val="Zaimportowany styl 6"/>
    <w:rsid w:val="00C24B22"/>
    <w:pPr>
      <w:numPr>
        <w:numId w:val="6"/>
      </w:numPr>
    </w:pPr>
  </w:style>
  <w:style w:type="numbering" w:customStyle="1" w:styleId="Zaimportowanystyl7">
    <w:name w:val="Zaimportowany styl 7"/>
    <w:rsid w:val="00C24B22"/>
    <w:pPr>
      <w:numPr>
        <w:numId w:val="7"/>
      </w:numPr>
    </w:pPr>
  </w:style>
  <w:style w:type="numbering" w:customStyle="1" w:styleId="Zaimportowanystyl8">
    <w:name w:val="Zaimportowany styl 8"/>
    <w:rsid w:val="00C24B22"/>
    <w:pPr>
      <w:numPr>
        <w:numId w:val="8"/>
      </w:numPr>
    </w:pPr>
  </w:style>
  <w:style w:type="numbering" w:customStyle="1" w:styleId="Zaimportowanystyl9">
    <w:name w:val="Zaimportowany styl 9"/>
    <w:rsid w:val="00C24B22"/>
    <w:pPr>
      <w:numPr>
        <w:numId w:val="9"/>
      </w:numPr>
    </w:pPr>
  </w:style>
  <w:style w:type="numbering" w:customStyle="1" w:styleId="Zaimportowanystyl10">
    <w:name w:val="Zaimportowany styl 10"/>
    <w:rsid w:val="00C24B22"/>
    <w:pPr>
      <w:numPr>
        <w:numId w:val="10"/>
      </w:numPr>
    </w:pPr>
  </w:style>
  <w:style w:type="numbering" w:customStyle="1" w:styleId="Zaimportowanystyl11">
    <w:name w:val="Zaimportowany styl 11"/>
    <w:rsid w:val="00C24B22"/>
    <w:pPr>
      <w:numPr>
        <w:numId w:val="11"/>
      </w:numPr>
    </w:pPr>
  </w:style>
  <w:style w:type="paragraph" w:styleId="NormalnyWeb">
    <w:name w:val="Normal (Web)"/>
    <w:uiPriority w:val="99"/>
    <w:rsid w:val="00C24B22"/>
    <w:pPr>
      <w:spacing w:after="210" w:line="210" w:lineRule="atLeast"/>
      <w:jc w:val="both"/>
    </w:pPr>
    <w:rPr>
      <w:rFonts w:cs="Arial Unicode MS"/>
      <w:color w:val="000000"/>
      <w:sz w:val="17"/>
      <w:szCs w:val="17"/>
      <w:u w:color="000000"/>
    </w:rPr>
  </w:style>
  <w:style w:type="numbering" w:customStyle="1" w:styleId="Zaimportowanystyl12">
    <w:name w:val="Zaimportowany styl 12"/>
    <w:rsid w:val="00C24B22"/>
    <w:pPr>
      <w:numPr>
        <w:numId w:val="12"/>
      </w:numPr>
    </w:pPr>
  </w:style>
  <w:style w:type="numbering" w:customStyle="1" w:styleId="Zaimportowanystyl13">
    <w:name w:val="Zaimportowany styl 13"/>
    <w:rsid w:val="00C24B22"/>
    <w:pPr>
      <w:numPr>
        <w:numId w:val="13"/>
      </w:numPr>
    </w:pPr>
  </w:style>
  <w:style w:type="numbering" w:customStyle="1" w:styleId="Zaimportowanystyl14">
    <w:name w:val="Zaimportowany styl 14"/>
    <w:rsid w:val="00C24B22"/>
    <w:pPr>
      <w:numPr>
        <w:numId w:val="14"/>
      </w:numPr>
    </w:pPr>
  </w:style>
  <w:style w:type="numbering" w:customStyle="1" w:styleId="Zaimportowanystyl15">
    <w:name w:val="Zaimportowany styl 15"/>
    <w:rsid w:val="00C24B22"/>
    <w:pPr>
      <w:numPr>
        <w:numId w:val="15"/>
      </w:numPr>
    </w:pPr>
  </w:style>
  <w:style w:type="numbering" w:customStyle="1" w:styleId="Zaimportowanystyl16">
    <w:name w:val="Zaimportowany styl 16"/>
    <w:rsid w:val="00C24B22"/>
    <w:pPr>
      <w:numPr>
        <w:numId w:val="16"/>
      </w:numPr>
    </w:pPr>
  </w:style>
  <w:style w:type="paragraph" w:styleId="Tekstkomentarza">
    <w:name w:val="annotation text"/>
    <w:basedOn w:val="Normalny"/>
    <w:link w:val="TekstkomentarzaZnak"/>
    <w:uiPriority w:val="99"/>
    <w:semiHidden/>
    <w:unhideWhenUsed/>
    <w:rsid w:val="00C24B22"/>
    <w:rPr>
      <w:sz w:val="20"/>
      <w:szCs w:val="20"/>
    </w:rPr>
  </w:style>
  <w:style w:type="character" w:customStyle="1" w:styleId="TekstkomentarzaZnak">
    <w:name w:val="Tekst komentarza Znak"/>
    <w:basedOn w:val="Domylnaczcionkaakapitu"/>
    <w:link w:val="Tekstkomentarza"/>
    <w:uiPriority w:val="99"/>
    <w:semiHidden/>
    <w:rsid w:val="00C24B22"/>
    <w:rPr>
      <w:rFonts w:eastAsia="Times New Roman"/>
      <w:color w:val="000000"/>
      <w:u w:color="000000"/>
    </w:rPr>
  </w:style>
  <w:style w:type="character" w:styleId="Odwoaniedokomentarza">
    <w:name w:val="annotation reference"/>
    <w:basedOn w:val="Domylnaczcionkaakapitu"/>
    <w:uiPriority w:val="99"/>
    <w:semiHidden/>
    <w:unhideWhenUsed/>
    <w:rsid w:val="00C24B22"/>
    <w:rPr>
      <w:sz w:val="16"/>
      <w:szCs w:val="16"/>
    </w:rPr>
  </w:style>
  <w:style w:type="paragraph" w:styleId="Tekstdymka">
    <w:name w:val="Balloon Text"/>
    <w:basedOn w:val="Normalny"/>
    <w:link w:val="TekstdymkaZnak"/>
    <w:uiPriority w:val="99"/>
    <w:semiHidden/>
    <w:unhideWhenUsed/>
    <w:rsid w:val="009C7F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7F92"/>
    <w:rPr>
      <w:rFonts w:ascii="Segoe UI" w:eastAsia="Times New Roman" w:hAnsi="Segoe UI" w:cs="Segoe UI"/>
      <w:color w:val="000000"/>
      <w:sz w:val="18"/>
      <w:szCs w:val="18"/>
      <w:u w:color="000000"/>
    </w:rPr>
  </w:style>
  <w:style w:type="paragraph" w:customStyle="1" w:styleId="TreA">
    <w:name w:val="Treść A"/>
    <w:rsid w:val="00FF4C64"/>
    <w:rPr>
      <w:rFonts w:ascii="Helvetica" w:hAnsi="Helvetica" w:cs="Arial Unicode MS"/>
      <w:color w:val="000000"/>
      <w:sz w:val="22"/>
      <w:szCs w:val="22"/>
      <w:u w:color="000000"/>
      <w:lang w:val="en-US"/>
    </w:rPr>
  </w:style>
  <w:style w:type="paragraph" w:customStyle="1" w:styleId="PrzypisdolnyA">
    <w:name w:val="Przypis dolny A"/>
    <w:rsid w:val="00FF4C64"/>
    <w:rPr>
      <w:rFonts w:ascii="Helvetica" w:eastAsia="Helvetica" w:hAnsi="Helvetica" w:cs="Helvetica"/>
      <w:color w:val="000000"/>
      <w:sz w:val="22"/>
      <w:szCs w:val="22"/>
      <w:u w:color="000000"/>
      <w:lang w:val="en-US"/>
    </w:rPr>
  </w:style>
  <w:style w:type="numbering" w:customStyle="1" w:styleId="Litery">
    <w:name w:val="Litery"/>
    <w:rsid w:val="006535DC"/>
    <w:pPr>
      <w:numPr>
        <w:numId w:val="17"/>
      </w:numPr>
    </w:pPr>
  </w:style>
  <w:style w:type="paragraph" w:customStyle="1" w:styleId="ZPKTzmpktartykuempunktem">
    <w:name w:val="Z/PKT – zm. pkt artykułem (punktem)"/>
    <w:basedOn w:val="Normalny"/>
    <w:uiPriority w:val="31"/>
    <w:qFormat/>
    <w:rsid w:val="00321D6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20" w:hanging="510"/>
      <w:jc w:val="both"/>
    </w:pPr>
    <w:rPr>
      <w:rFonts w:ascii="Times" w:eastAsiaTheme="minorEastAsia" w:hAnsi="Times" w:cs="Arial"/>
      <w:bCs/>
      <w:color w:val="auto"/>
      <w:szCs w:val="20"/>
      <w:bdr w:val="none" w:sz="0" w:space="0" w:color="auto"/>
    </w:rPr>
  </w:style>
  <w:style w:type="paragraph" w:customStyle="1" w:styleId="ZARTzmartartykuempunktem">
    <w:name w:val="Z/ART(§) – zm. art. (§) artykułem (punktem)"/>
    <w:basedOn w:val="Normalny"/>
    <w:uiPriority w:val="30"/>
    <w:qFormat/>
    <w:rsid w:val="00321D6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360" w:lineRule="auto"/>
      <w:ind w:left="510" w:firstLine="510"/>
      <w:jc w:val="both"/>
    </w:pPr>
    <w:rPr>
      <w:rFonts w:ascii="Times" w:eastAsiaTheme="minorEastAsia" w:hAnsi="Times" w:cs="Arial"/>
      <w:color w:val="auto"/>
      <w:szCs w:val="20"/>
      <w:bdr w:val="none" w:sz="0" w:space="0" w:color="auto"/>
    </w:rPr>
  </w:style>
  <w:style w:type="paragraph" w:customStyle="1" w:styleId="ZCZWSPPKTzmczciwsppktartykuempunktem">
    <w:name w:val="Z/CZ_WSP_PKT – zm. części wsp. pkt artykułem (punktem)"/>
    <w:basedOn w:val="Normalny"/>
    <w:next w:val="ZARTzmartartykuempunktem"/>
    <w:uiPriority w:val="34"/>
    <w:qFormat/>
    <w:rsid w:val="00321D6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10"/>
      <w:jc w:val="both"/>
    </w:pPr>
    <w:rPr>
      <w:rFonts w:ascii="Times" w:eastAsiaTheme="minorEastAsia" w:hAnsi="Times" w:cs="Arial"/>
      <w:bCs/>
      <w:color w:val="auto"/>
      <w:szCs w:val="20"/>
      <w:bdr w:val="none" w:sz="0" w:space="0" w:color="auto"/>
    </w:rPr>
  </w:style>
  <w:style w:type="character" w:customStyle="1" w:styleId="Ppogrubienie">
    <w:name w:val="_P_ – pogrubienie"/>
    <w:basedOn w:val="Domylnaczcionkaakapitu"/>
    <w:uiPriority w:val="1"/>
    <w:qFormat/>
    <w:rsid w:val="00321D62"/>
    <w:rPr>
      <w:b/>
    </w:rPr>
  </w:style>
  <w:style w:type="paragraph" w:customStyle="1" w:styleId="Style1">
    <w:name w:val="Style1"/>
    <w:rsid w:val="00305939"/>
    <w:pPr>
      <w:spacing w:line="276" w:lineRule="auto"/>
      <w:jc w:val="both"/>
    </w:pPr>
    <w:rPr>
      <w:rFonts w:ascii="Arial Narrow" w:hAnsi="Arial Narrow" w:cs="Arial Unicode MS"/>
      <w:color w:val="000000"/>
      <w:sz w:val="22"/>
      <w:szCs w:val="22"/>
      <w:u w:color="000000"/>
    </w:rPr>
  </w:style>
  <w:style w:type="paragraph" w:customStyle="1" w:styleId="naglowek3">
    <w:name w:val="naglowek 3"/>
    <w:rsid w:val="00305939"/>
    <w:pPr>
      <w:keepNext/>
      <w:keepLines/>
      <w:spacing w:before="40" w:after="120" w:line="276" w:lineRule="auto"/>
      <w:jc w:val="both"/>
      <w:outlineLvl w:val="2"/>
    </w:pPr>
    <w:rPr>
      <w:rFonts w:ascii="Arial Narrow" w:hAnsi="Arial Narrow" w:cs="Arial Unicode MS"/>
      <w:b/>
      <w:bCs/>
      <w:color w:val="000000"/>
      <w:sz w:val="22"/>
      <w:szCs w:val="22"/>
      <w:u w:color="000000"/>
    </w:rPr>
  </w:style>
  <w:style w:type="character" w:styleId="Odwoanieprzypisudolnego">
    <w:name w:val="footnote reference"/>
    <w:uiPriority w:val="99"/>
    <w:rsid w:val="00305939"/>
    <w:rPr>
      <w:vertAlign w:val="superscript"/>
    </w:rPr>
  </w:style>
  <w:style w:type="paragraph" w:styleId="Tekstprzypisudolnego">
    <w:name w:val="footnote text"/>
    <w:link w:val="TekstprzypisudolnegoZnak"/>
    <w:uiPriority w:val="99"/>
    <w:rsid w:val="00305939"/>
    <w:pPr>
      <w:jc w:val="both"/>
    </w:pPr>
    <w:rPr>
      <w:rFonts w:ascii="Arial Narrow" w:eastAsia="Arial Narrow" w:hAnsi="Arial Narrow" w:cs="Arial Narrow"/>
      <w:color w:val="000000"/>
      <w:u w:color="000000"/>
    </w:rPr>
  </w:style>
  <w:style w:type="character" w:customStyle="1" w:styleId="TekstprzypisudolnegoZnak">
    <w:name w:val="Tekst przypisu dolnego Znak"/>
    <w:basedOn w:val="Domylnaczcionkaakapitu"/>
    <w:link w:val="Tekstprzypisudolnego"/>
    <w:uiPriority w:val="99"/>
    <w:rsid w:val="00305939"/>
    <w:rPr>
      <w:rFonts w:ascii="Arial Narrow" w:eastAsia="Arial Narrow" w:hAnsi="Arial Narrow" w:cs="Arial Narrow"/>
      <w:color w:val="000000"/>
      <w:u w:color="000000"/>
    </w:rPr>
  </w:style>
  <w:style w:type="character" w:customStyle="1" w:styleId="Nagwek4Znak">
    <w:name w:val="Nagłówek 4 Znak"/>
    <w:basedOn w:val="Domylnaczcionkaakapitu"/>
    <w:link w:val="Nagwek4"/>
    <w:rsid w:val="005D37D1"/>
    <w:rPr>
      <w:rFonts w:ascii="Arial Narrow" w:hAnsi="Arial Narrow" w:cs="Arial Unicode MS"/>
      <w:b/>
      <w:bCs/>
      <w:i/>
      <w:iCs/>
      <w:color w:val="000000"/>
      <w:sz w:val="22"/>
      <w:szCs w:val="22"/>
      <w:u w:color="000000"/>
    </w:rPr>
  </w:style>
  <w:style w:type="character" w:styleId="Pogrubienie">
    <w:name w:val="Strong"/>
    <w:rsid w:val="005D37D1"/>
    <w:rPr>
      <w:rFonts w:ascii="Arial Narrow" w:hAnsi="Arial Narrow"/>
      <w:b/>
      <w:bCs/>
    </w:rPr>
  </w:style>
  <w:style w:type="paragraph" w:customStyle="1" w:styleId="ZUSTzmustartykuempunktem">
    <w:name w:val="Z/UST(§) – zm. ust. (§) artykułem (punktem)"/>
    <w:basedOn w:val="Normalny"/>
    <w:uiPriority w:val="30"/>
    <w:qFormat/>
    <w:rsid w:val="00B37E1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360" w:lineRule="auto"/>
      <w:ind w:left="510" w:firstLine="510"/>
      <w:jc w:val="both"/>
    </w:pPr>
    <w:rPr>
      <w:rFonts w:ascii="Times" w:eastAsiaTheme="minorEastAsia" w:hAnsi="Times" w:cs="Arial"/>
      <w:color w:val="auto"/>
      <w:szCs w:val="20"/>
      <w:bdr w:val="none" w:sz="0" w:space="0" w:color="auto"/>
    </w:rPr>
  </w:style>
  <w:style w:type="paragraph" w:styleId="Bezodstpw">
    <w:name w:val="No Spacing"/>
    <w:uiPriority w:val="1"/>
    <w:qFormat/>
    <w:rsid w:val="00B50337"/>
    <w:rPr>
      <w:rFonts w:eastAsia="Times New Roman"/>
      <w:color w:val="000000"/>
      <w:sz w:val="24"/>
      <w:szCs w:val="24"/>
      <w:u w:color="000000"/>
    </w:rPr>
  </w:style>
  <w:style w:type="paragraph" w:customStyle="1" w:styleId="Default">
    <w:name w:val="Default"/>
    <w:rsid w:val="00F473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rodtyt1">
    <w:name w:val="srodtyt1"/>
    <w:basedOn w:val="Normalny"/>
    <w:rsid w:val="00341F34"/>
    <w:pPr>
      <w:pBdr>
        <w:top w:val="none" w:sz="0" w:space="0" w:color="auto"/>
        <w:left w:val="none" w:sz="0" w:space="0" w:color="auto"/>
        <w:bottom w:val="none" w:sz="0" w:space="0" w:color="auto"/>
        <w:right w:val="none" w:sz="0" w:space="0" w:color="auto"/>
        <w:between w:val="none" w:sz="0" w:space="0" w:color="auto"/>
        <w:bar w:val="none" w:sz="0" w:color="auto"/>
      </w:pBdr>
      <w:spacing w:after="195"/>
    </w:pPr>
    <w:rPr>
      <w:b/>
      <w:bCs/>
      <w:color w:val="auto"/>
      <w:bdr w:val="none" w:sz="0" w:space="0" w:color="auto"/>
    </w:rPr>
  </w:style>
  <w:style w:type="paragraph" w:styleId="Tematkomentarza">
    <w:name w:val="annotation subject"/>
    <w:basedOn w:val="Tekstkomentarza"/>
    <w:next w:val="Tekstkomentarza"/>
    <w:link w:val="TematkomentarzaZnak"/>
    <w:uiPriority w:val="99"/>
    <w:semiHidden/>
    <w:unhideWhenUsed/>
    <w:rsid w:val="00511CB3"/>
    <w:rPr>
      <w:b/>
      <w:bCs/>
    </w:rPr>
  </w:style>
  <w:style w:type="character" w:customStyle="1" w:styleId="TematkomentarzaZnak">
    <w:name w:val="Temat komentarza Znak"/>
    <w:basedOn w:val="TekstkomentarzaZnak"/>
    <w:link w:val="Tematkomentarza"/>
    <w:uiPriority w:val="99"/>
    <w:semiHidden/>
    <w:rsid w:val="00511CB3"/>
    <w:rPr>
      <w:rFonts w:eastAsia="Times New Roman"/>
      <w:b/>
      <w:bCs/>
      <w:color w:val="000000"/>
      <w:u w:color="000000"/>
    </w:rPr>
  </w:style>
  <w:style w:type="paragraph" w:styleId="Poprawka">
    <w:name w:val="Revision"/>
    <w:hidden/>
    <w:uiPriority w:val="99"/>
    <w:semiHidden/>
    <w:rsid w:val="00511CB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 w:type="character" w:customStyle="1" w:styleId="alb">
    <w:name w:val="a_lb"/>
    <w:basedOn w:val="Domylnaczcionkaakapitu"/>
    <w:rsid w:val="00C54EEF"/>
  </w:style>
  <w:style w:type="character" w:customStyle="1" w:styleId="gmail-apple-tab-span">
    <w:name w:val="gmail-apple-tab-span"/>
    <w:basedOn w:val="Domylnaczcionkaakapitu"/>
    <w:rsid w:val="00C67D17"/>
  </w:style>
  <w:style w:type="character" w:customStyle="1" w:styleId="AkapitzlistZnak">
    <w:name w:val="Akapit z listą Znak"/>
    <w:basedOn w:val="Domylnaczcionkaakapitu"/>
    <w:link w:val="Akapitzlist"/>
    <w:uiPriority w:val="34"/>
    <w:locked/>
    <w:rsid w:val="009D19C3"/>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5601">
      <w:bodyDiv w:val="1"/>
      <w:marLeft w:val="0"/>
      <w:marRight w:val="0"/>
      <w:marTop w:val="0"/>
      <w:marBottom w:val="0"/>
      <w:divBdr>
        <w:top w:val="none" w:sz="0" w:space="0" w:color="auto"/>
        <w:left w:val="none" w:sz="0" w:space="0" w:color="auto"/>
        <w:bottom w:val="none" w:sz="0" w:space="0" w:color="auto"/>
        <w:right w:val="none" w:sz="0" w:space="0" w:color="auto"/>
      </w:divBdr>
    </w:div>
    <w:div w:id="151725879">
      <w:bodyDiv w:val="1"/>
      <w:marLeft w:val="0"/>
      <w:marRight w:val="0"/>
      <w:marTop w:val="0"/>
      <w:marBottom w:val="0"/>
      <w:divBdr>
        <w:top w:val="none" w:sz="0" w:space="0" w:color="auto"/>
        <w:left w:val="none" w:sz="0" w:space="0" w:color="auto"/>
        <w:bottom w:val="none" w:sz="0" w:space="0" w:color="auto"/>
        <w:right w:val="none" w:sz="0" w:space="0" w:color="auto"/>
      </w:divBdr>
    </w:div>
    <w:div w:id="331950497">
      <w:bodyDiv w:val="1"/>
      <w:marLeft w:val="0"/>
      <w:marRight w:val="0"/>
      <w:marTop w:val="0"/>
      <w:marBottom w:val="0"/>
      <w:divBdr>
        <w:top w:val="none" w:sz="0" w:space="0" w:color="auto"/>
        <w:left w:val="none" w:sz="0" w:space="0" w:color="auto"/>
        <w:bottom w:val="none" w:sz="0" w:space="0" w:color="auto"/>
        <w:right w:val="none" w:sz="0" w:space="0" w:color="auto"/>
      </w:divBdr>
    </w:div>
    <w:div w:id="371543761">
      <w:bodyDiv w:val="1"/>
      <w:marLeft w:val="0"/>
      <w:marRight w:val="0"/>
      <w:marTop w:val="0"/>
      <w:marBottom w:val="0"/>
      <w:divBdr>
        <w:top w:val="none" w:sz="0" w:space="0" w:color="auto"/>
        <w:left w:val="none" w:sz="0" w:space="0" w:color="auto"/>
        <w:bottom w:val="none" w:sz="0" w:space="0" w:color="auto"/>
        <w:right w:val="none" w:sz="0" w:space="0" w:color="auto"/>
      </w:divBdr>
    </w:div>
    <w:div w:id="440951395">
      <w:bodyDiv w:val="1"/>
      <w:marLeft w:val="0"/>
      <w:marRight w:val="0"/>
      <w:marTop w:val="0"/>
      <w:marBottom w:val="0"/>
      <w:divBdr>
        <w:top w:val="none" w:sz="0" w:space="0" w:color="auto"/>
        <w:left w:val="none" w:sz="0" w:space="0" w:color="auto"/>
        <w:bottom w:val="none" w:sz="0" w:space="0" w:color="auto"/>
        <w:right w:val="none" w:sz="0" w:space="0" w:color="auto"/>
      </w:divBdr>
    </w:div>
    <w:div w:id="645010195">
      <w:bodyDiv w:val="1"/>
      <w:marLeft w:val="0"/>
      <w:marRight w:val="0"/>
      <w:marTop w:val="0"/>
      <w:marBottom w:val="0"/>
      <w:divBdr>
        <w:top w:val="none" w:sz="0" w:space="0" w:color="auto"/>
        <w:left w:val="none" w:sz="0" w:space="0" w:color="auto"/>
        <w:bottom w:val="none" w:sz="0" w:space="0" w:color="auto"/>
        <w:right w:val="none" w:sz="0" w:space="0" w:color="auto"/>
      </w:divBdr>
    </w:div>
    <w:div w:id="665206151">
      <w:bodyDiv w:val="1"/>
      <w:marLeft w:val="0"/>
      <w:marRight w:val="0"/>
      <w:marTop w:val="0"/>
      <w:marBottom w:val="0"/>
      <w:divBdr>
        <w:top w:val="none" w:sz="0" w:space="0" w:color="auto"/>
        <w:left w:val="none" w:sz="0" w:space="0" w:color="auto"/>
        <w:bottom w:val="none" w:sz="0" w:space="0" w:color="auto"/>
        <w:right w:val="none" w:sz="0" w:space="0" w:color="auto"/>
      </w:divBdr>
      <w:divsChild>
        <w:div w:id="2130463934">
          <w:marLeft w:val="360"/>
          <w:marRight w:val="0"/>
          <w:marTop w:val="0"/>
          <w:marBottom w:val="0"/>
          <w:divBdr>
            <w:top w:val="none" w:sz="0" w:space="0" w:color="auto"/>
            <w:left w:val="none" w:sz="0" w:space="0" w:color="auto"/>
            <w:bottom w:val="none" w:sz="0" w:space="0" w:color="auto"/>
            <w:right w:val="none" w:sz="0" w:space="0" w:color="auto"/>
          </w:divBdr>
        </w:div>
        <w:div w:id="849832728">
          <w:marLeft w:val="360"/>
          <w:marRight w:val="0"/>
          <w:marTop w:val="0"/>
          <w:marBottom w:val="0"/>
          <w:divBdr>
            <w:top w:val="none" w:sz="0" w:space="0" w:color="auto"/>
            <w:left w:val="none" w:sz="0" w:space="0" w:color="auto"/>
            <w:bottom w:val="none" w:sz="0" w:space="0" w:color="auto"/>
            <w:right w:val="none" w:sz="0" w:space="0" w:color="auto"/>
          </w:divBdr>
        </w:div>
      </w:divsChild>
    </w:div>
    <w:div w:id="803085377">
      <w:bodyDiv w:val="1"/>
      <w:marLeft w:val="0"/>
      <w:marRight w:val="0"/>
      <w:marTop w:val="0"/>
      <w:marBottom w:val="0"/>
      <w:divBdr>
        <w:top w:val="none" w:sz="0" w:space="0" w:color="auto"/>
        <w:left w:val="none" w:sz="0" w:space="0" w:color="auto"/>
        <w:bottom w:val="none" w:sz="0" w:space="0" w:color="auto"/>
        <w:right w:val="none" w:sz="0" w:space="0" w:color="auto"/>
      </w:divBdr>
    </w:div>
    <w:div w:id="891039911">
      <w:bodyDiv w:val="1"/>
      <w:marLeft w:val="0"/>
      <w:marRight w:val="0"/>
      <w:marTop w:val="0"/>
      <w:marBottom w:val="0"/>
      <w:divBdr>
        <w:top w:val="none" w:sz="0" w:space="0" w:color="auto"/>
        <w:left w:val="none" w:sz="0" w:space="0" w:color="auto"/>
        <w:bottom w:val="none" w:sz="0" w:space="0" w:color="auto"/>
        <w:right w:val="none" w:sz="0" w:space="0" w:color="auto"/>
      </w:divBdr>
    </w:div>
    <w:div w:id="947926117">
      <w:bodyDiv w:val="1"/>
      <w:marLeft w:val="0"/>
      <w:marRight w:val="0"/>
      <w:marTop w:val="0"/>
      <w:marBottom w:val="0"/>
      <w:divBdr>
        <w:top w:val="none" w:sz="0" w:space="0" w:color="auto"/>
        <w:left w:val="none" w:sz="0" w:space="0" w:color="auto"/>
        <w:bottom w:val="none" w:sz="0" w:space="0" w:color="auto"/>
        <w:right w:val="none" w:sz="0" w:space="0" w:color="auto"/>
      </w:divBdr>
    </w:div>
    <w:div w:id="949320456">
      <w:bodyDiv w:val="1"/>
      <w:marLeft w:val="0"/>
      <w:marRight w:val="0"/>
      <w:marTop w:val="0"/>
      <w:marBottom w:val="0"/>
      <w:divBdr>
        <w:top w:val="none" w:sz="0" w:space="0" w:color="auto"/>
        <w:left w:val="none" w:sz="0" w:space="0" w:color="auto"/>
        <w:bottom w:val="none" w:sz="0" w:space="0" w:color="auto"/>
        <w:right w:val="none" w:sz="0" w:space="0" w:color="auto"/>
      </w:divBdr>
    </w:div>
    <w:div w:id="982544691">
      <w:bodyDiv w:val="1"/>
      <w:marLeft w:val="0"/>
      <w:marRight w:val="0"/>
      <w:marTop w:val="0"/>
      <w:marBottom w:val="0"/>
      <w:divBdr>
        <w:top w:val="none" w:sz="0" w:space="0" w:color="auto"/>
        <w:left w:val="none" w:sz="0" w:space="0" w:color="auto"/>
        <w:bottom w:val="none" w:sz="0" w:space="0" w:color="auto"/>
        <w:right w:val="none" w:sz="0" w:space="0" w:color="auto"/>
      </w:divBdr>
    </w:div>
    <w:div w:id="1290622468">
      <w:bodyDiv w:val="1"/>
      <w:marLeft w:val="0"/>
      <w:marRight w:val="0"/>
      <w:marTop w:val="0"/>
      <w:marBottom w:val="0"/>
      <w:divBdr>
        <w:top w:val="none" w:sz="0" w:space="0" w:color="auto"/>
        <w:left w:val="none" w:sz="0" w:space="0" w:color="auto"/>
        <w:bottom w:val="none" w:sz="0" w:space="0" w:color="auto"/>
        <w:right w:val="none" w:sz="0" w:space="0" w:color="auto"/>
      </w:divBdr>
    </w:div>
    <w:div w:id="1403869474">
      <w:bodyDiv w:val="1"/>
      <w:marLeft w:val="0"/>
      <w:marRight w:val="0"/>
      <w:marTop w:val="0"/>
      <w:marBottom w:val="0"/>
      <w:divBdr>
        <w:top w:val="none" w:sz="0" w:space="0" w:color="auto"/>
        <w:left w:val="none" w:sz="0" w:space="0" w:color="auto"/>
        <w:bottom w:val="none" w:sz="0" w:space="0" w:color="auto"/>
        <w:right w:val="none" w:sz="0" w:space="0" w:color="auto"/>
      </w:divBdr>
      <w:divsChild>
        <w:div w:id="1669408189">
          <w:marLeft w:val="360"/>
          <w:marRight w:val="0"/>
          <w:marTop w:val="0"/>
          <w:marBottom w:val="0"/>
          <w:divBdr>
            <w:top w:val="none" w:sz="0" w:space="0" w:color="auto"/>
            <w:left w:val="none" w:sz="0" w:space="0" w:color="auto"/>
            <w:bottom w:val="none" w:sz="0" w:space="0" w:color="auto"/>
            <w:right w:val="none" w:sz="0" w:space="0" w:color="auto"/>
          </w:divBdr>
        </w:div>
        <w:div w:id="1206723065">
          <w:marLeft w:val="360"/>
          <w:marRight w:val="0"/>
          <w:marTop w:val="0"/>
          <w:marBottom w:val="0"/>
          <w:divBdr>
            <w:top w:val="none" w:sz="0" w:space="0" w:color="auto"/>
            <w:left w:val="none" w:sz="0" w:space="0" w:color="auto"/>
            <w:bottom w:val="none" w:sz="0" w:space="0" w:color="auto"/>
            <w:right w:val="none" w:sz="0" w:space="0" w:color="auto"/>
          </w:divBdr>
        </w:div>
      </w:divsChild>
    </w:div>
    <w:div w:id="1467429166">
      <w:bodyDiv w:val="1"/>
      <w:marLeft w:val="0"/>
      <w:marRight w:val="0"/>
      <w:marTop w:val="0"/>
      <w:marBottom w:val="0"/>
      <w:divBdr>
        <w:top w:val="none" w:sz="0" w:space="0" w:color="auto"/>
        <w:left w:val="none" w:sz="0" w:space="0" w:color="auto"/>
        <w:bottom w:val="none" w:sz="0" w:space="0" w:color="auto"/>
        <w:right w:val="none" w:sz="0" w:space="0" w:color="auto"/>
      </w:divBdr>
    </w:div>
    <w:div w:id="1537112627">
      <w:bodyDiv w:val="1"/>
      <w:marLeft w:val="0"/>
      <w:marRight w:val="0"/>
      <w:marTop w:val="0"/>
      <w:marBottom w:val="0"/>
      <w:divBdr>
        <w:top w:val="none" w:sz="0" w:space="0" w:color="auto"/>
        <w:left w:val="none" w:sz="0" w:space="0" w:color="auto"/>
        <w:bottom w:val="none" w:sz="0" w:space="0" w:color="auto"/>
        <w:right w:val="none" w:sz="0" w:space="0" w:color="auto"/>
      </w:divBdr>
    </w:div>
    <w:div w:id="1563177193">
      <w:bodyDiv w:val="1"/>
      <w:marLeft w:val="0"/>
      <w:marRight w:val="0"/>
      <w:marTop w:val="0"/>
      <w:marBottom w:val="0"/>
      <w:divBdr>
        <w:top w:val="none" w:sz="0" w:space="0" w:color="auto"/>
        <w:left w:val="none" w:sz="0" w:space="0" w:color="auto"/>
        <w:bottom w:val="none" w:sz="0" w:space="0" w:color="auto"/>
        <w:right w:val="none" w:sz="0" w:space="0" w:color="auto"/>
      </w:divBdr>
    </w:div>
    <w:div w:id="1568151228">
      <w:bodyDiv w:val="1"/>
      <w:marLeft w:val="0"/>
      <w:marRight w:val="0"/>
      <w:marTop w:val="0"/>
      <w:marBottom w:val="0"/>
      <w:divBdr>
        <w:top w:val="none" w:sz="0" w:space="0" w:color="auto"/>
        <w:left w:val="none" w:sz="0" w:space="0" w:color="auto"/>
        <w:bottom w:val="none" w:sz="0" w:space="0" w:color="auto"/>
        <w:right w:val="none" w:sz="0" w:space="0" w:color="auto"/>
      </w:divBdr>
    </w:div>
    <w:div w:id="1600092794">
      <w:bodyDiv w:val="1"/>
      <w:marLeft w:val="0"/>
      <w:marRight w:val="0"/>
      <w:marTop w:val="0"/>
      <w:marBottom w:val="0"/>
      <w:divBdr>
        <w:top w:val="none" w:sz="0" w:space="0" w:color="auto"/>
        <w:left w:val="none" w:sz="0" w:space="0" w:color="auto"/>
        <w:bottom w:val="none" w:sz="0" w:space="0" w:color="auto"/>
        <w:right w:val="none" w:sz="0" w:space="0" w:color="auto"/>
      </w:divBdr>
    </w:div>
    <w:div w:id="1612468571">
      <w:bodyDiv w:val="1"/>
      <w:marLeft w:val="0"/>
      <w:marRight w:val="0"/>
      <w:marTop w:val="0"/>
      <w:marBottom w:val="0"/>
      <w:divBdr>
        <w:top w:val="none" w:sz="0" w:space="0" w:color="auto"/>
        <w:left w:val="none" w:sz="0" w:space="0" w:color="auto"/>
        <w:bottom w:val="none" w:sz="0" w:space="0" w:color="auto"/>
        <w:right w:val="none" w:sz="0" w:space="0" w:color="auto"/>
      </w:divBdr>
    </w:div>
    <w:div w:id="1702314423">
      <w:bodyDiv w:val="1"/>
      <w:marLeft w:val="0"/>
      <w:marRight w:val="0"/>
      <w:marTop w:val="0"/>
      <w:marBottom w:val="0"/>
      <w:divBdr>
        <w:top w:val="none" w:sz="0" w:space="0" w:color="auto"/>
        <w:left w:val="none" w:sz="0" w:space="0" w:color="auto"/>
        <w:bottom w:val="none" w:sz="0" w:space="0" w:color="auto"/>
        <w:right w:val="none" w:sz="0" w:space="0" w:color="auto"/>
      </w:divBdr>
    </w:div>
    <w:div w:id="1812668846">
      <w:bodyDiv w:val="1"/>
      <w:marLeft w:val="0"/>
      <w:marRight w:val="0"/>
      <w:marTop w:val="0"/>
      <w:marBottom w:val="0"/>
      <w:divBdr>
        <w:top w:val="none" w:sz="0" w:space="0" w:color="auto"/>
        <w:left w:val="none" w:sz="0" w:space="0" w:color="auto"/>
        <w:bottom w:val="none" w:sz="0" w:space="0" w:color="auto"/>
        <w:right w:val="none" w:sz="0" w:space="0" w:color="auto"/>
      </w:divBdr>
    </w:div>
    <w:div w:id="1964114143">
      <w:bodyDiv w:val="1"/>
      <w:marLeft w:val="0"/>
      <w:marRight w:val="0"/>
      <w:marTop w:val="0"/>
      <w:marBottom w:val="0"/>
      <w:divBdr>
        <w:top w:val="none" w:sz="0" w:space="0" w:color="auto"/>
        <w:left w:val="none" w:sz="0" w:space="0" w:color="auto"/>
        <w:bottom w:val="none" w:sz="0" w:space="0" w:color="auto"/>
        <w:right w:val="none" w:sz="0" w:space="0" w:color="auto"/>
      </w:divBdr>
      <w:divsChild>
        <w:div w:id="892472304">
          <w:marLeft w:val="0"/>
          <w:marRight w:val="0"/>
          <w:marTop w:val="0"/>
          <w:marBottom w:val="0"/>
          <w:divBdr>
            <w:top w:val="none" w:sz="0" w:space="0" w:color="auto"/>
            <w:left w:val="none" w:sz="0" w:space="0" w:color="auto"/>
            <w:bottom w:val="none" w:sz="0" w:space="0" w:color="auto"/>
            <w:right w:val="none" w:sz="0" w:space="0" w:color="auto"/>
          </w:divBdr>
          <w:divsChild>
            <w:div w:id="974794603">
              <w:marLeft w:val="0"/>
              <w:marRight w:val="0"/>
              <w:marTop w:val="0"/>
              <w:marBottom w:val="0"/>
              <w:divBdr>
                <w:top w:val="none" w:sz="0" w:space="0" w:color="auto"/>
                <w:left w:val="none" w:sz="0" w:space="0" w:color="auto"/>
                <w:bottom w:val="none" w:sz="0" w:space="0" w:color="auto"/>
                <w:right w:val="none" w:sz="0" w:space="0" w:color="auto"/>
              </w:divBdr>
              <w:divsChild>
                <w:div w:id="414475693">
                  <w:marLeft w:val="0"/>
                  <w:marRight w:val="0"/>
                  <w:marTop w:val="0"/>
                  <w:marBottom w:val="0"/>
                  <w:divBdr>
                    <w:top w:val="none" w:sz="0" w:space="0" w:color="auto"/>
                    <w:left w:val="none" w:sz="0" w:space="0" w:color="auto"/>
                    <w:bottom w:val="none" w:sz="0" w:space="0" w:color="auto"/>
                    <w:right w:val="none" w:sz="0" w:space="0" w:color="auto"/>
                  </w:divBdr>
                  <w:divsChild>
                    <w:div w:id="2133860678">
                      <w:marLeft w:val="0"/>
                      <w:marRight w:val="0"/>
                      <w:marTop w:val="0"/>
                      <w:marBottom w:val="0"/>
                      <w:divBdr>
                        <w:top w:val="none" w:sz="0" w:space="0" w:color="auto"/>
                        <w:left w:val="none" w:sz="0" w:space="0" w:color="auto"/>
                        <w:bottom w:val="none" w:sz="0" w:space="0" w:color="auto"/>
                        <w:right w:val="none" w:sz="0" w:space="0" w:color="auto"/>
                      </w:divBdr>
                      <w:divsChild>
                        <w:div w:id="477039230">
                          <w:marLeft w:val="0"/>
                          <w:marRight w:val="0"/>
                          <w:marTop w:val="0"/>
                          <w:marBottom w:val="0"/>
                          <w:divBdr>
                            <w:top w:val="none" w:sz="0" w:space="0" w:color="auto"/>
                            <w:left w:val="none" w:sz="0" w:space="0" w:color="auto"/>
                            <w:bottom w:val="none" w:sz="0" w:space="0" w:color="auto"/>
                            <w:right w:val="none" w:sz="0" w:space="0" w:color="auto"/>
                          </w:divBdr>
                          <w:divsChild>
                            <w:div w:id="679545007">
                              <w:marLeft w:val="0"/>
                              <w:marRight w:val="0"/>
                              <w:marTop w:val="0"/>
                              <w:marBottom w:val="0"/>
                              <w:divBdr>
                                <w:top w:val="none" w:sz="0" w:space="0" w:color="auto"/>
                                <w:left w:val="none" w:sz="0" w:space="0" w:color="auto"/>
                                <w:bottom w:val="none" w:sz="0" w:space="0" w:color="auto"/>
                                <w:right w:val="none" w:sz="0" w:space="0" w:color="auto"/>
                              </w:divBdr>
                              <w:divsChild>
                                <w:div w:id="658927058">
                                  <w:marLeft w:val="0"/>
                                  <w:marRight w:val="0"/>
                                  <w:marTop w:val="0"/>
                                  <w:marBottom w:val="0"/>
                                  <w:divBdr>
                                    <w:top w:val="none" w:sz="0" w:space="0" w:color="auto"/>
                                    <w:left w:val="none" w:sz="0" w:space="0" w:color="auto"/>
                                    <w:bottom w:val="none" w:sz="0" w:space="0" w:color="auto"/>
                                    <w:right w:val="none" w:sz="0" w:space="0" w:color="auto"/>
                                  </w:divBdr>
                                  <w:divsChild>
                                    <w:div w:id="164168455">
                                      <w:marLeft w:val="0"/>
                                      <w:marRight w:val="0"/>
                                      <w:marTop w:val="0"/>
                                      <w:marBottom w:val="0"/>
                                      <w:divBdr>
                                        <w:top w:val="none" w:sz="0" w:space="0" w:color="auto"/>
                                        <w:left w:val="none" w:sz="0" w:space="0" w:color="auto"/>
                                        <w:bottom w:val="none" w:sz="0" w:space="0" w:color="auto"/>
                                        <w:right w:val="none" w:sz="0" w:space="0" w:color="auto"/>
                                      </w:divBdr>
                                      <w:divsChild>
                                        <w:div w:id="727069296">
                                          <w:marLeft w:val="0"/>
                                          <w:marRight w:val="0"/>
                                          <w:marTop w:val="0"/>
                                          <w:marBottom w:val="0"/>
                                          <w:divBdr>
                                            <w:top w:val="none" w:sz="0" w:space="0" w:color="auto"/>
                                            <w:left w:val="none" w:sz="0" w:space="0" w:color="auto"/>
                                            <w:bottom w:val="none" w:sz="0" w:space="0" w:color="auto"/>
                                            <w:right w:val="none" w:sz="0" w:space="0" w:color="auto"/>
                                          </w:divBdr>
                                          <w:divsChild>
                                            <w:div w:id="1778139709">
                                              <w:marLeft w:val="0"/>
                                              <w:marRight w:val="0"/>
                                              <w:marTop w:val="0"/>
                                              <w:marBottom w:val="0"/>
                                              <w:divBdr>
                                                <w:top w:val="none" w:sz="0" w:space="0" w:color="auto"/>
                                                <w:left w:val="none" w:sz="0" w:space="0" w:color="auto"/>
                                                <w:bottom w:val="none" w:sz="0" w:space="0" w:color="auto"/>
                                                <w:right w:val="none" w:sz="0" w:space="0" w:color="auto"/>
                                              </w:divBdr>
                                              <w:divsChild>
                                                <w:div w:id="13967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4889698">
      <w:bodyDiv w:val="1"/>
      <w:marLeft w:val="0"/>
      <w:marRight w:val="0"/>
      <w:marTop w:val="0"/>
      <w:marBottom w:val="0"/>
      <w:divBdr>
        <w:top w:val="none" w:sz="0" w:space="0" w:color="auto"/>
        <w:left w:val="none" w:sz="0" w:space="0" w:color="auto"/>
        <w:bottom w:val="none" w:sz="0" w:space="0" w:color="auto"/>
        <w:right w:val="none" w:sz="0" w:space="0" w:color="auto"/>
      </w:divBdr>
    </w:div>
    <w:div w:id="2145997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islacja.rcl.gov.pl/docs/502/12318956/12555426/12555427/dokument37145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A445-E014-4890-A812-59D223CB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7189</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Przemysław Pruszyński</dc:creator>
  <cp:lastModifiedBy>Dagmara Ciećwierska</cp:lastModifiedBy>
  <cp:revision>2</cp:revision>
  <cp:lastPrinted>2018-12-17T11:01:00Z</cp:lastPrinted>
  <dcterms:created xsi:type="dcterms:W3CDTF">2018-12-19T12:35:00Z</dcterms:created>
  <dcterms:modified xsi:type="dcterms:W3CDTF">2018-12-19T12:35:00Z</dcterms:modified>
</cp:coreProperties>
</file>