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63" w:rsidRDefault="009D3363" w:rsidP="009D3363">
      <w:pPr>
        <w:spacing w:before="120" w:after="0"/>
        <w:jc w:val="both"/>
        <w:rPr>
          <w:b/>
          <w:bCs/>
        </w:rPr>
      </w:pPr>
      <w:r>
        <w:rPr>
          <w:b/>
          <w:bCs/>
        </w:rPr>
        <w:t>Pogram Operacyjny Polska Cyfrowa</w:t>
      </w:r>
    </w:p>
    <w:p w:rsidR="009D3363" w:rsidRDefault="009D3363" w:rsidP="009D3363">
      <w:pPr>
        <w:spacing w:before="120" w:after="0"/>
        <w:jc w:val="both"/>
        <w:rPr>
          <w:b/>
          <w:bCs/>
        </w:rPr>
      </w:pPr>
      <w:r w:rsidRPr="005B1B6F">
        <w:rPr>
          <w:b/>
          <w:bCs/>
        </w:rPr>
        <w:t xml:space="preserve">Trzecia oś priorytetowa: </w:t>
      </w:r>
      <w:r>
        <w:rPr>
          <w:b/>
          <w:bCs/>
        </w:rPr>
        <w:t>e-Gospodarka</w:t>
      </w:r>
    </w:p>
    <w:p w:rsidR="009D3363" w:rsidRDefault="009D3363" w:rsidP="009D3363">
      <w:pPr>
        <w:numPr>
          <w:ilvl w:val="0"/>
          <w:numId w:val="7"/>
        </w:numPr>
        <w:spacing w:before="120" w:after="0"/>
        <w:jc w:val="both"/>
      </w:pPr>
      <w:r w:rsidRPr="003A1632">
        <w:rPr>
          <w:b/>
          <w:bCs/>
        </w:rPr>
        <w:t xml:space="preserve">Cel osi: </w:t>
      </w:r>
      <w:r w:rsidRPr="003A1632">
        <w:t>Celem osi jest wzrost konkurencyjności polskiej gospodarki na jednolitym rynku cyfrowym</w:t>
      </w:r>
    </w:p>
    <w:p w:rsidR="009D3363" w:rsidRPr="00573755" w:rsidRDefault="009D3363" w:rsidP="009D3363">
      <w:pPr>
        <w:numPr>
          <w:ilvl w:val="0"/>
          <w:numId w:val="7"/>
        </w:numPr>
        <w:spacing w:before="120" w:after="0"/>
        <w:jc w:val="both"/>
      </w:pPr>
      <w:r w:rsidRPr="00573755">
        <w:rPr>
          <w:rFonts w:cs="Times New Roman"/>
          <w:b/>
          <w:bCs/>
        </w:rPr>
        <w:t>Uzasadnienie:</w:t>
      </w:r>
    </w:p>
    <w:p w:rsidR="009D3363" w:rsidRPr="003A1632" w:rsidRDefault="009D3363" w:rsidP="009D3363">
      <w:pPr>
        <w:spacing w:before="120"/>
        <w:jc w:val="both"/>
        <w:rPr>
          <w:rFonts w:cs="Times New Roman"/>
        </w:rPr>
      </w:pPr>
      <w:r w:rsidRPr="003A1632">
        <w:rPr>
          <w:rFonts w:cs="Times New Roman"/>
        </w:rPr>
        <w:t>Wkład technologii cyfrowych w rozwój gospodarczy systematycznie wzrasta. Gospodarka elektroniczna wiąże się z niskimi kosztami wejścia na rynek, dając dostęp do szerokiego zakresu prowadzenia działalności gospodarczej, z możliwością łatwego wejścia na arenę międzynarodową. Efektywne wykorzystanie technologii teleinformatycznych podnosi wydajność pracy, zwiększając wydajność przedsiębiorstw i czyniąc je bardziej konkurencyjnymi.</w:t>
      </w:r>
    </w:p>
    <w:p w:rsidR="009D3363" w:rsidRPr="003A1632" w:rsidRDefault="009D3363" w:rsidP="009D3363">
      <w:pPr>
        <w:spacing w:before="120"/>
        <w:jc w:val="both"/>
        <w:rPr>
          <w:rFonts w:cs="Times New Roman"/>
        </w:rPr>
      </w:pPr>
      <w:r w:rsidRPr="003A1632">
        <w:rPr>
          <w:rFonts w:cs="Times New Roman"/>
        </w:rPr>
        <w:t xml:space="preserve">Oś </w:t>
      </w:r>
      <w:r>
        <w:rPr>
          <w:rFonts w:cs="Times New Roman"/>
        </w:rPr>
        <w:t>3</w:t>
      </w:r>
      <w:r w:rsidRPr="003A1632">
        <w:rPr>
          <w:rFonts w:cs="Times New Roman"/>
        </w:rPr>
        <w:t xml:space="preserve"> służy realizacji priorytetów </w:t>
      </w:r>
      <w:r w:rsidRPr="003A1632">
        <w:rPr>
          <w:rFonts w:cs="Times New Roman"/>
          <w:i/>
          <w:iCs/>
        </w:rPr>
        <w:t>Strategii na rzecz inteligentnego i zrównoważonego rozwoju sprzyjającego włączeniu społecznemu Europa 2020</w:t>
      </w:r>
      <w:r w:rsidRPr="003A1632">
        <w:rPr>
          <w:rFonts w:cs="Times New Roman"/>
        </w:rPr>
        <w:t xml:space="preserve">. Europejska Agenda Cyfrowa identyfikuje rozwój dynamicznego jednolitego rynku cyfrowego jako jeden z podstawowych warunków zapewnienia naszemu regionowi konkurencyjności na globalnych rynkach. Zgodnie z jej zapisami rozwój jednolitego rynku cyfrowego zorientowany będzie na otwarcie dostępu do treści cyfrowych, budowanie zaufania obywateli do środowiska cyfrowego, oraz integrację rynku elektronicznego poprzez ułatwienie trans granicznych transakcji internetowych, jak również wzmocnienie jednolitego rynku usług telekomunikacyjnych. Jest to kluczowy dla polskiej gospodarki moment, w którym intensywne i skoncentrowane wsparcie gospodarczego wykorzystania innowacyjnych rozwiązań ICT w powiązaniu ze spodziewanymi dynamicznymi zmianami regulacyjnymi na poziomie europejskim stwarza niepowtarzalną szansę zdobycia przez polskich przedsiębiorców silnej pozycji na rynku europejskim. </w:t>
      </w:r>
    </w:p>
    <w:p w:rsidR="009D3363" w:rsidRPr="003A1632" w:rsidRDefault="009D3363" w:rsidP="009D3363">
      <w:pPr>
        <w:spacing w:before="120"/>
        <w:jc w:val="both"/>
        <w:rPr>
          <w:rFonts w:cs="Times New Roman"/>
        </w:rPr>
      </w:pPr>
      <w:r w:rsidRPr="003A1632">
        <w:rPr>
          <w:rFonts w:cs="Times New Roman"/>
        </w:rPr>
        <w:t xml:space="preserve">Aby polska gospodarka mogła w pełni wykorzystać tę szansę, wsparcie publiczne na poziomie krajowym powinno iść w trzech kierunkach. Po pierwsze, należy stymulować tworzenie się silnej grupy liderów </w:t>
      </w:r>
      <w:proofErr w:type="spellStart"/>
      <w:r w:rsidRPr="003A1632">
        <w:rPr>
          <w:rFonts w:cs="Times New Roman"/>
        </w:rPr>
        <w:t>e</w:t>
      </w:r>
      <w:r w:rsidRPr="003A1632">
        <w:rPr>
          <w:rFonts w:cs="Times New Roman"/>
        </w:rPr>
        <w:noBreakHyphen/>
        <w:t>gospodarki</w:t>
      </w:r>
      <w:proofErr w:type="spellEnd"/>
      <w:r w:rsidRPr="003A1632">
        <w:rPr>
          <w:rFonts w:cs="Times New Roman"/>
        </w:rPr>
        <w:t>, nastawionych na dynamiczny rozwój przy wykorzystaniu najnowocześniejszych rozwiązań cyfrowych (w szczególności technologii wschodzących</w:t>
      </w:r>
      <w:r w:rsidRPr="003A1632">
        <w:rPr>
          <w:rStyle w:val="Odwoanieprzypisudolnego"/>
        </w:rPr>
        <w:footnoteReference w:id="1"/>
      </w:r>
      <w:r>
        <w:rPr>
          <w:rFonts w:cs="Times New Roman"/>
        </w:rPr>
        <w:t xml:space="preserve"> i technologii kroczących</w:t>
      </w:r>
      <w:r>
        <w:rPr>
          <w:rStyle w:val="Odwoanieprzypisudolnego"/>
        </w:rPr>
        <w:footnoteReference w:id="2"/>
      </w:r>
      <w:r w:rsidRPr="003A1632">
        <w:rPr>
          <w:rFonts w:cs="Times New Roman"/>
        </w:rPr>
        <w:t>) oraz na wzajemną współpracę gospodarczą i intelektualną. Grupa ta zdolna będzie do podjęcia konkurencji gospodarczej na skalę europejską i globalną. W tym celu konieczne jest zapewnienie przedsiębiorcom wiedzy o najnowszych rozwiązaniach technologicznych i biznesowych, które mogą znaleźć zastosowanie w tworzonych przez nich produktach. Po drugie, należy w sposób systemowy zapewnić przedsiębiorcom dogodne warunki do działalności w formie elektronicznej, poprzez inwestycje o dużej skali oraz wsparcie rozwiązań organizacyjnych i instytucjonalnych niezbędnych dla obrotu gospodarczego w formie elektronicznej. Po trzecie, niezbędne jest ułatwienie polskim przedsiębiorcom włączania się w elektroniczny obieg gospodarczy na skalę międzynarodową.</w:t>
      </w:r>
    </w:p>
    <w:p w:rsidR="009D3363" w:rsidRPr="003A1632" w:rsidRDefault="009D3363" w:rsidP="009D3363">
      <w:pPr>
        <w:spacing w:before="120"/>
        <w:jc w:val="both"/>
        <w:rPr>
          <w:rFonts w:cs="Times New Roman"/>
        </w:rPr>
      </w:pPr>
      <w:r w:rsidRPr="003A1632">
        <w:rPr>
          <w:rFonts w:cs="Times New Roman"/>
        </w:rPr>
        <w:lastRenderedPageBreak/>
        <w:t>Założenia rozwoju polskiej e-gospodarki w latach 2014-2020 są przedmiotem następujących dokumentów strategicznych:</w:t>
      </w:r>
    </w:p>
    <w:p w:rsidR="009D3363" w:rsidRPr="003A1632" w:rsidRDefault="009D3363" w:rsidP="009D3363">
      <w:pPr>
        <w:spacing w:before="120" w:after="0"/>
        <w:ind w:left="284"/>
        <w:jc w:val="both"/>
        <w:rPr>
          <w:rFonts w:cs="Times New Roman"/>
          <w:i/>
          <w:iCs/>
        </w:rPr>
      </w:pPr>
      <w:r w:rsidRPr="003A1632">
        <w:rPr>
          <w:rFonts w:cs="Times New Roman"/>
        </w:rPr>
        <w:t xml:space="preserve">- Krajowy Program Reform, Obszar 2 </w:t>
      </w:r>
      <w:r w:rsidRPr="003A1632">
        <w:rPr>
          <w:rFonts w:cs="Times New Roman"/>
          <w:i/>
          <w:iCs/>
        </w:rPr>
        <w:t>Innowacyjność dla wzrostu inteligentnego</w:t>
      </w:r>
    </w:p>
    <w:p w:rsidR="009D3363" w:rsidRPr="003A1632" w:rsidRDefault="009D3363" w:rsidP="009D3363">
      <w:pPr>
        <w:spacing w:before="120" w:after="0"/>
        <w:ind w:left="284"/>
        <w:jc w:val="both"/>
        <w:rPr>
          <w:rFonts w:cs="Times New Roman"/>
        </w:rPr>
      </w:pPr>
      <w:r w:rsidRPr="003A1632">
        <w:rPr>
          <w:rFonts w:cs="Times New Roman"/>
        </w:rPr>
        <w:t xml:space="preserve">- Średniookresowa Strategia Rozwoju Kraju (kierunek priorytetowy II.2.1 Zwiększenie produktywności gospodarki) </w:t>
      </w:r>
    </w:p>
    <w:p w:rsidR="009D3363" w:rsidRPr="003A1632" w:rsidRDefault="009D3363" w:rsidP="009D3363">
      <w:pPr>
        <w:spacing w:before="120" w:after="0"/>
        <w:ind w:left="284"/>
        <w:jc w:val="both"/>
        <w:rPr>
          <w:rFonts w:cs="Times New Roman"/>
        </w:rPr>
      </w:pPr>
      <w:r w:rsidRPr="003A1632">
        <w:rPr>
          <w:rFonts w:cs="Times New Roman"/>
        </w:rPr>
        <w:t xml:space="preserve">- Strategia Efektywności i Innowacyjności Gospodarki, której zapisy uzupełnione są w tym zakresie w </w:t>
      </w:r>
      <w:r w:rsidRPr="003A1632">
        <w:rPr>
          <w:rFonts w:cs="Times New Roman"/>
          <w:i/>
          <w:iCs/>
        </w:rPr>
        <w:t>Policy paper dotyczącym cyfrowego rozwoju Polski do 2020 r. (Filar II Treści i usługi dostępne przez sieć</w:t>
      </w:r>
      <w:r w:rsidRPr="003A1632">
        <w:rPr>
          <w:rFonts w:cs="Times New Roman"/>
        </w:rPr>
        <w:t xml:space="preserve">) oraz Program Rozwoju Przedsiębiorstw do 2020 r. </w:t>
      </w:r>
    </w:p>
    <w:p w:rsidR="009D3363" w:rsidRPr="003A1632" w:rsidRDefault="009D3363" w:rsidP="009D3363">
      <w:pPr>
        <w:spacing w:before="120" w:after="0"/>
        <w:ind w:left="284"/>
        <w:jc w:val="both"/>
        <w:rPr>
          <w:rFonts w:cs="Times New Roman"/>
        </w:rPr>
      </w:pPr>
      <w:r w:rsidRPr="003A1632">
        <w:rPr>
          <w:rFonts w:cs="Times New Roman"/>
        </w:rPr>
        <w:t xml:space="preserve">Wsparcie publiczne e-gospodarki powinno być udzielane zarówno na poziomie regionalnym, jak </w:t>
      </w:r>
      <w:r>
        <w:rPr>
          <w:rFonts w:cs="Times New Roman"/>
        </w:rPr>
        <w:br/>
      </w:r>
      <w:r w:rsidRPr="003A1632">
        <w:rPr>
          <w:rFonts w:cs="Times New Roman"/>
        </w:rPr>
        <w:t xml:space="preserve">i ponadregionalnym/ogólnokrajowym. </w:t>
      </w:r>
      <w:r>
        <w:rPr>
          <w:rFonts w:cs="Times New Roman"/>
        </w:rPr>
        <w:t>3</w:t>
      </w:r>
      <w:r w:rsidRPr="003A1632">
        <w:rPr>
          <w:rFonts w:cs="Times New Roman"/>
        </w:rPr>
        <w:t>. Oś priorytetowa PO PC jest komplementarna do mechanizmów wsparcia wdrażanych w ramach:</w:t>
      </w:r>
    </w:p>
    <w:p w:rsidR="009D3363" w:rsidRPr="003A1632" w:rsidRDefault="009D3363" w:rsidP="009D3363">
      <w:pPr>
        <w:spacing w:before="120" w:after="0"/>
        <w:ind w:left="284"/>
        <w:jc w:val="both"/>
        <w:rPr>
          <w:rFonts w:cs="Times New Roman"/>
          <w:i/>
          <w:iCs/>
        </w:rPr>
      </w:pPr>
      <w:r w:rsidRPr="003A1632">
        <w:rPr>
          <w:rFonts w:cs="Times New Roman"/>
        </w:rPr>
        <w:t xml:space="preserve">a) Programu Operacyjnego </w:t>
      </w:r>
      <w:r w:rsidRPr="003A1632">
        <w:rPr>
          <w:rFonts w:cs="Times New Roman"/>
          <w:i/>
          <w:iCs/>
        </w:rPr>
        <w:t>Inteligentny Rozwój,</w:t>
      </w:r>
    </w:p>
    <w:p w:rsidR="009D3363" w:rsidRPr="003A1632" w:rsidRDefault="009D3363" w:rsidP="009D3363">
      <w:pPr>
        <w:spacing w:before="120" w:after="0"/>
        <w:ind w:left="284"/>
        <w:jc w:val="both"/>
        <w:rPr>
          <w:rFonts w:cs="Times New Roman"/>
        </w:rPr>
      </w:pPr>
      <w:r w:rsidRPr="003A1632">
        <w:rPr>
          <w:rFonts w:cs="Times New Roman"/>
        </w:rPr>
        <w:t>b) Programu Operacyjnego dot. rozwoju kapitału ludzkiego,</w:t>
      </w:r>
    </w:p>
    <w:p w:rsidR="009D3363" w:rsidRPr="003A1632" w:rsidRDefault="009D3363" w:rsidP="009D3363">
      <w:pPr>
        <w:spacing w:before="120" w:after="0"/>
        <w:ind w:left="284"/>
        <w:jc w:val="both"/>
        <w:rPr>
          <w:rFonts w:cs="Times New Roman"/>
        </w:rPr>
      </w:pPr>
      <w:r w:rsidRPr="003A1632">
        <w:rPr>
          <w:rFonts w:cs="Times New Roman"/>
        </w:rPr>
        <w:t>c) Regionalnych Programów Operacyjnych,</w:t>
      </w:r>
    </w:p>
    <w:p w:rsidR="009D3363" w:rsidRPr="003A1632" w:rsidRDefault="009D3363" w:rsidP="009D3363">
      <w:pPr>
        <w:spacing w:before="120" w:after="0"/>
        <w:ind w:left="284"/>
        <w:jc w:val="both"/>
        <w:rPr>
          <w:rFonts w:cs="Times New Roman"/>
        </w:rPr>
      </w:pPr>
      <w:r w:rsidRPr="003A1632">
        <w:rPr>
          <w:rFonts w:cs="Times New Roman"/>
        </w:rPr>
        <w:t>d) Programu Operacyjnego dot. rozwoju województw Polski Wschodniej.</w:t>
      </w:r>
    </w:p>
    <w:p w:rsidR="009D3363" w:rsidRDefault="009D3363" w:rsidP="009D3363">
      <w:pPr>
        <w:spacing w:before="120" w:after="0"/>
        <w:jc w:val="both"/>
        <w:rPr>
          <w:rFonts w:cs="Times New Roman"/>
          <w:b/>
        </w:rPr>
      </w:pPr>
    </w:p>
    <w:p w:rsidR="009D3363" w:rsidRPr="003A1632" w:rsidRDefault="009D3363" w:rsidP="009D3363">
      <w:pPr>
        <w:numPr>
          <w:ilvl w:val="0"/>
          <w:numId w:val="8"/>
        </w:numPr>
        <w:spacing w:before="120" w:after="0"/>
        <w:jc w:val="both"/>
        <w:rPr>
          <w:rFonts w:cs="Times New Roman"/>
          <w:b/>
        </w:rPr>
      </w:pPr>
      <w:r w:rsidRPr="003A1632">
        <w:rPr>
          <w:rFonts w:cs="Times New Roman"/>
          <w:b/>
        </w:rPr>
        <w:t>Opis osi priorytetowej</w:t>
      </w:r>
    </w:p>
    <w:p w:rsidR="009D3363" w:rsidRPr="003A1632" w:rsidRDefault="009D3363" w:rsidP="009D3363">
      <w:pPr>
        <w:spacing w:before="120" w:after="0"/>
        <w:jc w:val="both"/>
        <w:rPr>
          <w:rFonts w:cs="Times New Roman"/>
        </w:rPr>
      </w:pPr>
      <w:r w:rsidRPr="003A1632">
        <w:rPr>
          <w:rFonts w:cs="Times New Roman"/>
        </w:rPr>
        <w:t xml:space="preserve">W ramach Programu Operacyjnego Polska Cyfrowa realizowane będą działania mające na celu ułatwienie rozwoju i ekspansji rynkowej przede wszystkim tych przedsiębiorców, którzy osiągnęli znaczny poziom zaawansowania w wykorzystaniu technologii ICT dla działalności gospodarczej </w:t>
      </w:r>
      <w:r>
        <w:rPr>
          <w:rFonts w:cs="Times New Roman"/>
        </w:rPr>
        <w:br/>
      </w:r>
      <w:r w:rsidRPr="003A1632">
        <w:rPr>
          <w:rFonts w:cs="Times New Roman"/>
        </w:rPr>
        <w:t xml:space="preserve">(e-liderów). </w:t>
      </w:r>
    </w:p>
    <w:p w:rsidR="009D3363" w:rsidRPr="003A1632" w:rsidRDefault="009D3363" w:rsidP="009D3363">
      <w:pPr>
        <w:spacing w:before="120" w:after="0"/>
        <w:jc w:val="both"/>
        <w:rPr>
          <w:rFonts w:cs="Times New Roman"/>
        </w:rPr>
      </w:pPr>
      <w:r w:rsidRPr="003A1632">
        <w:rPr>
          <w:rFonts w:cs="Times New Roman"/>
        </w:rPr>
        <w:t>Dzięki realizacji projektów współfinansowanych w ramach osi powstanie grupa projektów</w:t>
      </w:r>
      <w:r>
        <w:rPr>
          <w:rFonts w:cs="Times New Roman"/>
        </w:rPr>
        <w:t xml:space="preserve"> modelowych</w:t>
      </w:r>
      <w:r w:rsidRPr="003A1632">
        <w:rPr>
          <w:rFonts w:cs="Times New Roman"/>
        </w:rPr>
        <w:t xml:space="preserve">, które stanowić będą wzorce dla przedsiębiorców. Spodziewanym efektem promocji wdrożonych przez przedsiębiorców rozwiązań jest </w:t>
      </w:r>
      <w:r>
        <w:rPr>
          <w:rFonts w:cs="Times New Roman"/>
        </w:rPr>
        <w:t xml:space="preserve">uzyskanie dyfuzji rozwiązań do innych </w:t>
      </w:r>
      <w:r w:rsidRPr="003A1632">
        <w:rPr>
          <w:rFonts w:cs="Times New Roman"/>
        </w:rPr>
        <w:t>wysoko innowacyjnych podmiotów gospodarczych, przyczyniającej się do wyraźnej poprawy pozycji gospodarczej naszego kraju oraz mającej wpływ upowszechnianie innowacyjnych praktyk gospodarczych opartych na technologiach cyfrowych wśród innych, mniej zaawansowanych podmiotów.</w:t>
      </w:r>
    </w:p>
    <w:p w:rsidR="009D3363" w:rsidRPr="003A1632" w:rsidRDefault="009D3363" w:rsidP="009D3363">
      <w:pPr>
        <w:spacing w:before="120" w:after="0"/>
        <w:jc w:val="both"/>
        <w:rPr>
          <w:rFonts w:cs="Times New Roman"/>
        </w:rPr>
      </w:pPr>
      <w:r w:rsidRPr="003A1632">
        <w:rPr>
          <w:rFonts w:cs="Times New Roman"/>
        </w:rPr>
        <w:t xml:space="preserve">Beneficjentami </w:t>
      </w:r>
      <w:r>
        <w:rPr>
          <w:rFonts w:cs="Times New Roman"/>
        </w:rPr>
        <w:t>3</w:t>
      </w:r>
      <w:r w:rsidRPr="003A1632">
        <w:rPr>
          <w:rFonts w:cs="Times New Roman"/>
        </w:rPr>
        <w:t xml:space="preserve">. </w:t>
      </w:r>
      <w:r>
        <w:rPr>
          <w:rFonts w:cs="Times New Roman"/>
        </w:rPr>
        <w:t>o</w:t>
      </w:r>
      <w:r w:rsidRPr="003A1632">
        <w:rPr>
          <w:rFonts w:cs="Times New Roman"/>
        </w:rPr>
        <w:t>si priorytetowej będą przedsiębiorstwa</w:t>
      </w:r>
      <w:r>
        <w:rPr>
          <w:rFonts w:cs="Times New Roman"/>
        </w:rPr>
        <w:t>,</w:t>
      </w:r>
      <w:r w:rsidRPr="003A1632">
        <w:rPr>
          <w:rFonts w:cs="Times New Roman"/>
        </w:rPr>
        <w:t xml:space="preserve"> instytucje otoczenia biznesu, jednostki naukowe oraz instytucje publiczne. Główne wsparcie skierowane będzie do przedsiębiorstw, przede wszystkim mikro, małych i średnich. Ukierunkowane będzie na wprowadzanie do praktyki gospodarczej najnowocześniejszych</w:t>
      </w:r>
      <w:r w:rsidRPr="003A1632">
        <w:t xml:space="preserve"> </w:t>
      </w:r>
      <w:r w:rsidRPr="003A1632">
        <w:rPr>
          <w:rFonts w:cs="Times New Roman"/>
        </w:rPr>
        <w:t>rozwiązań cyfrowych, służących zarówno wewnętrznej informatyzacji przedsiębiorstwa, jak i jego działalności rynkowej. Priorytetowo traktowane będą inwestycje w technologie wschodzące</w:t>
      </w:r>
      <w:r>
        <w:rPr>
          <w:rFonts w:cs="Times New Roman"/>
        </w:rPr>
        <w:t>, kroczące</w:t>
      </w:r>
      <w:r w:rsidRPr="003A1632">
        <w:rPr>
          <w:rFonts w:cs="Times New Roman"/>
        </w:rPr>
        <w:t xml:space="preserve"> oraz przedsięwzięcia stymulujące rozwój współpracy między przedsiębiorcami wykorzystującymi rozwiązania cyfrowe, przyczyniającej się do wzrostu ich pozycji rynkowej i do zwiększenia udziału polskich podmiotów w europejskiej i globalnej </w:t>
      </w:r>
      <w:r>
        <w:rPr>
          <w:rFonts w:cs="Times New Roman"/>
        </w:rPr>
        <w:br/>
      </w:r>
      <w:r w:rsidRPr="003A1632">
        <w:rPr>
          <w:rFonts w:cs="Times New Roman"/>
        </w:rPr>
        <w:t xml:space="preserve">e-gospodarce. </w:t>
      </w:r>
    </w:p>
    <w:p w:rsidR="009D3363" w:rsidRPr="003A1632" w:rsidRDefault="009D3363" w:rsidP="009D3363">
      <w:pPr>
        <w:spacing w:before="120" w:after="0"/>
        <w:jc w:val="both"/>
        <w:rPr>
          <w:rFonts w:cs="Times New Roman"/>
        </w:rPr>
      </w:pPr>
      <w:r w:rsidRPr="003A1632">
        <w:rPr>
          <w:rFonts w:cs="Times New Roman"/>
        </w:rPr>
        <w:t xml:space="preserve">Interwencja państwa w powyższym zakresie musi mieć charakter horyzontalny i ponadregionalny. Zgodnie z założeniami PRP </w:t>
      </w:r>
      <w:r w:rsidRPr="003A1632">
        <w:rPr>
          <w:rFonts w:cs="Times New Roman"/>
          <w:i/>
        </w:rPr>
        <w:t xml:space="preserve">wsparcie na poziomie centralnym winno być kierowane m.in. tam gdzie </w:t>
      </w:r>
      <w:r w:rsidRPr="003A1632">
        <w:rPr>
          <w:rFonts w:cs="Times New Roman"/>
          <w:i/>
        </w:rPr>
        <w:lastRenderedPageBreak/>
        <w:t xml:space="preserve">mowa o kluczowych technologiach, obszarach, branżach w skali kraju (zgodnych m.in. ze </w:t>
      </w:r>
      <w:proofErr w:type="spellStart"/>
      <w:r w:rsidRPr="003A1632">
        <w:rPr>
          <w:rFonts w:cs="Times New Roman"/>
          <w:i/>
        </w:rPr>
        <w:t>SIiEG</w:t>
      </w:r>
      <w:proofErr w:type="spellEnd"/>
      <w:r w:rsidRPr="003A1632">
        <w:rPr>
          <w:rFonts w:cs="Times New Roman"/>
          <w:i/>
        </w:rPr>
        <w:t xml:space="preserve">, </w:t>
      </w:r>
      <w:proofErr w:type="spellStart"/>
      <w:r w:rsidRPr="003A1632">
        <w:rPr>
          <w:rFonts w:cs="Times New Roman"/>
          <w:i/>
        </w:rPr>
        <w:t>foresightem</w:t>
      </w:r>
      <w:proofErr w:type="spellEnd"/>
      <w:r w:rsidRPr="003A1632">
        <w:rPr>
          <w:rFonts w:cs="Times New Roman"/>
          <w:i/>
        </w:rPr>
        <w:t xml:space="preserve"> technologicznym </w:t>
      </w:r>
      <w:proofErr w:type="spellStart"/>
      <w:r w:rsidRPr="003A1632">
        <w:rPr>
          <w:rFonts w:cs="Times New Roman"/>
          <w:i/>
        </w:rPr>
        <w:t>Insight</w:t>
      </w:r>
      <w:proofErr w:type="spellEnd"/>
      <w:r w:rsidRPr="003A1632">
        <w:rPr>
          <w:rFonts w:cs="Times New Roman"/>
          <w:i/>
        </w:rPr>
        <w:t xml:space="preserve"> 2030, Krajowym Programem Badań, wyłonionymi polskimi specjalnościami zgodnie z metodologią inteligentnej specjalizacji). Ponadto wsparciem centralnym winny zostać objęte projekty przyczyniające się do sprostania globalnym wyzwaniom społecznym (np. zmiany klimatu, bezpieczeństwo energetyczne, starzejące się społeczeństwo, bezpieczeństwo żywnościowe). Z kolei regiony winny wspierać inwestycje zgodne z Regionalnymi Strategiami Innowacji, regionalnymi </w:t>
      </w:r>
      <w:proofErr w:type="spellStart"/>
      <w:r w:rsidRPr="003A1632">
        <w:rPr>
          <w:rFonts w:cs="Times New Roman"/>
          <w:i/>
        </w:rPr>
        <w:t>foresightami</w:t>
      </w:r>
      <w:proofErr w:type="spellEnd"/>
      <w:r w:rsidRPr="003A1632">
        <w:rPr>
          <w:rFonts w:cs="Times New Roman"/>
          <w:i/>
        </w:rPr>
        <w:t xml:space="preserve"> oraz lokalnymi potrzebami</w:t>
      </w:r>
      <w:r>
        <w:rPr>
          <w:rStyle w:val="Odwoanieprzypisudolnego"/>
          <w:i/>
        </w:rPr>
        <w:footnoteReference w:id="3"/>
      </w:r>
      <w:r w:rsidRPr="003A1632">
        <w:rPr>
          <w:rFonts w:cs="Times New Roman"/>
          <w:i/>
        </w:rPr>
        <w:t>.</w:t>
      </w:r>
      <w:r w:rsidRPr="003A1632">
        <w:rPr>
          <w:rFonts w:cs="Times New Roman"/>
        </w:rPr>
        <w:t xml:space="preserve"> Wsparcie przedsiębiorców musi być prowadzone zarówno na etapie przygotowania projektu (</w:t>
      </w:r>
      <w:proofErr w:type="spellStart"/>
      <w:r w:rsidRPr="003A1632">
        <w:rPr>
          <w:rFonts w:cs="Times New Roman"/>
        </w:rPr>
        <w:t>project</w:t>
      </w:r>
      <w:proofErr w:type="spellEnd"/>
      <w:r w:rsidRPr="003A1632">
        <w:rPr>
          <w:rFonts w:cs="Times New Roman"/>
        </w:rPr>
        <w:t xml:space="preserve"> </w:t>
      </w:r>
      <w:proofErr w:type="spellStart"/>
      <w:r w:rsidRPr="003A1632">
        <w:rPr>
          <w:rFonts w:cs="Times New Roman"/>
        </w:rPr>
        <w:t>pipeline</w:t>
      </w:r>
      <w:proofErr w:type="spellEnd"/>
      <w:r w:rsidRPr="003A1632">
        <w:rPr>
          <w:rFonts w:cs="Times New Roman"/>
        </w:rPr>
        <w:t xml:space="preserve">), jak i jego realizacji. Powinno również przewidywać promocję zastosowanych rozwiązań. Wsparcie doradcze w ramach pierwszego </w:t>
      </w:r>
      <w:r>
        <w:rPr>
          <w:rFonts w:cs="Times New Roman"/>
        </w:rPr>
        <w:t>p</w:t>
      </w:r>
      <w:r w:rsidRPr="003A1632">
        <w:rPr>
          <w:rFonts w:cs="Times New Roman"/>
        </w:rPr>
        <w:t xml:space="preserve">riorytetu pozwoli na przygotowanie przedsięwzięć, które będą mogły zostać zrealizowane </w:t>
      </w:r>
      <w:r>
        <w:rPr>
          <w:rFonts w:cs="Times New Roman"/>
        </w:rPr>
        <w:t xml:space="preserve">w ramach drugiego priorytetu, ale również </w:t>
      </w:r>
      <w:r w:rsidRPr="003A1632">
        <w:rPr>
          <w:rFonts w:cs="Times New Roman"/>
        </w:rPr>
        <w:t xml:space="preserve">w ramach innych </w:t>
      </w:r>
      <w:r>
        <w:rPr>
          <w:rFonts w:cs="Times New Roman"/>
        </w:rPr>
        <w:t>p</w:t>
      </w:r>
      <w:r w:rsidRPr="003A1632">
        <w:rPr>
          <w:rFonts w:cs="Times New Roman"/>
        </w:rPr>
        <w:t xml:space="preserve">rogramów </w:t>
      </w:r>
      <w:r>
        <w:rPr>
          <w:rFonts w:cs="Times New Roman"/>
        </w:rPr>
        <w:t>o</w:t>
      </w:r>
      <w:r w:rsidRPr="003A1632">
        <w:rPr>
          <w:rFonts w:cs="Times New Roman"/>
        </w:rPr>
        <w:t>peracyjnych.</w:t>
      </w:r>
    </w:p>
    <w:p w:rsidR="009D3363" w:rsidRPr="003A1632" w:rsidRDefault="009D3363" w:rsidP="009D3363">
      <w:pPr>
        <w:spacing w:before="120" w:after="0"/>
        <w:jc w:val="both"/>
        <w:rPr>
          <w:rFonts w:cs="Times New Roman"/>
        </w:rPr>
      </w:pPr>
      <w:r w:rsidRPr="003A1632">
        <w:rPr>
          <w:rFonts w:cs="Times New Roman"/>
        </w:rPr>
        <w:t xml:space="preserve">Polskie przedsiębiorstwa działające w branży ICT mają wyższą od przeciętnej skłonność do inwestycji w innowacyjność oraz w działalność badawczo-rozwojową. Zadaniem </w:t>
      </w:r>
      <w:r>
        <w:rPr>
          <w:rFonts w:cs="Times New Roman"/>
        </w:rPr>
        <w:t>3</w:t>
      </w:r>
      <w:r w:rsidRPr="003A1632">
        <w:rPr>
          <w:rFonts w:cs="Times New Roman"/>
        </w:rPr>
        <w:t xml:space="preserve"> osi priorytetowej jest ich ukierunkowanie na rozwiązania najbardziej przyszłościowe, w tym technologie wschodzące. Wdrożenie takich rozwiązań technologicznych i biznesowych wiąże się zazwyczaj z wysokimi kosztami i ryzykiem inwestycyjnym, lecz kompleksowe wsparcie powinno przyczynić się do powstania </w:t>
      </w:r>
      <w:r>
        <w:rPr>
          <w:rFonts w:cs="Times New Roman"/>
        </w:rPr>
        <w:br/>
      </w:r>
      <w:r w:rsidRPr="003A1632">
        <w:rPr>
          <w:rFonts w:cs="Times New Roman"/>
        </w:rPr>
        <w:t xml:space="preserve">w naszym kraju grupy liderów, oferujących produkty i usługi konkurencyjne na skalę globalną. Oprócz wsparcia finansowego konieczne będzie wsparcie doradcze i organizacyjne dla podmiotów gospodarczych, które zostanie zapewnione przez wyspecjalizowane instytucje (jednostki naukowe, instytucje otoczenia biznesu), w ramach projektów systemowych. </w:t>
      </w:r>
    </w:p>
    <w:p w:rsidR="009D3363" w:rsidRDefault="009D3363" w:rsidP="009D3363">
      <w:pPr>
        <w:spacing w:before="120" w:after="0"/>
        <w:jc w:val="both"/>
        <w:rPr>
          <w:rFonts w:cs="Times New Roman"/>
        </w:rPr>
      </w:pPr>
      <w:r w:rsidRPr="003A1632">
        <w:rPr>
          <w:rFonts w:cs="Times New Roman"/>
        </w:rPr>
        <w:t xml:space="preserve">Jak wynika z diagnozy, większość przychodów z działalności </w:t>
      </w:r>
      <w:proofErr w:type="spellStart"/>
      <w:r w:rsidRPr="003A1632">
        <w:rPr>
          <w:rFonts w:cs="Times New Roman"/>
        </w:rPr>
        <w:t>e</w:t>
      </w:r>
      <w:r w:rsidRPr="003A1632">
        <w:rPr>
          <w:rFonts w:cs="Times New Roman"/>
        </w:rPr>
        <w:noBreakHyphen/>
        <w:t>gospodarczej</w:t>
      </w:r>
      <w:proofErr w:type="spellEnd"/>
      <w:r w:rsidRPr="003A1632">
        <w:rPr>
          <w:rFonts w:cs="Times New Roman"/>
        </w:rPr>
        <w:t xml:space="preserve"> polskich przedsiębiorców pochodzi z rynku wewnętrznego. Powoduje to, że zasadniczy potencjał działalności prowadzonej </w:t>
      </w:r>
      <w:r>
        <w:rPr>
          <w:rFonts w:cs="Times New Roman"/>
        </w:rPr>
        <w:br/>
      </w:r>
      <w:r w:rsidRPr="003A1632">
        <w:rPr>
          <w:rFonts w:cs="Times New Roman"/>
        </w:rPr>
        <w:t>w formie elektronicznej – łatwy i szybki dostęp do odbiorców na szeroką skalę (w tym do rynków zagranicznych) pozostaje niewykorzystany. W ramach programu e-lider wspierane będą projekty przedsiębiorstw oferujących e-usługi i/lub produkty cyfrowe, znajdujące się w drugiej fazie rozwoju, przy czym preferowane będą podmioty, których celem jest ekspansja ukierunkowana na rynki zagraniczne. Ażeby osiągnąć zakładane cele interwencji, konieczne jest zapewnienie jej horyzontalnego i skoordynowanego podejścia.</w:t>
      </w:r>
    </w:p>
    <w:p w:rsidR="009D3363" w:rsidRPr="003A1632" w:rsidRDefault="009D3363" w:rsidP="009D3363">
      <w:pPr>
        <w:spacing w:before="120" w:after="0"/>
        <w:jc w:val="both"/>
        <w:rPr>
          <w:rFonts w:cs="Times New Roman"/>
        </w:rPr>
      </w:pPr>
      <w:r>
        <w:rPr>
          <w:rFonts w:cs="Times New Roman"/>
        </w:rPr>
        <w:t>Działania realizowane w 3 osi są komplementarne do działań dotyczących e-usług publicznych świadczonych</w:t>
      </w:r>
      <w:r w:rsidRPr="00EF3BA6">
        <w:rPr>
          <w:rFonts w:cs="Times New Roman"/>
        </w:rPr>
        <w:t xml:space="preserve"> </w:t>
      </w:r>
      <w:r>
        <w:rPr>
          <w:rFonts w:cs="Times New Roman"/>
        </w:rPr>
        <w:t>na rzecz przedsiębiorców realizowanych w ramach 2 osi priorytetowej.</w:t>
      </w:r>
    </w:p>
    <w:p w:rsidR="009D3363" w:rsidRPr="003A1632" w:rsidRDefault="009D3363" w:rsidP="009D3363">
      <w:pPr>
        <w:spacing w:before="120" w:after="0"/>
        <w:jc w:val="both"/>
        <w:rPr>
          <w:rFonts w:cs="Times New Roman"/>
        </w:rPr>
      </w:pPr>
    </w:p>
    <w:p w:rsidR="009D3363" w:rsidRPr="003A1632" w:rsidRDefault="009D3363" w:rsidP="009D3363">
      <w:pPr>
        <w:spacing w:before="120" w:after="0"/>
        <w:jc w:val="both"/>
        <w:rPr>
          <w:rFonts w:cs="Times New Roman"/>
        </w:rPr>
      </w:pPr>
      <w:r>
        <w:rPr>
          <w:rFonts w:cs="Times New Roman"/>
        </w:rPr>
        <w:t>W ramach III osi priorytetowej: e-Gospodarka realizowane będą 2 priorytety inwestycyjne:</w:t>
      </w:r>
      <w:r w:rsidRPr="003A1632">
        <w:rPr>
          <w:rFonts w:cs="Times New Roman"/>
        </w:rPr>
        <w:t xml:space="preserve"> </w:t>
      </w:r>
    </w:p>
    <w:p w:rsidR="009D3363" w:rsidRPr="00CD5B8F" w:rsidRDefault="009D3363" w:rsidP="009D3363">
      <w:pPr>
        <w:pStyle w:val="Akapitzlist"/>
        <w:numPr>
          <w:ilvl w:val="0"/>
          <w:numId w:val="6"/>
        </w:numPr>
        <w:spacing w:before="120" w:after="0"/>
        <w:contextualSpacing/>
        <w:jc w:val="both"/>
        <w:rPr>
          <w:rStyle w:val="hps"/>
        </w:rPr>
      </w:pPr>
      <w:r w:rsidRPr="00CD5B8F">
        <w:rPr>
          <w:rStyle w:val="hps"/>
          <w:bCs/>
        </w:rPr>
        <w:t>Wsparcie systemowe dla przedsiębiorstw planujących wdrożenie najnowocześniejszych rozwiązań cyfrowych.</w:t>
      </w:r>
    </w:p>
    <w:p w:rsidR="009D3363" w:rsidRPr="00CD5B8F" w:rsidRDefault="009D3363" w:rsidP="009D3363">
      <w:pPr>
        <w:pStyle w:val="Akapitzlist"/>
        <w:numPr>
          <w:ilvl w:val="0"/>
          <w:numId w:val="6"/>
        </w:numPr>
        <w:spacing w:before="120" w:after="0"/>
        <w:ind w:left="714" w:hanging="357"/>
        <w:contextualSpacing/>
        <w:jc w:val="both"/>
        <w:rPr>
          <w:rStyle w:val="hps"/>
          <w:bCs/>
        </w:rPr>
      </w:pPr>
      <w:r w:rsidRPr="00CD5B8F">
        <w:rPr>
          <w:rStyle w:val="hps"/>
          <w:bCs/>
        </w:rPr>
        <w:t xml:space="preserve">E-lider – wsparcie działalności oraz ekspansja rynkowa przedsiębiorstw oferujących e-usługi </w:t>
      </w:r>
      <w:r>
        <w:rPr>
          <w:rStyle w:val="hps"/>
          <w:bCs/>
        </w:rPr>
        <w:br/>
      </w:r>
      <w:r w:rsidRPr="00CD5B8F">
        <w:rPr>
          <w:rStyle w:val="hps"/>
          <w:bCs/>
        </w:rPr>
        <w:t>i produkty cyfrowe,</w:t>
      </w:r>
    </w:p>
    <w:p w:rsidR="009D3363" w:rsidRDefault="009D3363" w:rsidP="009D3363">
      <w:pPr>
        <w:pStyle w:val="Akapitzlist"/>
        <w:spacing w:before="120" w:after="0"/>
        <w:contextualSpacing/>
        <w:jc w:val="both"/>
        <w:rPr>
          <w:bCs/>
        </w:rPr>
      </w:pPr>
    </w:p>
    <w:p w:rsidR="009D3363" w:rsidRPr="00CD5B8F" w:rsidRDefault="009D3363" w:rsidP="009D3363">
      <w:pPr>
        <w:pStyle w:val="Akapitzlist"/>
        <w:spacing w:before="120" w:after="0"/>
        <w:ind w:left="360"/>
        <w:contextualSpacing/>
        <w:jc w:val="both"/>
        <w:rPr>
          <w:bCs/>
        </w:rPr>
      </w:pPr>
    </w:p>
    <w:p w:rsidR="009D3363" w:rsidRPr="005B1B6F" w:rsidRDefault="009D3363" w:rsidP="009D3363">
      <w:pPr>
        <w:ind w:left="360"/>
        <w:rPr>
          <w:b/>
          <w:bCs/>
        </w:rPr>
      </w:pPr>
      <w:r w:rsidRPr="000C46F7">
        <w:rPr>
          <w:rFonts w:cs="Times New Roman"/>
          <w:b/>
        </w:rPr>
        <w:t xml:space="preserve">Wskaźniki rezultatu bezpośredniego dla </w:t>
      </w:r>
      <w:r>
        <w:rPr>
          <w:rFonts w:cs="Times New Roman"/>
          <w:b/>
        </w:rPr>
        <w:t>II</w:t>
      </w:r>
      <w:r w:rsidRPr="000C46F7">
        <w:rPr>
          <w:rFonts w:cs="Times New Roman"/>
          <w:b/>
        </w:rPr>
        <w:t xml:space="preserve">I osi priorytetowej: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9"/>
        <w:gridCol w:w="1861"/>
        <w:gridCol w:w="1701"/>
        <w:gridCol w:w="1559"/>
        <w:gridCol w:w="1134"/>
        <w:gridCol w:w="1134"/>
      </w:tblGrid>
      <w:tr w:rsidR="009D3363" w:rsidRPr="000C46F7" w:rsidTr="00381F1A">
        <w:trPr>
          <w:trHeight w:val="801"/>
        </w:trPr>
        <w:tc>
          <w:tcPr>
            <w:tcW w:w="2109" w:type="dxa"/>
          </w:tcPr>
          <w:p w:rsidR="009D3363" w:rsidRPr="000C46F7" w:rsidRDefault="009D3363" w:rsidP="00381F1A">
            <w:pPr>
              <w:spacing w:after="0" w:line="240" w:lineRule="auto"/>
              <w:ind w:left="34" w:hanging="34"/>
              <w:contextualSpacing/>
              <w:rPr>
                <w:rFonts w:cs="Times New Roman"/>
              </w:rPr>
            </w:pPr>
            <w:r w:rsidRPr="000C46F7">
              <w:rPr>
                <w:rFonts w:cs="Times New Roman"/>
              </w:rPr>
              <w:lastRenderedPageBreak/>
              <w:t>Priorytet inwestycyjny</w:t>
            </w:r>
          </w:p>
        </w:tc>
        <w:tc>
          <w:tcPr>
            <w:tcW w:w="1861" w:type="dxa"/>
          </w:tcPr>
          <w:p w:rsidR="009D3363" w:rsidRPr="000C46F7" w:rsidRDefault="009D3363" w:rsidP="00381F1A">
            <w:pPr>
              <w:spacing w:after="0" w:line="240" w:lineRule="auto"/>
              <w:ind w:left="34" w:hanging="34"/>
              <w:contextualSpacing/>
              <w:rPr>
                <w:rFonts w:cs="Times New Roman"/>
              </w:rPr>
            </w:pPr>
            <w:r w:rsidRPr="000C46F7">
              <w:rPr>
                <w:rFonts w:cs="Times New Roman"/>
              </w:rPr>
              <w:t xml:space="preserve">Cel szczegółowy </w:t>
            </w:r>
          </w:p>
        </w:tc>
        <w:tc>
          <w:tcPr>
            <w:tcW w:w="1701" w:type="dxa"/>
          </w:tcPr>
          <w:p w:rsidR="009D3363" w:rsidRPr="000C46F7" w:rsidRDefault="009D3363" w:rsidP="00381F1A">
            <w:pPr>
              <w:spacing w:after="0" w:line="240" w:lineRule="auto"/>
              <w:ind w:left="34" w:hanging="34"/>
              <w:contextualSpacing/>
              <w:rPr>
                <w:rFonts w:cs="Times New Roman"/>
              </w:rPr>
            </w:pPr>
            <w:r w:rsidRPr="000C46F7">
              <w:rPr>
                <w:rFonts w:cs="Times New Roman"/>
              </w:rPr>
              <w:t xml:space="preserve">Wskaźnik rezultatu bezpośredniego  </w:t>
            </w:r>
          </w:p>
        </w:tc>
        <w:tc>
          <w:tcPr>
            <w:tcW w:w="1559" w:type="dxa"/>
          </w:tcPr>
          <w:p w:rsidR="009D3363" w:rsidRPr="000C46F7" w:rsidRDefault="009D3363" w:rsidP="00381F1A">
            <w:pPr>
              <w:spacing w:after="0" w:line="240" w:lineRule="auto"/>
              <w:ind w:left="34" w:hanging="34"/>
              <w:contextualSpacing/>
              <w:rPr>
                <w:rFonts w:cs="Times New Roman"/>
              </w:rPr>
            </w:pPr>
            <w:r w:rsidRPr="000C46F7">
              <w:rPr>
                <w:rFonts w:cs="Times New Roman"/>
              </w:rPr>
              <w:t>Wartość bazowa</w:t>
            </w:r>
          </w:p>
          <w:p w:rsidR="009D3363" w:rsidRPr="000C46F7" w:rsidRDefault="009D3363" w:rsidP="00381F1A">
            <w:pPr>
              <w:spacing w:after="0" w:line="240" w:lineRule="auto"/>
              <w:ind w:left="34" w:hanging="34"/>
              <w:contextualSpacing/>
              <w:rPr>
                <w:rFonts w:cs="Times New Roman"/>
              </w:rPr>
            </w:pPr>
            <w:r w:rsidRPr="000C46F7">
              <w:rPr>
                <w:rFonts w:cs="Times New Roman"/>
              </w:rPr>
              <w:t>(2011)</w:t>
            </w:r>
          </w:p>
        </w:tc>
        <w:tc>
          <w:tcPr>
            <w:tcW w:w="1134" w:type="dxa"/>
          </w:tcPr>
          <w:p w:rsidR="009D3363" w:rsidRPr="000C46F7" w:rsidRDefault="009D3363" w:rsidP="00381F1A">
            <w:pPr>
              <w:spacing w:after="0" w:line="240" w:lineRule="auto"/>
              <w:ind w:left="34" w:hanging="34"/>
              <w:contextualSpacing/>
              <w:rPr>
                <w:rFonts w:cs="Times New Roman"/>
              </w:rPr>
            </w:pPr>
            <w:r w:rsidRPr="000C46F7">
              <w:rPr>
                <w:rFonts w:cs="Times New Roman"/>
              </w:rPr>
              <w:t>Wartość docelowa 2022r.</w:t>
            </w:r>
          </w:p>
        </w:tc>
        <w:tc>
          <w:tcPr>
            <w:tcW w:w="1134" w:type="dxa"/>
          </w:tcPr>
          <w:p w:rsidR="009D3363" w:rsidRPr="000C46F7" w:rsidRDefault="009D3363" w:rsidP="00381F1A">
            <w:pPr>
              <w:spacing w:after="0" w:line="240" w:lineRule="auto"/>
              <w:ind w:left="34" w:hanging="34"/>
              <w:contextualSpacing/>
              <w:rPr>
                <w:rFonts w:cs="Times New Roman"/>
              </w:rPr>
            </w:pPr>
            <w:r w:rsidRPr="000C46F7">
              <w:rPr>
                <w:rFonts w:cs="Times New Roman"/>
              </w:rPr>
              <w:t>Źródło, częstotliwość pomiaru</w:t>
            </w:r>
          </w:p>
        </w:tc>
      </w:tr>
    </w:tbl>
    <w:p w:rsidR="009D3363" w:rsidRPr="005B1B6F" w:rsidRDefault="009D3363" w:rsidP="009D3363">
      <w:pPr>
        <w:ind w:left="360"/>
        <w:rPr>
          <w:b/>
        </w:rPr>
      </w:pPr>
      <w:r w:rsidRPr="005B1B6F">
        <w:rPr>
          <w:b/>
        </w:rPr>
        <w:t xml:space="preserve">Wskaźniki produktu dla </w:t>
      </w:r>
      <w:r>
        <w:rPr>
          <w:b/>
        </w:rPr>
        <w:t>I</w:t>
      </w:r>
      <w:r w:rsidRPr="005B1B6F">
        <w:rPr>
          <w:b/>
        </w:rPr>
        <w:t>II osi priorytetowej:</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1417"/>
        <w:gridCol w:w="1710"/>
        <w:gridCol w:w="1834"/>
      </w:tblGrid>
      <w:tr w:rsidR="009D3363" w:rsidRPr="005B1B6F" w:rsidTr="00381F1A">
        <w:trPr>
          <w:trHeight w:val="801"/>
        </w:trPr>
        <w:tc>
          <w:tcPr>
            <w:tcW w:w="4395" w:type="dxa"/>
          </w:tcPr>
          <w:p w:rsidR="009D3363" w:rsidRPr="005B1B6F" w:rsidRDefault="009D3363" w:rsidP="00381F1A">
            <w:pPr>
              <w:pStyle w:val="Akapitzlist"/>
              <w:spacing w:after="0" w:line="240" w:lineRule="auto"/>
              <w:ind w:left="0"/>
              <w:rPr>
                <w:rFonts w:cs="Cambria"/>
                <w:b/>
                <w:bCs/>
                <w:color w:val="4F81BD"/>
              </w:rPr>
            </w:pPr>
            <w:r w:rsidRPr="005B1B6F">
              <w:t xml:space="preserve">Wskaźnik produktu </w:t>
            </w:r>
          </w:p>
        </w:tc>
        <w:tc>
          <w:tcPr>
            <w:tcW w:w="1417" w:type="dxa"/>
          </w:tcPr>
          <w:p w:rsidR="009D3363" w:rsidRPr="005B1B6F" w:rsidRDefault="009D3363" w:rsidP="00381F1A">
            <w:pPr>
              <w:pStyle w:val="Akapitzlist"/>
              <w:spacing w:after="0" w:line="240" w:lineRule="auto"/>
              <w:ind w:left="360"/>
              <w:rPr>
                <w:rFonts w:cs="Cambria"/>
                <w:b/>
                <w:bCs/>
                <w:color w:val="4F81BD"/>
              </w:rPr>
            </w:pPr>
            <w:r w:rsidRPr="005B1B6F">
              <w:t>Wartość bazowa</w:t>
            </w:r>
          </w:p>
        </w:tc>
        <w:tc>
          <w:tcPr>
            <w:tcW w:w="1710" w:type="dxa"/>
          </w:tcPr>
          <w:p w:rsidR="009D3363" w:rsidRPr="005B1B6F" w:rsidRDefault="009D3363" w:rsidP="00381F1A">
            <w:pPr>
              <w:pStyle w:val="Akapitzlist"/>
              <w:spacing w:after="0" w:line="240" w:lineRule="auto"/>
              <w:ind w:left="360"/>
              <w:rPr>
                <w:rFonts w:cs="Cambria"/>
                <w:b/>
                <w:bCs/>
                <w:color w:val="4F81BD"/>
              </w:rPr>
            </w:pPr>
            <w:r w:rsidRPr="005B1B6F">
              <w:t>Wartość docelowa 2022r.</w:t>
            </w:r>
          </w:p>
        </w:tc>
        <w:tc>
          <w:tcPr>
            <w:tcW w:w="1834" w:type="dxa"/>
          </w:tcPr>
          <w:p w:rsidR="009D3363" w:rsidRPr="005B1B6F" w:rsidRDefault="009D3363" w:rsidP="00381F1A">
            <w:pPr>
              <w:pStyle w:val="Akapitzlist"/>
              <w:spacing w:after="0" w:line="240" w:lineRule="auto"/>
              <w:ind w:left="360"/>
              <w:rPr>
                <w:rFonts w:cs="Cambria"/>
                <w:b/>
                <w:bCs/>
                <w:color w:val="4F81BD"/>
              </w:rPr>
            </w:pPr>
            <w:r w:rsidRPr="005B1B6F">
              <w:t>Źródło, częstotliwość pomiaru</w:t>
            </w:r>
          </w:p>
        </w:tc>
      </w:tr>
    </w:tbl>
    <w:p w:rsidR="009D3363" w:rsidRPr="005B1B6F" w:rsidRDefault="009D3363" w:rsidP="009D3363">
      <w:pPr>
        <w:ind w:left="360"/>
        <w:rPr>
          <w:b/>
        </w:rPr>
      </w:pPr>
      <w:r w:rsidRPr="005B1B6F">
        <w:rPr>
          <w:b/>
        </w:rPr>
        <w:t>Budżet I</w:t>
      </w:r>
      <w:r>
        <w:rPr>
          <w:b/>
        </w:rPr>
        <w:t>I</w:t>
      </w:r>
      <w:r w:rsidRPr="005B1B6F">
        <w:rPr>
          <w:b/>
        </w:rPr>
        <w:t>I osi priorytetowej</w:t>
      </w:r>
    </w:p>
    <w:tbl>
      <w:tblPr>
        <w:tblW w:w="93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9"/>
        <w:gridCol w:w="2329"/>
        <w:gridCol w:w="2329"/>
        <w:gridCol w:w="2329"/>
      </w:tblGrid>
      <w:tr w:rsidR="009D3363" w:rsidRPr="005B1B6F" w:rsidTr="00381F1A">
        <w:trPr>
          <w:trHeight w:val="819"/>
        </w:trPr>
        <w:tc>
          <w:tcPr>
            <w:tcW w:w="2329" w:type="dxa"/>
          </w:tcPr>
          <w:p w:rsidR="009D3363" w:rsidRPr="005B1B6F" w:rsidRDefault="009D3363" w:rsidP="00381F1A">
            <w:pPr>
              <w:spacing w:after="0" w:line="240" w:lineRule="auto"/>
            </w:pPr>
            <w:r w:rsidRPr="005B1B6F">
              <w:t>Razem środki publiczne</w:t>
            </w:r>
          </w:p>
        </w:tc>
        <w:tc>
          <w:tcPr>
            <w:tcW w:w="2329" w:type="dxa"/>
          </w:tcPr>
          <w:p w:rsidR="009D3363" w:rsidRPr="005B1B6F" w:rsidRDefault="009D3363" w:rsidP="00381F1A">
            <w:pPr>
              <w:spacing w:after="0" w:line="240" w:lineRule="auto"/>
              <w:ind w:left="360"/>
            </w:pPr>
            <w:r w:rsidRPr="005B1B6F">
              <w:t>EFRR (lub ESF)</w:t>
            </w:r>
          </w:p>
        </w:tc>
        <w:tc>
          <w:tcPr>
            <w:tcW w:w="2329" w:type="dxa"/>
          </w:tcPr>
          <w:p w:rsidR="009D3363" w:rsidRPr="005B1B6F" w:rsidRDefault="009D3363" w:rsidP="00381F1A">
            <w:pPr>
              <w:spacing w:after="0" w:line="240" w:lineRule="auto"/>
              <w:ind w:left="360"/>
            </w:pPr>
            <w:r w:rsidRPr="005B1B6F">
              <w:t>Publiczne środki krajowe</w:t>
            </w:r>
          </w:p>
        </w:tc>
        <w:tc>
          <w:tcPr>
            <w:tcW w:w="2329" w:type="dxa"/>
          </w:tcPr>
          <w:p w:rsidR="009D3363" w:rsidRPr="005B1B6F" w:rsidRDefault="009D3363" w:rsidP="00381F1A">
            <w:pPr>
              <w:spacing w:after="0" w:line="240" w:lineRule="auto"/>
              <w:ind w:left="360"/>
            </w:pPr>
            <w:r w:rsidRPr="005B1B6F">
              <w:t>Udział osi priorytetowej w alokacji na PO PC</w:t>
            </w:r>
          </w:p>
        </w:tc>
      </w:tr>
    </w:tbl>
    <w:p w:rsidR="009D3363" w:rsidRPr="005B1B6F" w:rsidRDefault="009D3363" w:rsidP="009D3363">
      <w:pPr>
        <w:ind w:left="360"/>
        <w:rPr>
          <w:b/>
        </w:rPr>
      </w:pPr>
      <w:r w:rsidRPr="005B1B6F">
        <w:rPr>
          <w:b/>
        </w:rPr>
        <w:t>Wskaźniki dla oceny wykonania</w:t>
      </w:r>
    </w:p>
    <w:tbl>
      <w:tblPr>
        <w:tblW w:w="9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2"/>
        <w:gridCol w:w="4395"/>
        <w:gridCol w:w="2491"/>
      </w:tblGrid>
      <w:tr w:rsidR="009D3363" w:rsidRPr="005B1B6F" w:rsidTr="00381F1A">
        <w:trPr>
          <w:trHeight w:val="1028"/>
        </w:trPr>
        <w:tc>
          <w:tcPr>
            <w:tcW w:w="2482" w:type="dxa"/>
          </w:tcPr>
          <w:p w:rsidR="009D3363" w:rsidRPr="005B1B6F" w:rsidRDefault="009D3363" w:rsidP="00381F1A">
            <w:pPr>
              <w:pStyle w:val="Akapitzlist"/>
              <w:spacing w:after="0" w:line="240" w:lineRule="auto"/>
              <w:ind w:left="0"/>
            </w:pPr>
            <w:r w:rsidRPr="005B1B6F">
              <w:t xml:space="preserve">Priorytet inwestycyjny </w:t>
            </w:r>
          </w:p>
        </w:tc>
        <w:tc>
          <w:tcPr>
            <w:tcW w:w="4395" w:type="dxa"/>
          </w:tcPr>
          <w:p w:rsidR="009D3363" w:rsidRPr="005B1B6F" w:rsidRDefault="009D3363" w:rsidP="00381F1A">
            <w:pPr>
              <w:pStyle w:val="Akapitzlist"/>
              <w:spacing w:after="0" w:line="240" w:lineRule="auto"/>
              <w:ind w:left="360"/>
            </w:pPr>
            <w:r w:rsidRPr="005B1B6F">
              <w:t>Krok milowy</w:t>
            </w:r>
            <w:r w:rsidRPr="005B1B6F">
              <w:rPr>
                <w:color w:val="000000"/>
                <w:lang w:eastAsia="pl-PL"/>
              </w:rPr>
              <w:t xml:space="preserve"> (faza wdrażania, postęp finansowy, postęp w kontraktacji, pośrednia wartość dla wskaźnika produktu)</w:t>
            </w:r>
          </w:p>
        </w:tc>
        <w:tc>
          <w:tcPr>
            <w:tcW w:w="2491" w:type="dxa"/>
          </w:tcPr>
          <w:p w:rsidR="009D3363" w:rsidRPr="005B1B6F" w:rsidRDefault="009D3363" w:rsidP="00381F1A">
            <w:pPr>
              <w:pStyle w:val="Akapitzlist"/>
              <w:spacing w:after="0" w:line="240" w:lineRule="auto"/>
              <w:ind w:left="360"/>
            </w:pPr>
            <w:r w:rsidRPr="005B1B6F">
              <w:t>Wartość do 2018r.</w:t>
            </w:r>
          </w:p>
        </w:tc>
      </w:tr>
    </w:tbl>
    <w:p w:rsidR="009D3363" w:rsidRPr="005B1B6F" w:rsidRDefault="009D3363" w:rsidP="009D3363">
      <w:pPr>
        <w:ind w:left="360"/>
        <w:rPr>
          <w:b/>
        </w:rPr>
      </w:pPr>
    </w:p>
    <w:p w:rsidR="009D3363" w:rsidRPr="005B1B6F" w:rsidRDefault="009D3363" w:rsidP="009D3363">
      <w:pPr>
        <w:ind w:left="360"/>
        <w:rPr>
          <w:b/>
        </w:rPr>
      </w:pPr>
      <w:r w:rsidRPr="005B1B6F">
        <w:rPr>
          <w:b/>
        </w:rPr>
        <w:t xml:space="preserve">Kategorie interwencji i wstępny podział alokacji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220"/>
        <w:gridCol w:w="3833"/>
      </w:tblGrid>
      <w:tr w:rsidR="009D3363" w:rsidRPr="005B1B6F" w:rsidTr="00381F1A">
        <w:tc>
          <w:tcPr>
            <w:tcW w:w="2235" w:type="dxa"/>
          </w:tcPr>
          <w:p w:rsidR="009D3363" w:rsidRPr="005B1B6F" w:rsidRDefault="009D3363" w:rsidP="00381F1A">
            <w:pPr>
              <w:spacing w:after="0" w:line="240" w:lineRule="auto"/>
            </w:pPr>
            <w:r w:rsidRPr="005B1B6F">
              <w:t>Priorytet inwestycyjny</w:t>
            </w:r>
          </w:p>
        </w:tc>
        <w:tc>
          <w:tcPr>
            <w:tcW w:w="3220" w:type="dxa"/>
          </w:tcPr>
          <w:p w:rsidR="009D3363" w:rsidRPr="005B1B6F" w:rsidRDefault="009D3363" w:rsidP="00381F1A">
            <w:pPr>
              <w:spacing w:after="0" w:line="240" w:lineRule="auto"/>
              <w:ind w:left="360"/>
            </w:pPr>
            <w:r w:rsidRPr="005B1B6F">
              <w:t>Obszar interwencji/kategorie wydatków</w:t>
            </w:r>
          </w:p>
        </w:tc>
        <w:tc>
          <w:tcPr>
            <w:tcW w:w="3833" w:type="dxa"/>
          </w:tcPr>
          <w:p w:rsidR="009D3363" w:rsidRPr="005B1B6F" w:rsidRDefault="009D3363" w:rsidP="00381F1A">
            <w:pPr>
              <w:spacing w:after="0" w:line="240" w:lineRule="auto"/>
              <w:ind w:left="360"/>
            </w:pPr>
            <w:r w:rsidRPr="005B1B6F">
              <w:t>Wkład UE: wartość i udział % w alokacji EFRR/ESF</w:t>
            </w:r>
          </w:p>
        </w:tc>
      </w:tr>
      <w:tr w:rsidR="009D3363" w:rsidRPr="005B1B6F" w:rsidTr="00381F1A">
        <w:tc>
          <w:tcPr>
            <w:tcW w:w="2235" w:type="dxa"/>
          </w:tcPr>
          <w:p w:rsidR="009D3363" w:rsidRPr="005B1B6F" w:rsidRDefault="009D3363" w:rsidP="00381F1A">
            <w:pPr>
              <w:spacing w:after="0" w:line="240" w:lineRule="auto"/>
              <w:ind w:left="360"/>
            </w:pPr>
          </w:p>
        </w:tc>
        <w:tc>
          <w:tcPr>
            <w:tcW w:w="3220" w:type="dxa"/>
          </w:tcPr>
          <w:p w:rsidR="009D3363" w:rsidRPr="005B1B6F" w:rsidRDefault="009D3363" w:rsidP="00381F1A">
            <w:pPr>
              <w:spacing w:after="0" w:line="240" w:lineRule="auto"/>
              <w:ind w:left="360"/>
            </w:pPr>
          </w:p>
        </w:tc>
        <w:tc>
          <w:tcPr>
            <w:tcW w:w="3833" w:type="dxa"/>
          </w:tcPr>
          <w:p w:rsidR="009D3363" w:rsidRPr="005B1B6F" w:rsidRDefault="009D3363" w:rsidP="00381F1A">
            <w:pPr>
              <w:spacing w:after="0" w:line="240" w:lineRule="auto"/>
              <w:ind w:left="360"/>
            </w:pPr>
          </w:p>
        </w:tc>
      </w:tr>
    </w:tbl>
    <w:p w:rsidR="009D3363" w:rsidRPr="005B1B6F" w:rsidRDefault="009D3363" w:rsidP="009D3363">
      <w:pPr>
        <w:ind w:left="36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9D3363" w:rsidRPr="005B1B6F" w:rsidTr="00381F1A">
        <w:tc>
          <w:tcPr>
            <w:tcW w:w="4077" w:type="dxa"/>
          </w:tcPr>
          <w:p w:rsidR="009D3363" w:rsidRPr="005B1B6F" w:rsidRDefault="009D3363" w:rsidP="00381F1A">
            <w:pPr>
              <w:spacing w:after="0" w:line="240" w:lineRule="auto"/>
            </w:pPr>
            <w:r w:rsidRPr="005B1B6F">
              <w:t>Formy finansowania: kategorie wydatków</w:t>
            </w:r>
          </w:p>
        </w:tc>
        <w:tc>
          <w:tcPr>
            <w:tcW w:w="5135" w:type="dxa"/>
          </w:tcPr>
          <w:p w:rsidR="009D3363" w:rsidRPr="005B1B6F" w:rsidRDefault="009D3363" w:rsidP="00381F1A">
            <w:pPr>
              <w:spacing w:after="0" w:line="240" w:lineRule="auto"/>
              <w:ind w:left="-2"/>
            </w:pPr>
            <w:r w:rsidRPr="005B1B6F">
              <w:t>Wkład UE</w:t>
            </w:r>
          </w:p>
        </w:tc>
      </w:tr>
      <w:tr w:rsidR="009D3363" w:rsidRPr="005B1B6F" w:rsidTr="00381F1A">
        <w:tc>
          <w:tcPr>
            <w:tcW w:w="4077" w:type="dxa"/>
          </w:tcPr>
          <w:p w:rsidR="009D3363" w:rsidRPr="005B1B6F" w:rsidRDefault="009D3363" w:rsidP="00381F1A">
            <w:pPr>
              <w:spacing w:after="0" w:line="240" w:lineRule="auto"/>
              <w:ind w:left="360"/>
            </w:pPr>
          </w:p>
        </w:tc>
        <w:tc>
          <w:tcPr>
            <w:tcW w:w="5135" w:type="dxa"/>
          </w:tcPr>
          <w:p w:rsidR="009D3363" w:rsidRPr="005B1B6F" w:rsidRDefault="009D3363" w:rsidP="00381F1A">
            <w:pPr>
              <w:spacing w:after="0" w:line="240" w:lineRule="auto"/>
              <w:ind w:left="360"/>
            </w:pPr>
          </w:p>
        </w:tc>
      </w:tr>
    </w:tbl>
    <w:p w:rsidR="009D3363" w:rsidRPr="003A1632" w:rsidRDefault="009D3363" w:rsidP="009D3363">
      <w:pPr>
        <w:spacing w:before="120" w:after="0"/>
        <w:ind w:left="465"/>
        <w:jc w:val="both"/>
        <w:rPr>
          <w:rFonts w:cs="Times New Roman"/>
        </w:rPr>
      </w:pPr>
    </w:p>
    <w:p w:rsidR="009D3363" w:rsidRPr="003A1632" w:rsidRDefault="009D3363" w:rsidP="009D3363">
      <w:pPr>
        <w:spacing w:before="120" w:after="0"/>
        <w:jc w:val="both"/>
      </w:pPr>
      <w:r w:rsidRPr="003A1632">
        <w:rPr>
          <w:rFonts w:cs="Times New Roman"/>
          <w:b/>
          <w:bCs/>
        </w:rPr>
        <w:t xml:space="preserve">Priorytet </w:t>
      </w:r>
      <w:r>
        <w:rPr>
          <w:rFonts w:cs="Times New Roman"/>
          <w:b/>
          <w:bCs/>
        </w:rPr>
        <w:t xml:space="preserve">inwestycyjny </w:t>
      </w:r>
      <w:r w:rsidRPr="003A1632">
        <w:rPr>
          <w:rFonts w:cs="Times New Roman"/>
          <w:b/>
          <w:bCs/>
        </w:rPr>
        <w:t xml:space="preserve">1: </w:t>
      </w:r>
      <w:r w:rsidRPr="003A1632">
        <w:rPr>
          <w:rStyle w:val="hps"/>
          <w:b/>
          <w:bCs/>
        </w:rPr>
        <w:t>Wsparcie systemowe dla przedsiębiorstw planujących wdrożenie najnowocześniejszych rozwiązań cyfrowych.</w:t>
      </w:r>
    </w:p>
    <w:p w:rsidR="009D3363" w:rsidRPr="003A1632" w:rsidRDefault="009D3363" w:rsidP="009D3363">
      <w:pPr>
        <w:spacing w:before="120" w:after="0"/>
        <w:ind w:left="426"/>
        <w:jc w:val="both"/>
        <w:rPr>
          <w:rFonts w:cs="Times New Roman"/>
        </w:rPr>
      </w:pPr>
      <w:r w:rsidRPr="003A1632">
        <w:rPr>
          <w:rFonts w:cs="Times New Roman"/>
        </w:rPr>
        <w:t xml:space="preserve">Adresatem Priorytetu są przedsiębiorcy planujący wdrażanie produktów cyfrowych i </w:t>
      </w:r>
      <w:proofErr w:type="spellStart"/>
      <w:r w:rsidRPr="003A1632">
        <w:rPr>
          <w:rFonts w:cs="Times New Roman"/>
        </w:rPr>
        <w:t>e</w:t>
      </w:r>
      <w:r w:rsidRPr="003A1632">
        <w:rPr>
          <w:rFonts w:cs="Times New Roman"/>
        </w:rPr>
        <w:noBreakHyphen/>
        <w:t>usług</w:t>
      </w:r>
      <w:proofErr w:type="spellEnd"/>
      <w:r w:rsidRPr="003A1632">
        <w:rPr>
          <w:rFonts w:cs="Times New Roman"/>
        </w:rPr>
        <w:t xml:space="preserve"> opartych najnowocześniejszych rozwiązaniach, przy czym priorytetowo traktowane będą tzw. technologie wschodzące. Wsparcie realizowane będzie za pośrednictwem </w:t>
      </w:r>
      <w:r>
        <w:rPr>
          <w:rFonts w:cs="Times New Roman"/>
        </w:rPr>
        <w:t>projektów s</w:t>
      </w:r>
      <w:r w:rsidRPr="003A1632">
        <w:rPr>
          <w:rFonts w:cs="Times New Roman"/>
        </w:rPr>
        <w:t>ystemowych, prowadzon</w:t>
      </w:r>
      <w:r>
        <w:rPr>
          <w:rFonts w:cs="Times New Roman"/>
        </w:rPr>
        <w:t>ych</w:t>
      </w:r>
      <w:r w:rsidRPr="003A1632">
        <w:rPr>
          <w:rFonts w:cs="Times New Roman"/>
        </w:rPr>
        <w:t xml:space="preserve"> przez wyspecjalizowane jednostki naukowe i/lub instytucje otoczenia biznesu.</w:t>
      </w:r>
    </w:p>
    <w:p w:rsidR="009D3363" w:rsidRDefault="009D3363" w:rsidP="009D3363">
      <w:pPr>
        <w:spacing w:before="120" w:after="0"/>
        <w:ind w:left="426"/>
        <w:jc w:val="both"/>
        <w:rPr>
          <w:rFonts w:cs="Times New Roman"/>
        </w:rPr>
      </w:pPr>
      <w:r w:rsidRPr="003A1632">
        <w:rPr>
          <w:rFonts w:cs="Times New Roman"/>
        </w:rPr>
        <w:t xml:space="preserve">Beneficjenci projektów systemowych wybierani będą w trybie konkursowym w oparciu </w:t>
      </w:r>
    </w:p>
    <w:p w:rsidR="009D3363" w:rsidRPr="003A1632" w:rsidRDefault="009D3363" w:rsidP="009D3363">
      <w:pPr>
        <w:spacing w:before="120" w:after="0"/>
        <w:ind w:left="426"/>
        <w:jc w:val="both"/>
        <w:rPr>
          <w:rFonts w:cs="Times New Roman"/>
        </w:rPr>
      </w:pPr>
      <w:r w:rsidRPr="003A1632">
        <w:rPr>
          <w:rFonts w:cs="Times New Roman"/>
        </w:rPr>
        <w:t>o złożone projekty działań.</w:t>
      </w:r>
    </w:p>
    <w:p w:rsidR="009D3363" w:rsidRPr="003A1632" w:rsidRDefault="009D3363" w:rsidP="009D3363">
      <w:pPr>
        <w:spacing w:before="120" w:after="0"/>
        <w:ind w:left="426"/>
        <w:jc w:val="both"/>
        <w:rPr>
          <w:rFonts w:cs="Times New Roman"/>
        </w:rPr>
      </w:pPr>
      <w:r w:rsidRPr="003A1632">
        <w:rPr>
          <w:rFonts w:cs="Times New Roman"/>
        </w:rPr>
        <w:t xml:space="preserve">Projekty mają na celu ukształtowanie wśród polskich przedsiębiorców grupy liderów, zdolnych do konkurencji na skalę globalną. Uzupełnieniem interwencji w ramach priorytetu 1 będą działania w ramach priorytetu 2, służące wdrażaniu </w:t>
      </w:r>
      <w:r>
        <w:rPr>
          <w:rFonts w:cs="Times New Roman"/>
        </w:rPr>
        <w:t>nowoczesnych</w:t>
      </w:r>
      <w:r w:rsidRPr="003A1632">
        <w:rPr>
          <w:rFonts w:cs="Times New Roman"/>
        </w:rPr>
        <w:t xml:space="preserve"> rozwiązań </w:t>
      </w:r>
      <w:r>
        <w:rPr>
          <w:rFonts w:cs="Times New Roman"/>
        </w:rPr>
        <w:t xml:space="preserve">cyfrowych, </w:t>
      </w:r>
      <w:r w:rsidRPr="003A1632">
        <w:rPr>
          <w:rFonts w:cs="Times New Roman"/>
        </w:rPr>
        <w:t>a także ekspansji przedsiębiorstw i ich produktów/usług na skalę międzynarodową.</w:t>
      </w:r>
    </w:p>
    <w:p w:rsidR="009D3363" w:rsidRPr="003A1632" w:rsidRDefault="009D3363" w:rsidP="009D3363">
      <w:pPr>
        <w:spacing w:before="120" w:after="0"/>
        <w:ind w:left="426"/>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D3363" w:rsidRPr="003A1632" w:rsidTr="00381F1A">
        <w:tc>
          <w:tcPr>
            <w:tcW w:w="9212" w:type="dxa"/>
          </w:tcPr>
          <w:p w:rsidR="009D3363" w:rsidRPr="003A1632" w:rsidRDefault="009D3363" w:rsidP="00381F1A">
            <w:pPr>
              <w:spacing w:before="120" w:after="0"/>
              <w:jc w:val="both"/>
              <w:rPr>
                <w:rStyle w:val="hps"/>
                <w:b/>
                <w:bCs/>
              </w:rPr>
            </w:pPr>
            <w:r w:rsidRPr="003A1632">
              <w:rPr>
                <w:rStyle w:val="hps"/>
                <w:b/>
                <w:bCs/>
              </w:rPr>
              <w:lastRenderedPageBreak/>
              <w:t>Kluczowe działanie 1: Wsparcie systemowe dla przedsiębiorstw planujących wdrożenie najnowocześniejszych rozwiązań cyfrowych.</w:t>
            </w:r>
          </w:p>
          <w:p w:rsidR="009D3363" w:rsidRPr="005C68B6" w:rsidRDefault="009D3363" w:rsidP="00381F1A">
            <w:pPr>
              <w:pStyle w:val="Akapitzlist"/>
              <w:spacing w:before="120" w:after="0"/>
              <w:ind w:left="360"/>
              <w:contextualSpacing/>
              <w:jc w:val="both"/>
              <w:rPr>
                <w:rStyle w:val="hps"/>
                <w:b/>
              </w:rPr>
            </w:pPr>
            <w:r w:rsidRPr="005C68B6">
              <w:rPr>
                <w:rStyle w:val="hps"/>
                <w:b/>
              </w:rPr>
              <w:t>Krótki opis</w:t>
            </w:r>
          </w:p>
          <w:p w:rsidR="009D3363" w:rsidRPr="003A1632" w:rsidRDefault="009D3363" w:rsidP="00381F1A">
            <w:pPr>
              <w:pStyle w:val="Bezodstpw"/>
              <w:spacing w:before="120" w:line="276" w:lineRule="auto"/>
              <w:ind w:left="318"/>
              <w:jc w:val="both"/>
              <w:rPr>
                <w:rFonts w:cs="Times New Roman"/>
              </w:rPr>
            </w:pPr>
            <w:r w:rsidRPr="003A1632">
              <w:rPr>
                <w:rFonts w:cs="Times New Roman"/>
              </w:rPr>
              <w:t xml:space="preserve">W ramach działania realizowany będzie kompleksowy system wprowadzania do praktyki gospodarczej najnowocześniejszych rozwiązań cyfrowych oraz specyficznych dla </w:t>
            </w:r>
            <w:proofErr w:type="spellStart"/>
            <w:r w:rsidRPr="003A1632">
              <w:rPr>
                <w:rFonts w:cs="Times New Roman"/>
              </w:rPr>
              <w:t>e</w:t>
            </w:r>
            <w:r w:rsidRPr="003A1632">
              <w:rPr>
                <w:rFonts w:cs="Times New Roman"/>
              </w:rPr>
              <w:noBreakHyphen/>
              <w:t>gospodarki</w:t>
            </w:r>
            <w:proofErr w:type="spellEnd"/>
            <w:r w:rsidRPr="003A1632">
              <w:rPr>
                <w:rFonts w:cs="Times New Roman"/>
              </w:rPr>
              <w:t xml:space="preserve"> modeli biznesowych</w:t>
            </w:r>
            <w:r>
              <w:rPr>
                <w:rFonts w:cs="Times New Roman"/>
              </w:rPr>
              <w:t>(</w:t>
            </w:r>
            <w:r w:rsidRPr="003A1632">
              <w:rPr>
                <w:rFonts w:cs="Times New Roman"/>
              </w:rPr>
              <w:t>w szczególności technologii wschodzących</w:t>
            </w:r>
            <w:r w:rsidRPr="003A1632">
              <w:rPr>
                <w:rStyle w:val="Odwoanieprzypisudolnego"/>
              </w:rPr>
              <w:footnoteReference w:id="4"/>
            </w:r>
            <w:r>
              <w:rPr>
                <w:rFonts w:cs="Times New Roman"/>
              </w:rPr>
              <w:t xml:space="preserve"> i technologii kroczących</w:t>
            </w:r>
            <w:r>
              <w:rPr>
                <w:rStyle w:val="Odwoanieprzypisudolnego"/>
              </w:rPr>
              <w:footnoteReference w:id="5"/>
            </w:r>
            <w:r w:rsidRPr="003A1632">
              <w:rPr>
                <w:rFonts w:cs="Times New Roman"/>
              </w:rPr>
              <w:t xml:space="preserve">). </w:t>
            </w:r>
          </w:p>
          <w:p w:rsidR="009D3363" w:rsidRPr="003A1632" w:rsidRDefault="009D3363" w:rsidP="00381F1A">
            <w:pPr>
              <w:pStyle w:val="Tekstkomentarza"/>
              <w:ind w:left="284"/>
              <w:jc w:val="both"/>
              <w:rPr>
                <w:sz w:val="22"/>
                <w:szCs w:val="22"/>
              </w:rPr>
            </w:pPr>
            <w:r w:rsidRPr="003A1632">
              <w:rPr>
                <w:sz w:val="22"/>
                <w:szCs w:val="22"/>
              </w:rPr>
              <w:t xml:space="preserve">Dofinansowanie będzie przeznaczone na bezpośrednie wsparcie kilku projektów systemowych, które ze względu na osiągnięcie efektu komplementarności swoim zasięgiem obejmować będą co najmniej makroregiony, prowadzonych przez wyspecjalizowane jednostki naukowe i/lub instytucje otoczenia biznesu. Ich celem będzie wsparcie przygotowania i wdrażania innowacyjnych projektów wykorzystujących najnowocześniejsze rozwiązania informatyczne (dopiero pojawiające się w działalności gospodarczej), realizowanych przez przedsiębiorców. Dostarczać będą przedsiębiorcom wiedzy o najnowszych technologiach cyfrowych </w:t>
            </w:r>
            <w:r>
              <w:rPr>
                <w:sz w:val="22"/>
                <w:szCs w:val="22"/>
              </w:rPr>
              <w:br/>
            </w:r>
            <w:r w:rsidRPr="003A1632">
              <w:rPr>
                <w:sz w:val="22"/>
                <w:szCs w:val="22"/>
              </w:rPr>
              <w:t xml:space="preserve">i przykładowych możliwościach ich gospodarczego zastosowania. Przedsiębiorcy będą mieli również dostęp do wiedzy eksperckiej, m.in. w zakresie zastosowania innowacyjnych modeli biznesowych, wykorzystujących technologie cyfrowe. Wsparcie doradcze skierowane będzie nie tylko do przedsiębiorców planujących realizację projektów z PO PC, ale także z innych źródeł. </w:t>
            </w:r>
            <w:r>
              <w:rPr>
                <w:sz w:val="22"/>
                <w:szCs w:val="22"/>
              </w:rPr>
              <w:br/>
            </w:r>
            <w:r w:rsidRPr="003A1632">
              <w:rPr>
                <w:sz w:val="22"/>
                <w:szCs w:val="22"/>
              </w:rPr>
              <w:t xml:space="preserve">W ramach działań prowadzone będą także działania informujące przedsiębiorców </w:t>
            </w:r>
            <w:r>
              <w:rPr>
                <w:sz w:val="22"/>
                <w:szCs w:val="22"/>
              </w:rPr>
              <w:br/>
            </w:r>
            <w:r w:rsidRPr="003A1632">
              <w:rPr>
                <w:sz w:val="22"/>
                <w:szCs w:val="22"/>
              </w:rPr>
              <w:t>o innowacyjnych rozwiązaniach w branży ICT i korzyściach płynących z ich wdrożenia.</w:t>
            </w:r>
          </w:p>
          <w:p w:rsidR="009D3363" w:rsidRPr="003A1632" w:rsidRDefault="009D3363" w:rsidP="00381F1A">
            <w:pPr>
              <w:pStyle w:val="Bezodstpw"/>
              <w:spacing w:before="120" w:line="276" w:lineRule="auto"/>
              <w:ind w:left="318"/>
              <w:jc w:val="both"/>
              <w:rPr>
                <w:rFonts w:cs="Times New Roman"/>
              </w:rPr>
            </w:pPr>
            <w:r w:rsidRPr="003A1632">
              <w:rPr>
                <w:rFonts w:cs="Times New Roman"/>
              </w:rPr>
              <w:t>Do zadań stawianych przed Beneficjentami Projektów Systemowych należeć będzie:</w:t>
            </w:r>
          </w:p>
          <w:p w:rsidR="009D3363" w:rsidRPr="003A1632" w:rsidRDefault="009D3363" w:rsidP="009D3363">
            <w:pPr>
              <w:pStyle w:val="Bezodstpw"/>
              <w:numPr>
                <w:ilvl w:val="0"/>
                <w:numId w:val="4"/>
              </w:numPr>
              <w:spacing w:before="120" w:line="276" w:lineRule="auto"/>
              <w:jc w:val="both"/>
              <w:rPr>
                <w:rFonts w:cs="Times New Roman"/>
              </w:rPr>
            </w:pPr>
            <w:r w:rsidRPr="003A1632">
              <w:rPr>
                <w:rFonts w:cs="Times New Roman"/>
              </w:rPr>
              <w:t>Gromadzenie i upowszechnianie wiedzy o najnowocześniejszych wprowadzanych na świecie rozwiązaniach ICT i ich gospodarczych zastosowaniach;</w:t>
            </w:r>
          </w:p>
          <w:p w:rsidR="009D3363" w:rsidRPr="003A1632" w:rsidRDefault="009D3363" w:rsidP="009D3363">
            <w:pPr>
              <w:pStyle w:val="Bezodstpw"/>
              <w:numPr>
                <w:ilvl w:val="0"/>
                <w:numId w:val="4"/>
              </w:numPr>
              <w:spacing w:before="120" w:line="276" w:lineRule="auto"/>
              <w:jc w:val="both"/>
              <w:rPr>
                <w:rFonts w:cs="Times New Roman"/>
              </w:rPr>
            </w:pPr>
            <w:r w:rsidRPr="003A1632">
              <w:rPr>
                <w:rFonts w:cs="Times New Roman"/>
              </w:rPr>
              <w:t>Wsparcie eksperckie przygotowania przez przedsiębiorców projektów wdrażających te rozwiązania (</w:t>
            </w:r>
            <w:proofErr w:type="spellStart"/>
            <w:r w:rsidRPr="003A1632">
              <w:rPr>
                <w:rFonts w:cs="Times New Roman"/>
              </w:rPr>
              <w:t>project</w:t>
            </w:r>
            <w:proofErr w:type="spellEnd"/>
            <w:r w:rsidRPr="003A1632">
              <w:rPr>
                <w:rFonts w:cs="Times New Roman"/>
              </w:rPr>
              <w:t xml:space="preserve"> </w:t>
            </w:r>
            <w:proofErr w:type="spellStart"/>
            <w:r w:rsidRPr="003A1632">
              <w:rPr>
                <w:rFonts w:cs="Times New Roman"/>
              </w:rPr>
              <w:t>pipeline</w:t>
            </w:r>
            <w:proofErr w:type="spellEnd"/>
            <w:r w:rsidRPr="003A1632">
              <w:rPr>
                <w:rFonts w:cs="Times New Roman"/>
              </w:rPr>
              <w:t xml:space="preserve">); </w:t>
            </w:r>
          </w:p>
          <w:p w:rsidR="009D3363" w:rsidRPr="003A1632" w:rsidRDefault="009D3363" w:rsidP="009D3363">
            <w:pPr>
              <w:pStyle w:val="Bezodstpw"/>
              <w:numPr>
                <w:ilvl w:val="0"/>
                <w:numId w:val="4"/>
              </w:numPr>
              <w:spacing w:before="120" w:line="276" w:lineRule="auto"/>
              <w:jc w:val="both"/>
              <w:rPr>
                <w:rFonts w:cs="Times New Roman"/>
              </w:rPr>
            </w:pPr>
            <w:r w:rsidRPr="003A1632">
              <w:rPr>
                <w:rFonts w:cs="Times New Roman"/>
              </w:rPr>
              <w:t>Kompleksowe wsparcie eksperckie mające przygotowanie projektu do fazy realizacyjnej pozwalające na uzyskanie dofinansowania w ramach priorytetu 2 lub uzyskanie rekomendacji do objęcia przedsięwzięcia i związanego z nim modelu biznesowego wsparciem ze środków UE w innych Programach Operacyjnych.</w:t>
            </w:r>
          </w:p>
          <w:p w:rsidR="009D3363" w:rsidRPr="003A1632" w:rsidRDefault="009D3363" w:rsidP="009D3363">
            <w:pPr>
              <w:pStyle w:val="Bezodstpw"/>
              <w:numPr>
                <w:ilvl w:val="0"/>
                <w:numId w:val="4"/>
              </w:numPr>
              <w:spacing w:before="120" w:line="276" w:lineRule="auto"/>
              <w:jc w:val="both"/>
              <w:rPr>
                <w:rFonts w:cs="Times New Roman"/>
              </w:rPr>
            </w:pPr>
            <w:r w:rsidRPr="003A1632">
              <w:rPr>
                <w:rFonts w:cs="Times New Roman"/>
              </w:rPr>
              <w:t>Upowszechnianie innowacyjnych modeli biznesowych opartych na rozwiązaniach cyfrowych (np. platformy usługowo-aplikacyjne);</w:t>
            </w:r>
          </w:p>
          <w:p w:rsidR="009D3363" w:rsidRDefault="009D3363" w:rsidP="009D3363">
            <w:pPr>
              <w:pStyle w:val="Bezodstpw"/>
              <w:numPr>
                <w:ilvl w:val="0"/>
                <w:numId w:val="4"/>
              </w:numPr>
              <w:spacing w:before="120" w:line="276" w:lineRule="auto"/>
              <w:jc w:val="both"/>
              <w:rPr>
                <w:rFonts w:cs="Times New Roman"/>
              </w:rPr>
            </w:pPr>
            <w:r w:rsidRPr="003A1632">
              <w:rPr>
                <w:rFonts w:cs="Times New Roman"/>
              </w:rPr>
              <w:t>Upowszechnianie wśród innych przedsiębiorców wypracowanych rozwiązań cyfrowych, na których opiera się wytworzony produkt lub usługa (rozwiązania otwarte).</w:t>
            </w:r>
          </w:p>
          <w:p w:rsidR="009D3363" w:rsidRPr="003A1632" w:rsidRDefault="009D3363" w:rsidP="00381F1A">
            <w:pPr>
              <w:pStyle w:val="Bezodstpw"/>
              <w:spacing w:before="120" w:line="276" w:lineRule="auto"/>
              <w:ind w:left="708"/>
              <w:jc w:val="both"/>
              <w:rPr>
                <w:rFonts w:cs="Times New Roman"/>
              </w:rPr>
            </w:pPr>
            <w:r w:rsidRPr="00074083">
              <w:rPr>
                <w:lang w:eastAsia="en-US"/>
              </w:rPr>
              <w:t xml:space="preserve">Ze względu na fakt, iż głównym zadaniem beneficjentów projektów systemowych będzie propagowanie nowoczesnych rozwiązań, oraz wsparcie w przygotowaniu projektu w ramach </w:t>
            </w:r>
            <w:proofErr w:type="spellStart"/>
            <w:r w:rsidRPr="00074083">
              <w:rPr>
                <w:lang w:eastAsia="en-US"/>
              </w:rPr>
              <w:t>project</w:t>
            </w:r>
            <w:proofErr w:type="spellEnd"/>
            <w:r w:rsidRPr="00074083">
              <w:rPr>
                <w:lang w:eastAsia="en-US"/>
              </w:rPr>
              <w:t xml:space="preserve"> </w:t>
            </w:r>
            <w:proofErr w:type="spellStart"/>
            <w:r w:rsidRPr="00074083">
              <w:rPr>
                <w:lang w:eastAsia="en-US"/>
              </w:rPr>
              <w:t>pipeline</w:t>
            </w:r>
            <w:proofErr w:type="spellEnd"/>
            <w:r>
              <w:rPr>
                <w:lang w:eastAsia="en-US"/>
              </w:rPr>
              <w:t xml:space="preserve">, czyli zadania związane z merytoryczną oceną projektu, należy oddzielić </w:t>
            </w:r>
            <w:r>
              <w:rPr>
                <w:lang w:eastAsia="en-US"/>
              </w:rPr>
              <w:lastRenderedPageBreak/>
              <w:t>część doradczo aplikacyjną od procesu aplikowania o środki w trybie konkursowym oraz realizacji projektu. Wyłonienie instytucji, które prowadziłyby kompleksowo oba działania mogłoby się okazać niemożliwe ze względu na połączenie niezwykle szerokiego zakresu obowiązków. Ponadto aby zapewnić unifikację zasad oceny, a także zapewnienie wysokiego poziomu oraz unikalności rozwiązań dofinansowywanych w trybie konkursowym zasadne jest prowadzenie naboru poprzez jeden wyspecjalizowany podmiot operujący na terenie całego kraju.</w:t>
            </w:r>
          </w:p>
          <w:p w:rsidR="009D3363" w:rsidRPr="003A1632" w:rsidRDefault="009D3363" w:rsidP="00381F1A">
            <w:pPr>
              <w:pStyle w:val="Akapitzlist"/>
              <w:spacing w:before="120" w:after="0"/>
              <w:ind w:left="284"/>
              <w:jc w:val="both"/>
            </w:pPr>
            <w:r w:rsidRPr="005C68B6">
              <w:rPr>
                <w:b/>
              </w:rPr>
              <w:t>Wkład dla osiągania celu szczegółowego</w:t>
            </w:r>
          </w:p>
          <w:p w:rsidR="009D3363" w:rsidRPr="003A1632" w:rsidRDefault="009D3363" w:rsidP="00381F1A">
            <w:pPr>
              <w:pStyle w:val="Akapitzlist"/>
              <w:spacing w:before="120" w:after="0"/>
              <w:ind w:left="567"/>
              <w:jc w:val="both"/>
            </w:pPr>
            <w:r w:rsidRPr="003A1632">
              <w:t xml:space="preserve">Celem projektów systemowych jest szerokie wprowadzenie do polskiej praktyki gospodarczej najnowszych rozwiązań cyfrowych i opartych na nich modelów biznesowych, tak aby doprowadzić do powstania silnej i skonsolidowanej grupy polskich przedsiębiorców zdolnych do konkurowania na skalę międzynarodową. </w:t>
            </w:r>
          </w:p>
          <w:p w:rsidR="009D3363" w:rsidRPr="003A1632" w:rsidRDefault="009D3363" w:rsidP="00381F1A">
            <w:pPr>
              <w:pStyle w:val="Akapitzlist"/>
              <w:spacing w:before="120" w:after="0"/>
              <w:ind w:left="284"/>
              <w:jc w:val="both"/>
            </w:pPr>
            <w:r w:rsidRPr="005C68B6">
              <w:rPr>
                <w:b/>
              </w:rPr>
              <w:t>Zasady wyboru projektów</w:t>
            </w:r>
            <w:r w:rsidRPr="003A1632">
              <w:t xml:space="preserve"> </w:t>
            </w:r>
          </w:p>
          <w:p w:rsidR="009D3363" w:rsidRPr="003A1632" w:rsidRDefault="009D3363" w:rsidP="00381F1A">
            <w:pPr>
              <w:pStyle w:val="Tekstkomentarza"/>
              <w:ind w:left="567"/>
              <w:jc w:val="both"/>
              <w:rPr>
                <w:sz w:val="22"/>
                <w:szCs w:val="22"/>
              </w:rPr>
            </w:pPr>
            <w:r w:rsidRPr="003A1632">
              <w:rPr>
                <w:sz w:val="22"/>
                <w:szCs w:val="22"/>
              </w:rPr>
              <w:t>Beneficjenci wybierani będą w trybie konkursowym; konkursy skierowane będą do jednostek naukowych i instytucji otoczenia biznesu i ich konsorcjów.</w:t>
            </w:r>
          </w:p>
          <w:p w:rsidR="009D3363" w:rsidRPr="003A1632" w:rsidRDefault="009D3363" w:rsidP="00381F1A">
            <w:pPr>
              <w:pStyle w:val="Akapitzlist"/>
              <w:spacing w:before="120" w:after="0"/>
              <w:ind w:left="284"/>
              <w:jc w:val="both"/>
            </w:pPr>
            <w:r w:rsidRPr="005C68B6">
              <w:rPr>
                <w:b/>
              </w:rPr>
              <w:t>Grupy beneficjentów</w:t>
            </w:r>
            <w:r w:rsidRPr="003A1632">
              <w:t xml:space="preserve"> </w:t>
            </w:r>
          </w:p>
          <w:p w:rsidR="009D3363" w:rsidRPr="003A1632" w:rsidRDefault="009D3363" w:rsidP="00381F1A">
            <w:pPr>
              <w:pStyle w:val="Akapitzlist"/>
              <w:spacing w:before="120" w:after="0"/>
              <w:ind w:left="567"/>
              <w:jc w:val="both"/>
            </w:pPr>
            <w:r>
              <w:t>J</w:t>
            </w:r>
            <w:r w:rsidRPr="003A1632">
              <w:t>ednostki naukowe, instytucje otoczenia biznesu i ich konsorcja</w:t>
            </w:r>
          </w:p>
          <w:p w:rsidR="009D3363" w:rsidRPr="003A1632" w:rsidRDefault="009D3363" w:rsidP="00381F1A">
            <w:pPr>
              <w:pStyle w:val="Akapitzlist"/>
              <w:spacing w:before="120" w:after="0"/>
              <w:ind w:left="567"/>
              <w:jc w:val="both"/>
            </w:pPr>
            <w:r w:rsidRPr="003A1632">
              <w:t>Beneficjenci ostateczni – przedsiębiorcy.</w:t>
            </w:r>
          </w:p>
          <w:p w:rsidR="009D3363" w:rsidRPr="003A1632" w:rsidRDefault="009D3363" w:rsidP="00381F1A">
            <w:pPr>
              <w:pStyle w:val="Akapitzlist"/>
              <w:spacing w:before="120" w:after="0"/>
              <w:ind w:left="284"/>
              <w:jc w:val="both"/>
            </w:pPr>
            <w:r w:rsidRPr="005C68B6">
              <w:rPr>
                <w:b/>
              </w:rPr>
              <w:t>Brak ukierunkowania terytorialnego</w:t>
            </w:r>
            <w:r w:rsidRPr="003A1632">
              <w:t xml:space="preserve"> </w:t>
            </w:r>
          </w:p>
          <w:p w:rsidR="009D3363" w:rsidRPr="003A1632" w:rsidRDefault="009D3363" w:rsidP="00381F1A">
            <w:pPr>
              <w:pStyle w:val="Akapitzlist"/>
              <w:spacing w:before="120" w:after="0"/>
              <w:ind w:left="284"/>
              <w:jc w:val="both"/>
            </w:pPr>
            <w:r w:rsidRPr="005C68B6">
              <w:rPr>
                <w:b/>
              </w:rPr>
              <w:t>Typ wsparcia</w:t>
            </w:r>
            <w:r w:rsidRPr="003A1632">
              <w:t xml:space="preserve"> (bez/zwrotne instrumenty finansowe), </w:t>
            </w:r>
          </w:p>
          <w:p w:rsidR="009D3363" w:rsidRPr="003A1632" w:rsidRDefault="009D3363" w:rsidP="00381F1A">
            <w:pPr>
              <w:pStyle w:val="Akapitzlist"/>
              <w:spacing w:before="120" w:after="0"/>
              <w:ind w:left="567"/>
              <w:jc w:val="both"/>
            </w:pPr>
            <w:r w:rsidRPr="003A1632">
              <w:t xml:space="preserve"> Zastosowane bezzwrotne .instrumenty finansowe.</w:t>
            </w:r>
          </w:p>
          <w:p w:rsidR="009D3363" w:rsidRPr="003A1632" w:rsidRDefault="009D3363" w:rsidP="00381F1A">
            <w:pPr>
              <w:pStyle w:val="Akapitzlist"/>
              <w:spacing w:before="120" w:after="0"/>
              <w:ind w:left="284"/>
              <w:jc w:val="both"/>
            </w:pPr>
            <w:r w:rsidRPr="005C68B6">
              <w:rPr>
                <w:b/>
              </w:rPr>
              <w:t>Nie występują duże projekty</w:t>
            </w:r>
            <w:r w:rsidRPr="003A1632">
              <w:t xml:space="preserve"> (powyżej </w:t>
            </w:r>
            <w:r>
              <w:t>50</w:t>
            </w:r>
            <w:r w:rsidRPr="003A1632">
              <w:t xml:space="preserve"> mln euro), </w:t>
            </w:r>
          </w:p>
          <w:p w:rsidR="009D3363" w:rsidRPr="005C68B6" w:rsidRDefault="009D3363" w:rsidP="00381F1A">
            <w:pPr>
              <w:pStyle w:val="Akapitzlist"/>
              <w:spacing w:before="120" w:after="0"/>
              <w:ind w:left="284"/>
              <w:jc w:val="both"/>
              <w:rPr>
                <w:b/>
              </w:rPr>
            </w:pPr>
            <w:r>
              <w:rPr>
                <w:b/>
              </w:rPr>
              <w:t>W</w:t>
            </w:r>
            <w:r w:rsidRPr="005C68B6">
              <w:rPr>
                <w:b/>
              </w:rPr>
              <w:t>ystępuje pomoc publiczna</w:t>
            </w:r>
          </w:p>
          <w:p w:rsidR="009D3363" w:rsidRPr="003A1632" w:rsidRDefault="009D3363" w:rsidP="00381F1A">
            <w:pPr>
              <w:spacing w:before="120" w:after="0"/>
              <w:jc w:val="both"/>
              <w:rPr>
                <w:rStyle w:val="hps"/>
              </w:rPr>
            </w:pPr>
          </w:p>
        </w:tc>
      </w:tr>
    </w:tbl>
    <w:p w:rsidR="009D3363" w:rsidRPr="003A1632" w:rsidRDefault="009D3363" w:rsidP="009D3363">
      <w:pPr>
        <w:pStyle w:val="Akapitzlist"/>
        <w:spacing w:before="120" w:after="0"/>
        <w:ind w:left="284"/>
        <w:jc w:val="both"/>
      </w:pPr>
    </w:p>
    <w:p w:rsidR="009D3363" w:rsidRPr="003A1632" w:rsidRDefault="009D3363" w:rsidP="009D3363">
      <w:pPr>
        <w:spacing w:before="120" w:after="0"/>
        <w:jc w:val="both"/>
        <w:rPr>
          <w:rStyle w:val="hps"/>
          <w:b/>
          <w:bCs/>
        </w:rPr>
      </w:pPr>
      <w:r w:rsidRPr="003A1632">
        <w:rPr>
          <w:rStyle w:val="hps"/>
          <w:b/>
          <w:bCs/>
        </w:rPr>
        <w:t xml:space="preserve">Priorytet 2: E-lider – wsparcie działalności oraz ekspansja rynkowa przedsiębiorstw oferujących </w:t>
      </w:r>
      <w:r>
        <w:rPr>
          <w:rStyle w:val="hps"/>
          <w:b/>
          <w:bCs/>
        </w:rPr>
        <w:br/>
      </w:r>
      <w:r w:rsidRPr="003A1632">
        <w:rPr>
          <w:rStyle w:val="hps"/>
          <w:b/>
          <w:bCs/>
        </w:rPr>
        <w:t>e-usługi i produkty cyfrowe,</w:t>
      </w:r>
    </w:p>
    <w:p w:rsidR="009D3363" w:rsidRPr="003A1632" w:rsidRDefault="009D3363" w:rsidP="009D3363">
      <w:pPr>
        <w:spacing w:before="120" w:after="0"/>
        <w:jc w:val="both"/>
        <w:rPr>
          <w:rStyle w:val="hps"/>
          <w:b/>
          <w:bCs/>
        </w:rPr>
      </w:pPr>
    </w:p>
    <w:p w:rsidR="009D3363" w:rsidRPr="003A1632" w:rsidRDefault="009D3363" w:rsidP="009D3363">
      <w:pPr>
        <w:jc w:val="both"/>
        <w:rPr>
          <w:rFonts w:cs="Times New Roman"/>
        </w:rPr>
      </w:pPr>
      <w:r w:rsidRPr="003A1632">
        <w:rPr>
          <w:rFonts w:cs="Times New Roman"/>
        </w:rPr>
        <w:t xml:space="preserve">Celem działania jest wprowadzenie systemu wspierania projektów przedsiębiorstw w drugiej fazie rozwoju, które osiągnęły znaczny poziom zaawansowania i które oferują produkty cyfrowe i/lub świadczących e-usługi, poprzez powołanie stałego instrumentu finansowania rozwoju i ekspansji przedsiębiorstw. Faza zalążkowa i inkubacji tego typu przedsiębiorstw wspierana będzie bezpośrednio na poziomie regionalnym. Wsparcie mogli przeznaczone będzie również dla również przedsiębiorców, którzy opracowali projekt wdrożenia innowacyjnych rozwiązań w ramach </w:t>
      </w:r>
      <w:proofErr w:type="spellStart"/>
      <w:r>
        <w:rPr>
          <w:rFonts w:cs="Times New Roman"/>
        </w:rPr>
        <w:t>p</w:t>
      </w:r>
      <w:r w:rsidRPr="003A1632">
        <w:rPr>
          <w:rFonts w:cs="Times New Roman"/>
        </w:rPr>
        <w:t>roject</w:t>
      </w:r>
      <w:proofErr w:type="spellEnd"/>
      <w:r w:rsidRPr="003A1632">
        <w:rPr>
          <w:rFonts w:cs="Times New Roman"/>
        </w:rPr>
        <w:t xml:space="preserve"> </w:t>
      </w:r>
      <w:proofErr w:type="spellStart"/>
      <w:r w:rsidRPr="003A1632">
        <w:rPr>
          <w:rFonts w:cs="Times New Roman"/>
        </w:rPr>
        <w:t>pipeline</w:t>
      </w:r>
      <w:proofErr w:type="spellEnd"/>
      <w:r w:rsidRPr="003A1632">
        <w:rPr>
          <w:rFonts w:cs="Times New Roman"/>
        </w:rPr>
        <w:t xml:space="preserve"> w ramach Priorytetu 1 i uzyskały rekomendację </w:t>
      </w:r>
      <w:r>
        <w:rPr>
          <w:rFonts w:cs="Times New Roman"/>
        </w:rPr>
        <w:t>do dofinansowania inwestycji.</w:t>
      </w:r>
    </w:p>
    <w:p w:rsidR="009D3363" w:rsidRPr="003A1632" w:rsidRDefault="009D3363" w:rsidP="009D3363">
      <w:pPr>
        <w:jc w:val="both"/>
        <w:rPr>
          <w:rFonts w:cs="Times New Roman"/>
        </w:rPr>
      </w:pPr>
      <w:r w:rsidRPr="003A1632">
        <w:rPr>
          <w:rFonts w:cs="Times New Roman"/>
        </w:rPr>
        <w:t xml:space="preserve">Finansowanie wprowadzania najnowocześniejszych rozwiązań i rozwoju firm działających </w:t>
      </w:r>
      <w:r>
        <w:rPr>
          <w:rFonts w:cs="Times New Roman"/>
        </w:rPr>
        <w:br/>
      </w:r>
      <w:r w:rsidRPr="003A1632">
        <w:rPr>
          <w:rFonts w:cs="Times New Roman"/>
        </w:rPr>
        <w:t xml:space="preserve">z wykorzystaniem technologii cyfrowych nadal obarczone jest wysokim ryzykiem, zatem kluczowym elementem wyboru projektów podlegających dofinansowaniu powinny być aspekty biznesowe, </w:t>
      </w:r>
      <w:r w:rsidRPr="003A1632">
        <w:rPr>
          <w:rFonts w:cs="Times New Roman"/>
        </w:rPr>
        <w:lastRenderedPageBreak/>
        <w:t>potencjał rozwojowy, a także dotychczasowe zaangażowanie właścicieli przedsiębiorstwa w rozwój produktu/usługi i marki. Ponadto istotne znaczenie powinno mieć zastosowanie autorskich rozwiązań bazujących na wysoko specjalistycznej wiedzy osób zaangażowanych w projekt.</w:t>
      </w:r>
    </w:p>
    <w:p w:rsidR="009D3363" w:rsidRPr="003A1632" w:rsidRDefault="009D3363" w:rsidP="009D3363">
      <w:pPr>
        <w:jc w:val="both"/>
        <w:rPr>
          <w:rFonts w:cs="Times New Roman"/>
        </w:rPr>
      </w:pPr>
      <w:r w:rsidRPr="003A1632">
        <w:rPr>
          <w:rFonts w:cs="Times New Roman"/>
        </w:rPr>
        <w:t xml:space="preserve">W ramach priorytetu przewiduje się uruchomienie projektu systemowego, ukierunkowanego na współpracę z beneficjentami i na rzecz potencjalnych beneficjentów w celu osiągnięcia </w:t>
      </w:r>
      <w:r>
        <w:rPr>
          <w:rFonts w:cs="Times New Roman"/>
        </w:rPr>
        <w:br/>
      </w:r>
      <w:r w:rsidRPr="003A1632">
        <w:rPr>
          <w:rFonts w:cs="Times New Roman"/>
        </w:rPr>
        <w:t>i spotęgowania celów społeczno-gospodarczych przypisanych poszczególnych schematom interwencji. Projekt ten będzie pełnić również rolę punktu kontaktowego, kojarzącego przedsiębiorców (zarówno z kraju, jak i zagranicy), skłonnych do rozpoczęcia wspólnych inwestycji.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D3363" w:rsidRPr="003A1632" w:rsidTr="00381F1A">
        <w:tc>
          <w:tcPr>
            <w:tcW w:w="9212" w:type="dxa"/>
          </w:tcPr>
          <w:p w:rsidR="009D3363" w:rsidRPr="003A1632" w:rsidRDefault="009D3363" w:rsidP="00381F1A">
            <w:pPr>
              <w:pStyle w:val="Bezodstpw"/>
              <w:spacing w:before="120" w:line="276" w:lineRule="auto"/>
              <w:jc w:val="both"/>
              <w:rPr>
                <w:rStyle w:val="hps"/>
                <w:b/>
                <w:bCs/>
              </w:rPr>
            </w:pPr>
            <w:r w:rsidRPr="003A1632">
              <w:rPr>
                <w:rStyle w:val="hps"/>
                <w:b/>
                <w:bCs/>
              </w:rPr>
              <w:t>Działanie kluczowe 1:</w:t>
            </w:r>
            <w:r w:rsidRPr="003A1632">
              <w:rPr>
                <w:rStyle w:val="hps"/>
              </w:rPr>
              <w:t xml:space="preserve">  </w:t>
            </w:r>
            <w:r w:rsidRPr="003A1632">
              <w:rPr>
                <w:rStyle w:val="hps"/>
                <w:b/>
                <w:bCs/>
              </w:rPr>
              <w:t>E-lider – wsparcie działalności oraz ekspansja rynkowa przedsiębiorstw oferujących e-usługi i produkty cyfrowe</w:t>
            </w:r>
          </w:p>
          <w:p w:rsidR="009D3363" w:rsidRPr="003A1632" w:rsidRDefault="009D3363" w:rsidP="00381F1A">
            <w:pPr>
              <w:spacing w:after="0"/>
              <w:jc w:val="both"/>
              <w:rPr>
                <w:rFonts w:cs="Times New Roman"/>
              </w:rPr>
            </w:pPr>
          </w:p>
          <w:p w:rsidR="009D3363" w:rsidRPr="003F5937" w:rsidRDefault="009D3363" w:rsidP="00381F1A">
            <w:pPr>
              <w:pStyle w:val="Akapitzlist"/>
              <w:spacing w:after="0"/>
              <w:ind w:left="0"/>
              <w:contextualSpacing/>
              <w:jc w:val="both"/>
              <w:rPr>
                <w:b/>
              </w:rPr>
            </w:pPr>
            <w:r w:rsidRPr="003F5937">
              <w:rPr>
                <w:b/>
              </w:rPr>
              <w:t>Krótki opis:</w:t>
            </w:r>
          </w:p>
          <w:p w:rsidR="009D3363" w:rsidRPr="003A1632" w:rsidRDefault="009D3363" w:rsidP="00381F1A">
            <w:pPr>
              <w:spacing w:after="0"/>
              <w:jc w:val="both"/>
              <w:rPr>
                <w:rFonts w:cs="Times New Roman"/>
              </w:rPr>
            </w:pPr>
          </w:p>
          <w:p w:rsidR="009D3363" w:rsidRPr="003A1632" w:rsidRDefault="009D3363" w:rsidP="00381F1A">
            <w:pPr>
              <w:spacing w:after="0"/>
              <w:jc w:val="both"/>
              <w:rPr>
                <w:rFonts w:cs="Times New Roman"/>
              </w:rPr>
            </w:pPr>
            <w:r w:rsidRPr="003A1632">
              <w:rPr>
                <w:rFonts w:cs="Times New Roman"/>
              </w:rPr>
              <w:t xml:space="preserve">Preferowane </w:t>
            </w:r>
            <w:r>
              <w:rPr>
                <w:rFonts w:cs="Times New Roman"/>
              </w:rPr>
              <w:t>będą</w:t>
            </w:r>
            <w:r w:rsidRPr="003A1632">
              <w:rPr>
                <w:rFonts w:cs="Times New Roman"/>
              </w:rPr>
              <w:t xml:space="preserve"> podmioty, których celem jest ekspansja w oparciu o najnowocześniejsze rozwiązania cyfrowe, w szczególności ukierunkowana na rynki zagraniczne, a także te, które przygotowały plan wdrożenia w ramach </w:t>
            </w:r>
            <w:proofErr w:type="spellStart"/>
            <w:r>
              <w:rPr>
                <w:rFonts w:cs="Times New Roman"/>
              </w:rPr>
              <w:t>p</w:t>
            </w:r>
            <w:r w:rsidRPr="003A1632">
              <w:rPr>
                <w:rFonts w:cs="Times New Roman"/>
              </w:rPr>
              <w:t>roject</w:t>
            </w:r>
            <w:proofErr w:type="spellEnd"/>
            <w:r w:rsidRPr="003A1632">
              <w:rPr>
                <w:rFonts w:cs="Times New Roman"/>
              </w:rPr>
              <w:t xml:space="preserve"> </w:t>
            </w:r>
            <w:proofErr w:type="spellStart"/>
            <w:r w:rsidRPr="003A1632">
              <w:rPr>
                <w:rFonts w:cs="Times New Roman"/>
              </w:rPr>
              <w:t>pipeline</w:t>
            </w:r>
            <w:proofErr w:type="spellEnd"/>
            <w:r w:rsidRPr="003A1632">
              <w:rPr>
                <w:rFonts w:cs="Times New Roman"/>
              </w:rPr>
              <w:t xml:space="preserve"> w działaniu </w:t>
            </w:r>
            <w:r>
              <w:rPr>
                <w:rFonts w:cs="Times New Roman"/>
              </w:rPr>
              <w:t>3</w:t>
            </w:r>
            <w:r w:rsidRPr="003A1632">
              <w:rPr>
                <w:rFonts w:cs="Times New Roman"/>
              </w:rPr>
              <w:t xml:space="preserve">.1 PO PC. </w:t>
            </w:r>
          </w:p>
          <w:p w:rsidR="009D3363" w:rsidRPr="003A1632" w:rsidRDefault="009D3363" w:rsidP="00381F1A">
            <w:pPr>
              <w:spacing w:after="0"/>
              <w:jc w:val="both"/>
              <w:rPr>
                <w:rFonts w:cs="Times New Roman"/>
              </w:rPr>
            </w:pPr>
            <w:r w:rsidRPr="003A1632">
              <w:rPr>
                <w:rFonts w:cs="Times New Roman"/>
              </w:rPr>
              <w:t xml:space="preserve">Program e-lider będzie funkcjonować w formule funduszu pożyczkowego, w którym przedsiębiorstwo mogłoby uzyskać długoterminową, nieoprocentowaną pożyczkę na realizację projektu. Kwota pożyczki powinna pozostawać w kontrolowanych proporcjach względem kapitałów własnych spółki. Ponadto uruchomiony zostanie fundusz dotacyjny na umorzenie części pożyczki </w:t>
            </w:r>
            <w:r>
              <w:rPr>
                <w:rFonts w:cs="Times New Roman"/>
              </w:rPr>
              <w:br/>
            </w:r>
            <w:r w:rsidRPr="003A1632">
              <w:rPr>
                <w:rFonts w:cs="Times New Roman"/>
              </w:rPr>
              <w:t>w przypadku osiągnięcia premiowanych celów programu. Zakres projektu powinien być uzależniony od potrzeb beneficjenta i umożliwiać wsparcie w części niezbędnej do osiągnięcia sukcesu.</w:t>
            </w:r>
          </w:p>
          <w:p w:rsidR="009D3363" w:rsidRPr="003A1632" w:rsidRDefault="009D3363" w:rsidP="00381F1A">
            <w:pPr>
              <w:spacing w:after="0"/>
              <w:jc w:val="both"/>
              <w:rPr>
                <w:rFonts w:cs="Times New Roman"/>
              </w:rPr>
            </w:pPr>
          </w:p>
          <w:p w:rsidR="009D3363" w:rsidRPr="003A1632" w:rsidRDefault="009D3363" w:rsidP="00381F1A">
            <w:pPr>
              <w:keepNext/>
              <w:spacing w:after="0"/>
              <w:jc w:val="both"/>
              <w:rPr>
                <w:rFonts w:cs="Times New Roman"/>
              </w:rPr>
            </w:pPr>
            <w:r w:rsidRPr="003A1632">
              <w:rPr>
                <w:rFonts w:cs="Times New Roman"/>
              </w:rPr>
              <w:t>Cele interwencji:</w:t>
            </w:r>
          </w:p>
          <w:p w:rsidR="009D3363" w:rsidRPr="003A1632" w:rsidRDefault="009D3363" w:rsidP="009D3363">
            <w:pPr>
              <w:pStyle w:val="Akapitzlist"/>
              <w:numPr>
                <w:ilvl w:val="0"/>
                <w:numId w:val="5"/>
              </w:numPr>
              <w:spacing w:before="120" w:after="0"/>
              <w:contextualSpacing/>
              <w:jc w:val="both"/>
            </w:pPr>
            <w:r w:rsidRPr="003A1632">
              <w:t>Budowa trwałych i rozbudowanych relacji biznesowych pomiędzy beneficjentami programu e-lider a przedsiębiorcami działającymi na zagranicznych rynkach docelowych.</w:t>
            </w:r>
          </w:p>
          <w:p w:rsidR="009D3363" w:rsidRPr="003A1632" w:rsidRDefault="009D3363" w:rsidP="009D3363">
            <w:pPr>
              <w:pStyle w:val="Akapitzlist"/>
              <w:numPr>
                <w:ilvl w:val="0"/>
                <w:numId w:val="5"/>
              </w:numPr>
              <w:spacing w:before="120" w:after="0"/>
              <w:contextualSpacing/>
              <w:jc w:val="both"/>
            </w:pPr>
            <w:r w:rsidRPr="003A1632">
              <w:t xml:space="preserve">Wdrożenie zaawansowanych technologii cyfrowych zgodnie ze scenariuszem wypracowanych w ramach </w:t>
            </w:r>
            <w:proofErr w:type="spellStart"/>
            <w:r>
              <w:t>p</w:t>
            </w:r>
            <w:r w:rsidRPr="003A1632">
              <w:t>roject</w:t>
            </w:r>
            <w:proofErr w:type="spellEnd"/>
            <w:r w:rsidRPr="003A1632">
              <w:t xml:space="preserve"> </w:t>
            </w:r>
            <w:proofErr w:type="spellStart"/>
            <w:r>
              <w:t>p</w:t>
            </w:r>
            <w:r w:rsidRPr="003A1632">
              <w:t>ipeline</w:t>
            </w:r>
            <w:proofErr w:type="spellEnd"/>
            <w:r w:rsidRPr="003A1632">
              <w:t>.</w:t>
            </w:r>
          </w:p>
          <w:p w:rsidR="009D3363" w:rsidRPr="003A1632" w:rsidRDefault="009D3363" w:rsidP="009D3363">
            <w:pPr>
              <w:pStyle w:val="Akapitzlist"/>
              <w:numPr>
                <w:ilvl w:val="0"/>
                <w:numId w:val="5"/>
              </w:numPr>
              <w:spacing w:before="120" w:after="0"/>
              <w:contextualSpacing/>
              <w:jc w:val="both"/>
            </w:pPr>
            <w:r w:rsidRPr="003A1632">
              <w:t>Budowanie pozytywnego wizerunku i marki polskich e-usług i produktów cyfrowych na rynkach zagranicznych, w tym promocja przedsiębiorstw beneficjentów oraz wdrażanych rozwiązań,</w:t>
            </w:r>
          </w:p>
          <w:p w:rsidR="009D3363" w:rsidRPr="003A1632" w:rsidRDefault="009D3363" w:rsidP="009D3363">
            <w:pPr>
              <w:pStyle w:val="Akapitzlist"/>
              <w:numPr>
                <w:ilvl w:val="0"/>
                <w:numId w:val="5"/>
              </w:numPr>
              <w:spacing w:before="120" w:after="0"/>
              <w:contextualSpacing/>
              <w:jc w:val="both"/>
            </w:pPr>
            <w:r w:rsidRPr="003A1632">
              <w:t>Utworzenie w oparciu o beneficjentów programu sieci ambasadorów  i promotorów krajowego e-biznesu na rynkach zagranicznych.</w:t>
            </w:r>
          </w:p>
          <w:p w:rsidR="009D3363" w:rsidRPr="003A1632" w:rsidRDefault="009D3363" w:rsidP="009D3363">
            <w:pPr>
              <w:pStyle w:val="Akapitzlist"/>
              <w:numPr>
                <w:ilvl w:val="0"/>
                <w:numId w:val="5"/>
              </w:numPr>
              <w:spacing w:before="120" w:after="0"/>
              <w:contextualSpacing/>
              <w:jc w:val="both"/>
            </w:pPr>
            <w:r w:rsidRPr="003A1632">
              <w:t>Transfer najlepszych praktyk zaczerpniętych przez beneficjentów z rynków zagranicznych na krajowy rynek usług elektronicznych.</w:t>
            </w:r>
          </w:p>
          <w:p w:rsidR="009D3363" w:rsidRPr="003A1632" w:rsidRDefault="009D3363" w:rsidP="009D3363">
            <w:pPr>
              <w:pStyle w:val="Akapitzlist"/>
              <w:numPr>
                <w:ilvl w:val="0"/>
                <w:numId w:val="5"/>
              </w:numPr>
              <w:spacing w:before="120" w:after="0"/>
              <w:contextualSpacing/>
              <w:jc w:val="both"/>
            </w:pPr>
            <w:r w:rsidRPr="003A1632">
              <w:t>Uruchomienie stabilnego systemu finansowania rozwoju przedsiębiorstw e-usługowych pozwalającego zachować kontrolę nad kapitałem spółki.</w:t>
            </w:r>
          </w:p>
          <w:p w:rsidR="009D3363" w:rsidRPr="003A1632" w:rsidRDefault="009D3363" w:rsidP="009D3363">
            <w:pPr>
              <w:pStyle w:val="Akapitzlist"/>
              <w:numPr>
                <w:ilvl w:val="0"/>
                <w:numId w:val="5"/>
              </w:numPr>
              <w:spacing w:before="120" w:after="0"/>
              <w:contextualSpacing/>
              <w:jc w:val="both"/>
            </w:pPr>
            <w:r w:rsidRPr="003A1632">
              <w:t>Budowa krajowego portfela wysokowartościowych praw własności intelektualnej w sferze IT i powołanie aliansu w celu wykorzystania tych praw do obrony interesu polskich przedsiębiorstw na arenie międzynarodowej.</w:t>
            </w:r>
          </w:p>
          <w:p w:rsidR="009D3363" w:rsidRPr="003A1632" w:rsidRDefault="009D3363" w:rsidP="009D3363">
            <w:pPr>
              <w:pStyle w:val="Akapitzlist"/>
              <w:numPr>
                <w:ilvl w:val="0"/>
                <w:numId w:val="5"/>
              </w:numPr>
              <w:spacing w:before="120" w:after="0"/>
              <w:contextualSpacing/>
              <w:jc w:val="both"/>
            </w:pPr>
            <w:r w:rsidRPr="003A1632">
              <w:t>Kojarzenie partnerów dla zintegrowanych projektów, dla których realizacji współpraca gospodarcza jest niezbędna lub stanowi znaczną wartość dodaną;</w:t>
            </w:r>
          </w:p>
          <w:p w:rsidR="009D3363" w:rsidRDefault="009D3363" w:rsidP="00381F1A">
            <w:pPr>
              <w:pStyle w:val="Akapitzlist"/>
              <w:ind w:left="0"/>
            </w:pPr>
          </w:p>
          <w:p w:rsidR="009D3363" w:rsidRPr="003A1632" w:rsidRDefault="009D3363" w:rsidP="00381F1A">
            <w:pPr>
              <w:pStyle w:val="Akapitzlist"/>
              <w:ind w:left="0"/>
              <w:rPr>
                <w:rFonts w:cs="Times New Roman"/>
                <w:lang w:eastAsia="pl-PL"/>
              </w:rPr>
            </w:pPr>
            <w:r w:rsidRPr="003F5937">
              <w:rPr>
                <w:b/>
                <w:lang w:eastAsia="pl-PL"/>
              </w:rPr>
              <w:t>Wkład dla osiągania celu szczegółowego</w:t>
            </w:r>
            <w:r w:rsidRPr="003A1632">
              <w:rPr>
                <w:lang w:eastAsia="pl-PL"/>
              </w:rPr>
              <w:t xml:space="preserve"> </w:t>
            </w:r>
          </w:p>
          <w:p w:rsidR="009D3363" w:rsidRPr="003A1632" w:rsidRDefault="009D3363" w:rsidP="00381F1A">
            <w:pPr>
              <w:pStyle w:val="Akapitzlist"/>
              <w:spacing w:before="120" w:after="0"/>
              <w:ind w:left="284"/>
              <w:jc w:val="both"/>
            </w:pPr>
            <w:r w:rsidRPr="003A1632">
              <w:rPr>
                <w:lang w:eastAsia="pl-PL"/>
              </w:rPr>
              <w:t>Celem wsparcia będzie trwałe umocnienie pozycji konkurencyjnej przedsiębiorstwa, zapewnienie długofalowego rozwoju poprzez pozyskanie kapitału i ekspansję na nowych</w:t>
            </w:r>
            <w:r w:rsidRPr="003A1632">
              <w:t xml:space="preserve"> rynkach zbytu. Podstawą dla wzmocnienia pozycji konkurencyjnej powinno być wdrożenie nowoczesnych rozwiązań cyfrowych.</w:t>
            </w:r>
          </w:p>
          <w:p w:rsidR="009D3363" w:rsidRPr="003A1632" w:rsidRDefault="009D3363" w:rsidP="00381F1A">
            <w:pPr>
              <w:pStyle w:val="Akapitzlist"/>
              <w:spacing w:before="120" w:after="0"/>
              <w:ind w:left="0"/>
              <w:jc w:val="both"/>
            </w:pPr>
            <w:r>
              <w:rPr>
                <w:b/>
              </w:rPr>
              <w:t>Z</w:t>
            </w:r>
            <w:r w:rsidRPr="003F5937">
              <w:rPr>
                <w:b/>
              </w:rPr>
              <w:t>asady wyboru projektów</w:t>
            </w:r>
            <w:r w:rsidRPr="003A1632">
              <w:t xml:space="preserve"> </w:t>
            </w:r>
          </w:p>
          <w:p w:rsidR="009D3363" w:rsidRPr="003A1632" w:rsidRDefault="009D3363" w:rsidP="00381F1A">
            <w:pPr>
              <w:pStyle w:val="Akapitzlist"/>
              <w:spacing w:before="120" w:after="0"/>
              <w:ind w:left="284"/>
              <w:jc w:val="both"/>
            </w:pPr>
            <w:r w:rsidRPr="003A1632">
              <w:t xml:space="preserve">Projekty wybierane w trybie konkursowym, oraz w projekty rekomendowane po wsparciu </w:t>
            </w:r>
            <w:r>
              <w:br/>
            </w:r>
            <w:r w:rsidRPr="003A1632">
              <w:t>w priorytecie 4.1 (systematycznie aktualizowana lista projektów kluczowych)</w:t>
            </w:r>
          </w:p>
          <w:p w:rsidR="009D3363" w:rsidRPr="003A1632" w:rsidRDefault="009D3363" w:rsidP="00381F1A">
            <w:pPr>
              <w:pStyle w:val="Akapitzlist"/>
              <w:spacing w:before="120" w:after="0"/>
              <w:ind w:left="0"/>
              <w:jc w:val="both"/>
            </w:pPr>
            <w:r>
              <w:rPr>
                <w:b/>
              </w:rPr>
              <w:t>G</w:t>
            </w:r>
            <w:r w:rsidRPr="003F5937">
              <w:rPr>
                <w:b/>
              </w:rPr>
              <w:t>rupy beneficjentów</w:t>
            </w:r>
            <w:r w:rsidRPr="003A1632">
              <w:t xml:space="preserve">, </w:t>
            </w:r>
          </w:p>
          <w:p w:rsidR="009D3363" w:rsidRPr="003A1632" w:rsidRDefault="009D3363" w:rsidP="00381F1A">
            <w:pPr>
              <w:pStyle w:val="Akapitzlist"/>
              <w:spacing w:before="120" w:after="0"/>
              <w:ind w:left="0"/>
              <w:jc w:val="both"/>
            </w:pPr>
            <w:r>
              <w:t>Przedsiębiorca działający samodzielnie lub w konsorcjum, w tym konsorcjum z jednostką naukową zapewniającą obsługę ekspercką naboru wniosków, jednostka sektora finansów publicznych wybrany w trybie konkursowym, na podstawie oceny potencjału technicznego i kadrowego.</w:t>
            </w:r>
          </w:p>
          <w:p w:rsidR="009D3363" w:rsidRPr="003A1632" w:rsidRDefault="009D3363" w:rsidP="00381F1A">
            <w:pPr>
              <w:pStyle w:val="Akapitzlist"/>
              <w:spacing w:before="120" w:after="0"/>
              <w:ind w:left="284"/>
              <w:jc w:val="both"/>
            </w:pPr>
            <w:r>
              <w:t xml:space="preserve">Beneficjenci ostateczni: </w:t>
            </w:r>
            <w:r w:rsidRPr="003A1632">
              <w:t xml:space="preserve">przedsiębiorcy, działający samodzielnie lub w konsorcjach </w:t>
            </w:r>
            <w:r>
              <w:br/>
            </w:r>
            <w:r w:rsidRPr="003A1632">
              <w:t>w szczególności mikro, mali i średni.</w:t>
            </w:r>
          </w:p>
          <w:p w:rsidR="009D3363" w:rsidRPr="003A1632" w:rsidRDefault="009D3363" w:rsidP="00381F1A">
            <w:pPr>
              <w:pStyle w:val="Akapitzlist"/>
              <w:spacing w:before="120" w:after="0"/>
              <w:ind w:left="0"/>
              <w:jc w:val="both"/>
            </w:pPr>
            <w:r w:rsidRPr="003F5937">
              <w:rPr>
                <w:b/>
              </w:rPr>
              <w:t>Brak ukierunkowania terytorialnego</w:t>
            </w:r>
            <w:r w:rsidRPr="003A1632">
              <w:t xml:space="preserve"> </w:t>
            </w:r>
          </w:p>
          <w:p w:rsidR="009D3363" w:rsidRPr="003A1632" w:rsidRDefault="009D3363" w:rsidP="00381F1A">
            <w:pPr>
              <w:pStyle w:val="Akapitzlist"/>
              <w:spacing w:before="120" w:after="0"/>
              <w:ind w:left="0"/>
              <w:jc w:val="both"/>
            </w:pPr>
            <w:r w:rsidRPr="003F5937">
              <w:rPr>
                <w:b/>
              </w:rPr>
              <w:t>Zastosowane zwrotne i bezzwrotne instrumenty finansowe</w:t>
            </w:r>
            <w:r w:rsidRPr="003A1632">
              <w:t>. Wskazane wprowadzenie warunkowego umorzenia w przypadku osiągnięcia określonych wskaźników.</w:t>
            </w:r>
          </w:p>
          <w:p w:rsidR="009D3363" w:rsidRPr="003A1632" w:rsidRDefault="009D3363" w:rsidP="00381F1A">
            <w:pPr>
              <w:pStyle w:val="Akapitzlist"/>
              <w:spacing w:before="120" w:after="0"/>
              <w:ind w:left="0"/>
              <w:jc w:val="both"/>
            </w:pPr>
            <w:r w:rsidRPr="003F5937">
              <w:rPr>
                <w:b/>
              </w:rPr>
              <w:t>Nie są planowane duże projekty</w:t>
            </w:r>
            <w:r w:rsidRPr="003A1632">
              <w:t xml:space="preserve"> (powyżej 50 mln euro), </w:t>
            </w:r>
          </w:p>
          <w:p w:rsidR="009D3363" w:rsidRPr="003A1632" w:rsidRDefault="009D3363" w:rsidP="00381F1A">
            <w:pPr>
              <w:pStyle w:val="Akapitzlist"/>
              <w:spacing w:before="120" w:after="0"/>
              <w:ind w:left="0"/>
              <w:jc w:val="both"/>
              <w:rPr>
                <w:rStyle w:val="hps"/>
              </w:rPr>
            </w:pPr>
            <w:r w:rsidRPr="003F5937">
              <w:rPr>
                <w:b/>
              </w:rPr>
              <w:t>Występuje pomoc publiczna</w:t>
            </w:r>
          </w:p>
        </w:tc>
      </w:tr>
    </w:tbl>
    <w:p w:rsidR="007A7716" w:rsidRDefault="007A7716"/>
    <w:sectPr w:rsidR="007A7716" w:rsidSect="007A77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3CC" w:rsidRDefault="00D253CC" w:rsidP="009D3363">
      <w:pPr>
        <w:spacing w:after="0" w:line="240" w:lineRule="auto"/>
      </w:pPr>
      <w:r>
        <w:separator/>
      </w:r>
    </w:p>
  </w:endnote>
  <w:endnote w:type="continuationSeparator" w:id="0">
    <w:p w:rsidR="00D253CC" w:rsidRDefault="00D253CC" w:rsidP="009D3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3CC" w:rsidRDefault="00D253CC" w:rsidP="009D3363">
      <w:pPr>
        <w:spacing w:after="0" w:line="240" w:lineRule="auto"/>
      </w:pPr>
      <w:r>
        <w:separator/>
      </w:r>
    </w:p>
  </w:footnote>
  <w:footnote w:type="continuationSeparator" w:id="0">
    <w:p w:rsidR="00D253CC" w:rsidRDefault="00D253CC" w:rsidP="009D3363">
      <w:pPr>
        <w:spacing w:after="0" w:line="240" w:lineRule="auto"/>
      </w:pPr>
      <w:r>
        <w:continuationSeparator/>
      </w:r>
    </w:p>
  </w:footnote>
  <w:footnote w:id="1">
    <w:p w:rsidR="009D3363" w:rsidRDefault="009D3363" w:rsidP="009D3363">
      <w:pPr>
        <w:pStyle w:val="Tekstprzypisudolnego"/>
        <w:jc w:val="both"/>
      </w:pPr>
      <w:r>
        <w:rPr>
          <w:rStyle w:val="Odwoanieprzypisudolnego"/>
        </w:rPr>
        <w:footnoteRef/>
      </w:r>
      <w:r>
        <w:t xml:space="preserve"> Technologie wschodzące – technologie, które znajdują się na etapie dalekim od handlowego wykorzystania, ale mogą stanowić znaczną siłę, jeśli dojdzie do ich wdrożenia (Innowacje i sygnały do zmian”, Elżbieta Wojnicka, </w:t>
      </w:r>
      <w:proofErr w:type="spellStart"/>
      <w:r>
        <w:t>WSIiZ</w:t>
      </w:r>
      <w:proofErr w:type="spellEnd"/>
      <w:r>
        <w:t xml:space="preserve"> Rzeszów</w:t>
      </w:r>
    </w:p>
  </w:footnote>
  <w:footnote w:id="2">
    <w:p w:rsidR="009D3363" w:rsidRPr="00C0096B" w:rsidRDefault="009D3363" w:rsidP="009D3363">
      <w:pPr>
        <w:autoSpaceDE w:val="0"/>
        <w:autoSpaceDN w:val="0"/>
        <w:adjustRightInd w:val="0"/>
        <w:spacing w:after="0" w:line="240" w:lineRule="auto"/>
        <w:rPr>
          <w:rFonts w:cs="Times New Roman"/>
          <w:sz w:val="20"/>
          <w:szCs w:val="20"/>
          <w:lang/>
        </w:rPr>
      </w:pPr>
      <w:r w:rsidRPr="00C0096B">
        <w:rPr>
          <w:rStyle w:val="Odwoanieprzypisudolnego"/>
          <w:lang/>
        </w:rPr>
        <w:footnoteRef/>
      </w:r>
      <w:r w:rsidRPr="00C0096B">
        <w:rPr>
          <w:rStyle w:val="Odwoanieprzypisudolnego"/>
          <w:lang/>
        </w:rPr>
        <w:t xml:space="preserve"> </w:t>
      </w:r>
      <w:r w:rsidRPr="00C0096B">
        <w:rPr>
          <w:rFonts w:cs="Times New Roman"/>
          <w:sz w:val="20"/>
          <w:szCs w:val="20"/>
          <w:lang/>
        </w:rPr>
        <w:t xml:space="preserve">Technologie kroczące – jest to nowy zestaw technologii, które są obecnie w trakcie wyznaczania reguł gry na rynku, ale nie są jeszcze objęte prawem własności ani powszechne. Elżbieta Wojnicka, </w:t>
      </w:r>
      <w:proofErr w:type="spellStart"/>
      <w:r w:rsidRPr="00C0096B">
        <w:rPr>
          <w:rFonts w:cs="Times New Roman"/>
          <w:sz w:val="20"/>
          <w:szCs w:val="20"/>
          <w:lang/>
        </w:rPr>
        <w:t>WSIiZ</w:t>
      </w:r>
      <w:proofErr w:type="spellEnd"/>
      <w:r w:rsidRPr="00C0096B">
        <w:rPr>
          <w:rFonts w:cs="Times New Roman"/>
          <w:sz w:val="20"/>
          <w:szCs w:val="20"/>
          <w:lang/>
        </w:rPr>
        <w:t xml:space="preserve"> Rzeszów</w:t>
      </w:r>
    </w:p>
  </w:footnote>
  <w:footnote w:id="3">
    <w:p w:rsidR="009D3363" w:rsidRDefault="009D3363" w:rsidP="009D3363">
      <w:pPr>
        <w:pStyle w:val="Tekstprzypisudolnego"/>
      </w:pPr>
      <w:r>
        <w:rPr>
          <w:rStyle w:val="Odwoanieprzypisudolnego"/>
        </w:rPr>
        <w:footnoteRef/>
      </w:r>
      <w:r>
        <w:t xml:space="preserve"> Projekt „Programu Rozwoju Przedsiębiorstw do 2020 r.” ze stycznia 2013 r.</w:t>
      </w:r>
    </w:p>
  </w:footnote>
  <w:footnote w:id="4">
    <w:p w:rsidR="009D3363" w:rsidRDefault="009D3363" w:rsidP="009D3363">
      <w:pPr>
        <w:pStyle w:val="Tekstprzypisudolnego"/>
        <w:jc w:val="both"/>
      </w:pPr>
      <w:r>
        <w:rPr>
          <w:rStyle w:val="Odwoanieprzypisudolnego"/>
        </w:rPr>
        <w:footnoteRef/>
      </w:r>
      <w:r>
        <w:t xml:space="preserve"> Technologie wschodzące – technologie, które znajdują się na etapie dalekim od handlowego wykorzystania, ale mogą stanowić znaczną siłę, jeśli dojdzie do ich wdrożenia (Innowacje i sygnały do zmian”, Elżbieta Wojnicka, </w:t>
      </w:r>
      <w:proofErr w:type="spellStart"/>
      <w:r>
        <w:t>WSIiZ</w:t>
      </w:r>
      <w:proofErr w:type="spellEnd"/>
      <w:r>
        <w:t xml:space="preserve"> Rzeszów</w:t>
      </w:r>
    </w:p>
  </w:footnote>
  <w:footnote w:id="5">
    <w:p w:rsidR="009D3363" w:rsidRPr="00C0096B" w:rsidRDefault="009D3363" w:rsidP="009D3363">
      <w:pPr>
        <w:autoSpaceDE w:val="0"/>
        <w:autoSpaceDN w:val="0"/>
        <w:adjustRightInd w:val="0"/>
        <w:spacing w:after="0" w:line="240" w:lineRule="auto"/>
        <w:rPr>
          <w:rFonts w:cs="Times New Roman"/>
          <w:sz w:val="20"/>
          <w:szCs w:val="20"/>
          <w:lang/>
        </w:rPr>
      </w:pPr>
      <w:r w:rsidRPr="00C0096B">
        <w:rPr>
          <w:rStyle w:val="Odwoanieprzypisudolnego"/>
          <w:lang/>
        </w:rPr>
        <w:footnoteRef/>
      </w:r>
      <w:r w:rsidRPr="00C0096B">
        <w:rPr>
          <w:rStyle w:val="Odwoanieprzypisudolnego"/>
          <w:lang/>
        </w:rPr>
        <w:t xml:space="preserve"> </w:t>
      </w:r>
      <w:r w:rsidRPr="00C0096B">
        <w:rPr>
          <w:rFonts w:cs="Times New Roman"/>
          <w:sz w:val="20"/>
          <w:szCs w:val="20"/>
          <w:lang/>
        </w:rPr>
        <w:t xml:space="preserve">Technologie kroczące – jest to nowy zestaw technologii, które są obecnie w trakcie wyznaczania reguł gry na rynku, ale nie są jeszcze objęte prawem własności ani powszechne. Elżbieta Wojnicka, </w:t>
      </w:r>
      <w:proofErr w:type="spellStart"/>
      <w:r w:rsidRPr="00C0096B">
        <w:rPr>
          <w:rFonts w:cs="Times New Roman"/>
          <w:sz w:val="20"/>
          <w:szCs w:val="20"/>
          <w:lang/>
        </w:rPr>
        <w:t>WSIiZ</w:t>
      </w:r>
      <w:proofErr w:type="spellEnd"/>
      <w:r w:rsidRPr="00C0096B">
        <w:rPr>
          <w:rFonts w:cs="Times New Roman"/>
          <w:sz w:val="20"/>
          <w:szCs w:val="20"/>
          <w:lang/>
        </w:rPr>
        <w:t xml:space="preserve"> Rzeszów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B4EA712"/>
    <w:lvl w:ilvl="0">
      <w:start w:val="1"/>
      <w:numFmt w:val="bullet"/>
      <w:lvlText w:val=""/>
      <w:lvlJc w:val="left"/>
      <w:pPr>
        <w:tabs>
          <w:tab w:val="num" w:pos="643"/>
        </w:tabs>
        <w:ind w:left="643" w:hanging="360"/>
      </w:pPr>
      <w:rPr>
        <w:rFonts w:ascii="Symbol" w:hAnsi="Symbol" w:hint="default"/>
      </w:rPr>
    </w:lvl>
  </w:abstractNum>
  <w:abstractNum w:abstractNumId="1">
    <w:nsid w:val="043632DF"/>
    <w:multiLevelType w:val="hybridMultilevel"/>
    <w:tmpl w:val="8B34BF6C"/>
    <w:lvl w:ilvl="0" w:tplc="FFFFFFFF">
      <w:start w:val="1"/>
      <w:numFmt w:val="bullet"/>
      <w:lvlText w:val="-"/>
      <w:lvlJc w:val="left"/>
      <w:pPr>
        <w:tabs>
          <w:tab w:val="num" w:pos="1068"/>
        </w:tabs>
        <w:ind w:left="1068" w:hanging="360"/>
      </w:pPr>
      <w:rPr>
        <w:rFonts w:ascii="Times New Roman" w:eastAsia="Times New Roman" w:hAnsi="Times New Roman" w:hint="default"/>
      </w:rPr>
    </w:lvl>
    <w:lvl w:ilvl="1" w:tplc="FFFFFFFF">
      <w:start w:val="1"/>
      <w:numFmt w:val="decimal"/>
      <w:pStyle w:val="Listapunktowana2"/>
      <w:lvlText w:val="%2."/>
      <w:lvlJc w:val="left"/>
      <w:pPr>
        <w:tabs>
          <w:tab w:val="num" w:pos="1440"/>
        </w:tabs>
        <w:ind w:left="1440" w:hanging="360"/>
      </w:pPr>
      <w:rPr>
        <w:rFonts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1E369FA"/>
    <w:multiLevelType w:val="hybridMultilevel"/>
    <w:tmpl w:val="61BE37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CCF4B2F"/>
    <w:multiLevelType w:val="hybridMultilevel"/>
    <w:tmpl w:val="DA662F68"/>
    <w:lvl w:ilvl="0" w:tplc="960EFE92">
      <w:start w:val="1"/>
      <w:numFmt w:val="lowerLetter"/>
      <w:pStyle w:val="Mlitera"/>
      <w:lvlText w:val="%1)"/>
      <w:lvlJc w:val="left"/>
      <w:pPr>
        <w:tabs>
          <w:tab w:val="num" w:pos="2232"/>
        </w:tabs>
        <w:ind w:left="2232" w:hanging="360"/>
      </w:pPr>
      <w:rPr>
        <w:rFonts w:cs="Times New Roman" w:hint="default"/>
      </w:rPr>
    </w:lvl>
    <w:lvl w:ilvl="1" w:tplc="EEBC424C">
      <w:start w:val="1"/>
      <w:numFmt w:val="decimal"/>
      <w:lvlText w:val="%2)"/>
      <w:lvlJc w:val="left"/>
      <w:pPr>
        <w:tabs>
          <w:tab w:val="num" w:pos="3027"/>
        </w:tabs>
        <w:ind w:left="3027" w:hanging="435"/>
      </w:pPr>
      <w:rPr>
        <w:rFonts w:cs="Times New Roman" w:hint="default"/>
      </w:rPr>
    </w:lvl>
    <w:lvl w:ilvl="2" w:tplc="0415001B">
      <w:start w:val="1"/>
      <w:numFmt w:val="lowerRoman"/>
      <w:lvlText w:val="%3."/>
      <w:lvlJc w:val="right"/>
      <w:pPr>
        <w:tabs>
          <w:tab w:val="num" w:pos="3672"/>
        </w:tabs>
        <w:ind w:left="3672" w:hanging="180"/>
      </w:pPr>
      <w:rPr>
        <w:rFonts w:cs="Times New Roman"/>
      </w:rPr>
    </w:lvl>
    <w:lvl w:ilvl="3" w:tplc="0415000F">
      <w:start w:val="1"/>
      <w:numFmt w:val="decimal"/>
      <w:lvlText w:val="%4."/>
      <w:lvlJc w:val="left"/>
      <w:pPr>
        <w:tabs>
          <w:tab w:val="num" w:pos="4392"/>
        </w:tabs>
        <w:ind w:left="4392" w:hanging="360"/>
      </w:pPr>
      <w:rPr>
        <w:rFonts w:cs="Times New Roman"/>
      </w:rPr>
    </w:lvl>
    <w:lvl w:ilvl="4" w:tplc="04150019">
      <w:start w:val="1"/>
      <w:numFmt w:val="lowerLetter"/>
      <w:lvlText w:val="%5."/>
      <w:lvlJc w:val="left"/>
      <w:pPr>
        <w:tabs>
          <w:tab w:val="num" w:pos="5112"/>
        </w:tabs>
        <w:ind w:left="5112" w:hanging="360"/>
      </w:pPr>
      <w:rPr>
        <w:rFonts w:cs="Times New Roman"/>
      </w:rPr>
    </w:lvl>
    <w:lvl w:ilvl="5" w:tplc="0415001B">
      <w:start w:val="1"/>
      <w:numFmt w:val="lowerRoman"/>
      <w:lvlText w:val="%6."/>
      <w:lvlJc w:val="right"/>
      <w:pPr>
        <w:tabs>
          <w:tab w:val="num" w:pos="5832"/>
        </w:tabs>
        <w:ind w:left="5832" w:hanging="180"/>
      </w:pPr>
      <w:rPr>
        <w:rFonts w:cs="Times New Roman"/>
      </w:rPr>
    </w:lvl>
    <w:lvl w:ilvl="6" w:tplc="0415000F">
      <w:start w:val="1"/>
      <w:numFmt w:val="decimal"/>
      <w:lvlText w:val="%7."/>
      <w:lvlJc w:val="left"/>
      <w:pPr>
        <w:tabs>
          <w:tab w:val="num" w:pos="6552"/>
        </w:tabs>
        <w:ind w:left="6552" w:hanging="360"/>
      </w:pPr>
      <w:rPr>
        <w:rFonts w:cs="Times New Roman"/>
      </w:rPr>
    </w:lvl>
    <w:lvl w:ilvl="7" w:tplc="04150019">
      <w:start w:val="1"/>
      <w:numFmt w:val="lowerLetter"/>
      <w:lvlText w:val="%8."/>
      <w:lvlJc w:val="left"/>
      <w:pPr>
        <w:tabs>
          <w:tab w:val="num" w:pos="7272"/>
        </w:tabs>
        <w:ind w:left="7272" w:hanging="360"/>
      </w:pPr>
      <w:rPr>
        <w:rFonts w:cs="Times New Roman"/>
      </w:rPr>
    </w:lvl>
    <w:lvl w:ilvl="8" w:tplc="0415001B">
      <w:start w:val="1"/>
      <w:numFmt w:val="lowerRoman"/>
      <w:lvlText w:val="%9."/>
      <w:lvlJc w:val="right"/>
      <w:pPr>
        <w:tabs>
          <w:tab w:val="num" w:pos="7992"/>
        </w:tabs>
        <w:ind w:left="7992" w:hanging="180"/>
      </w:pPr>
      <w:rPr>
        <w:rFonts w:cs="Times New Roman"/>
      </w:rPr>
    </w:lvl>
  </w:abstractNum>
  <w:abstractNum w:abstractNumId="4">
    <w:nsid w:val="2CE03B5E"/>
    <w:multiLevelType w:val="hybridMultilevel"/>
    <w:tmpl w:val="B59E15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5A7D35B4"/>
    <w:multiLevelType w:val="hybridMultilevel"/>
    <w:tmpl w:val="DE9A4D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B6D20D2"/>
    <w:multiLevelType w:val="hybridMultilevel"/>
    <w:tmpl w:val="A3126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63347E24"/>
    <w:multiLevelType w:val="hybridMultilevel"/>
    <w:tmpl w:val="E2D8194C"/>
    <w:lvl w:ilvl="0" w:tplc="8E84F4F4">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D3363"/>
    <w:rsid w:val="002653CA"/>
    <w:rsid w:val="007A7716"/>
    <w:rsid w:val="009D3363"/>
    <w:rsid w:val="00C90D9B"/>
    <w:rsid w:val="00D253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locked="1" w:uiPriority="0" w:qFormat="1"/>
    <w:lsdException w:name="heading 9" w:locked="1" w:uiPriority="0" w:qFormat="1"/>
    <w:lsdException w:name="toc 1"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363"/>
    <w:pPr>
      <w:spacing w:after="200" w:line="276" w:lineRule="auto"/>
    </w:pPr>
    <w:rPr>
      <w:rFonts w:ascii="Calibri" w:eastAsia="Calibri" w:hAnsi="Calibri" w:cs="Calibri"/>
      <w:sz w:val="22"/>
      <w:szCs w:val="22"/>
    </w:rPr>
  </w:style>
  <w:style w:type="paragraph" w:styleId="Nagwek1">
    <w:name w:val="heading 1"/>
    <w:basedOn w:val="Normalny"/>
    <w:next w:val="Normalny"/>
    <w:link w:val="Nagwek1Znak"/>
    <w:uiPriority w:val="99"/>
    <w:qFormat/>
    <w:rsid w:val="002653CA"/>
    <w:pPr>
      <w:keepNext/>
      <w:spacing w:line="480" w:lineRule="auto"/>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9"/>
    <w:qFormat/>
    <w:rsid w:val="002653CA"/>
    <w:pPr>
      <w:keepNext/>
      <w:spacing w:line="480" w:lineRule="auto"/>
      <w:outlineLvl w:val="1"/>
    </w:pPr>
    <w:rPr>
      <w:rFonts w:eastAsia="Times New Roman"/>
      <w:b/>
      <w:bCs/>
    </w:rPr>
  </w:style>
  <w:style w:type="paragraph" w:styleId="Nagwek3">
    <w:name w:val="heading 3"/>
    <w:basedOn w:val="Normalny"/>
    <w:next w:val="Normalny"/>
    <w:link w:val="Nagwek3Znak"/>
    <w:uiPriority w:val="99"/>
    <w:qFormat/>
    <w:rsid w:val="002653CA"/>
    <w:pPr>
      <w:keepNext/>
      <w:spacing w:after="120"/>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9"/>
    <w:qFormat/>
    <w:rsid w:val="002653CA"/>
    <w:pPr>
      <w:keepNext/>
      <w:outlineLvl w:val="3"/>
    </w:pPr>
    <w:rPr>
      <w:rFonts w:eastAsia="Times New Roman"/>
      <w:b/>
      <w:bCs/>
      <w:sz w:val="28"/>
      <w:szCs w:val="28"/>
    </w:rPr>
  </w:style>
  <w:style w:type="paragraph" w:styleId="Nagwek5">
    <w:name w:val="heading 5"/>
    <w:basedOn w:val="Normalny"/>
    <w:next w:val="Normalny"/>
    <w:link w:val="Nagwek5Znak"/>
    <w:uiPriority w:val="99"/>
    <w:qFormat/>
    <w:rsid w:val="002653CA"/>
    <w:pPr>
      <w:keepNext/>
      <w:spacing w:before="240" w:after="120"/>
      <w:jc w:val="both"/>
      <w:outlineLvl w:val="4"/>
    </w:pPr>
    <w:rPr>
      <w:rFonts w:eastAsia="Times New Roman"/>
      <w:b/>
      <w:bCs/>
      <w:i/>
      <w:iCs/>
      <w:sz w:val="26"/>
      <w:szCs w:val="26"/>
    </w:rPr>
  </w:style>
  <w:style w:type="paragraph" w:styleId="Nagwek6">
    <w:name w:val="heading 6"/>
    <w:basedOn w:val="Normalny"/>
    <w:next w:val="Normalny"/>
    <w:link w:val="Nagwek6Znak"/>
    <w:uiPriority w:val="99"/>
    <w:qFormat/>
    <w:rsid w:val="002653CA"/>
    <w:pPr>
      <w:keepNext/>
      <w:spacing w:line="360" w:lineRule="auto"/>
      <w:ind w:left="540" w:hanging="540"/>
      <w:jc w:val="both"/>
      <w:outlineLvl w:val="5"/>
    </w:pPr>
    <w:rPr>
      <w:rFonts w:eastAsia="Times New Roman"/>
      <w:b/>
      <w:bCs/>
      <w:sz w:val="20"/>
      <w:szCs w:val="20"/>
    </w:rPr>
  </w:style>
  <w:style w:type="paragraph" w:styleId="Nagwek7">
    <w:name w:val="heading 7"/>
    <w:basedOn w:val="Normalny"/>
    <w:next w:val="Normalny"/>
    <w:link w:val="Nagwek7Znak"/>
    <w:uiPriority w:val="99"/>
    <w:qFormat/>
    <w:rsid w:val="002653CA"/>
    <w:pPr>
      <w:keepNext/>
      <w:spacing w:before="240" w:after="120"/>
      <w:ind w:left="539" w:hanging="539"/>
      <w:jc w:val="both"/>
      <w:outlineLvl w:val="6"/>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653CA"/>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9"/>
    <w:rsid w:val="002653C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2653CA"/>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9"/>
    <w:rsid w:val="002653CA"/>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2653CA"/>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2653CA"/>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2653CA"/>
    <w:rPr>
      <w:rFonts w:ascii="Calibri" w:eastAsia="Times New Roman" w:hAnsi="Calibri" w:cs="Times New Roman"/>
      <w:sz w:val="24"/>
      <w:szCs w:val="24"/>
    </w:rPr>
  </w:style>
  <w:style w:type="paragraph" w:styleId="Spistreci2">
    <w:name w:val="toc 2"/>
    <w:basedOn w:val="Normalny"/>
    <w:next w:val="Normalny"/>
    <w:autoRedefine/>
    <w:uiPriority w:val="99"/>
    <w:rsid w:val="002653CA"/>
    <w:pPr>
      <w:ind w:left="7" w:hanging="7"/>
      <w:jc w:val="center"/>
    </w:pPr>
    <w:rPr>
      <w:rFonts w:ascii="Tahoma" w:eastAsia="Times New Roman" w:hAnsi="Tahoma" w:cs="Tahoma"/>
      <w:color w:val="990000"/>
      <w:sz w:val="20"/>
      <w:szCs w:val="20"/>
    </w:rPr>
  </w:style>
  <w:style w:type="paragraph" w:styleId="Tekstprzypisudolnego">
    <w:name w:val="footnote text"/>
    <w:aliases w:val="Podrozdział,Tekst przypisu,tekst przypisu,tekst przypisu1,tekst przypisu2,tekst przypisu3,tekst przypisu4,tekst przypisu5,tekst przypisu11,tekst przypisu21,tekst przypisu31,tekst przypisu41,tekst przypisu6,tekst przypisu12"/>
    <w:basedOn w:val="Normalny"/>
    <w:link w:val="TekstprzypisudolnegoZnak"/>
    <w:uiPriority w:val="99"/>
    <w:semiHidden/>
    <w:rsid w:val="002653CA"/>
    <w:rPr>
      <w:rFonts w:eastAsia="Times New Roman"/>
      <w:sz w:val="20"/>
      <w:szCs w:val="20"/>
    </w:rPr>
  </w:style>
  <w:style w:type="character" w:customStyle="1" w:styleId="TekstprzypisudolnegoZnak">
    <w:name w:val="Tekst przypisu dolnego Znak"/>
    <w:aliases w:val="Podrozdział Znak,Tekst przypisu Znak1,tekst przypisu Znak1,tekst przypisu1 Znak1,tekst przypisu2 Znak1,tekst przypisu3 Znak1,tekst przypisu4 Znak1,tekst przypisu5 Znak1,tekst przypisu11 Znak1,tekst przypisu21 Znak1"/>
    <w:basedOn w:val="Domylnaczcionkaakapitu"/>
    <w:link w:val="Tekstprzypisudolnego"/>
    <w:uiPriority w:val="99"/>
    <w:semiHidden/>
    <w:rsid w:val="002653CA"/>
    <w:rPr>
      <w:rFonts w:ascii="Times New Roman" w:eastAsia="Times New Roman" w:hAnsi="Times New Roman" w:cs="Times New Roman"/>
      <w:sz w:val="20"/>
      <w:szCs w:val="20"/>
    </w:rPr>
  </w:style>
  <w:style w:type="paragraph" w:styleId="Tekstkomentarza">
    <w:name w:val="annotation text"/>
    <w:aliases w:val="Znak"/>
    <w:basedOn w:val="Normalny"/>
    <w:link w:val="TekstkomentarzaZnak"/>
    <w:uiPriority w:val="99"/>
    <w:rsid w:val="002653CA"/>
    <w:rPr>
      <w:rFonts w:eastAsia="Times New Roman"/>
      <w:sz w:val="20"/>
      <w:szCs w:val="20"/>
    </w:rPr>
  </w:style>
  <w:style w:type="character" w:customStyle="1" w:styleId="TekstkomentarzaZnak">
    <w:name w:val="Tekst komentarza Znak"/>
    <w:aliases w:val="Znak Znak"/>
    <w:basedOn w:val="Domylnaczcionkaakapitu"/>
    <w:link w:val="Tekstkomentarza"/>
    <w:uiPriority w:val="99"/>
    <w:rsid w:val="002653CA"/>
    <w:rPr>
      <w:rFonts w:ascii="Times New Roman" w:eastAsia="Times New Roman" w:hAnsi="Times New Roman" w:cs="Times New Roman"/>
      <w:sz w:val="20"/>
      <w:szCs w:val="20"/>
    </w:rPr>
  </w:style>
  <w:style w:type="paragraph" w:styleId="Nagwek">
    <w:name w:val="header"/>
    <w:basedOn w:val="Normalny"/>
    <w:link w:val="NagwekZnak"/>
    <w:uiPriority w:val="99"/>
    <w:rsid w:val="002653CA"/>
    <w:pPr>
      <w:tabs>
        <w:tab w:val="center" w:pos="4536"/>
        <w:tab w:val="right" w:pos="9072"/>
      </w:tabs>
    </w:pPr>
    <w:rPr>
      <w:rFonts w:eastAsia="Times New Roman"/>
    </w:rPr>
  </w:style>
  <w:style w:type="character" w:customStyle="1" w:styleId="NagwekZnak">
    <w:name w:val="Nagłówek Znak"/>
    <w:basedOn w:val="Domylnaczcionkaakapitu"/>
    <w:link w:val="Nagwek"/>
    <w:uiPriority w:val="99"/>
    <w:rsid w:val="002653CA"/>
    <w:rPr>
      <w:rFonts w:ascii="Times New Roman" w:eastAsia="Times New Roman" w:hAnsi="Times New Roman" w:cs="Times New Roman"/>
      <w:sz w:val="24"/>
      <w:szCs w:val="24"/>
    </w:rPr>
  </w:style>
  <w:style w:type="paragraph" w:styleId="Stopka">
    <w:name w:val="footer"/>
    <w:basedOn w:val="Normalny"/>
    <w:link w:val="StopkaZnak"/>
    <w:uiPriority w:val="99"/>
    <w:rsid w:val="002653CA"/>
    <w:pPr>
      <w:tabs>
        <w:tab w:val="center" w:pos="4536"/>
        <w:tab w:val="right" w:pos="9072"/>
      </w:tabs>
    </w:pPr>
    <w:rPr>
      <w:rFonts w:eastAsia="Times New Roman"/>
    </w:rPr>
  </w:style>
  <w:style w:type="character" w:customStyle="1" w:styleId="StopkaZnak">
    <w:name w:val="Stopka Znak"/>
    <w:basedOn w:val="Domylnaczcionkaakapitu"/>
    <w:link w:val="Stopka"/>
    <w:uiPriority w:val="99"/>
    <w:rsid w:val="002653CA"/>
    <w:rPr>
      <w:rFonts w:ascii="Times New Roman" w:eastAsia="Times New Roman" w:hAnsi="Times New Roman" w:cs="Times New Roman"/>
      <w:sz w:val="24"/>
      <w:szCs w:val="24"/>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
    <w:uiPriority w:val="99"/>
    <w:semiHidden/>
    <w:rsid w:val="002653CA"/>
    <w:rPr>
      <w:rFonts w:cs="Times New Roman"/>
      <w:vertAlign w:val="superscript"/>
    </w:rPr>
  </w:style>
  <w:style w:type="character" w:styleId="Odwoaniedokomentarza">
    <w:name w:val="annotation reference"/>
    <w:uiPriority w:val="99"/>
    <w:semiHidden/>
    <w:rsid w:val="002653CA"/>
    <w:rPr>
      <w:rFonts w:cs="Times New Roman"/>
      <w:sz w:val="16"/>
      <w:szCs w:val="16"/>
    </w:rPr>
  </w:style>
  <w:style w:type="character" w:styleId="Numerstrony">
    <w:name w:val="page number"/>
    <w:uiPriority w:val="99"/>
    <w:rsid w:val="002653CA"/>
    <w:rPr>
      <w:rFonts w:cs="Times New Roman"/>
    </w:rPr>
  </w:style>
  <w:style w:type="character" w:styleId="Odwoanieprzypisukocowego">
    <w:name w:val="endnote reference"/>
    <w:uiPriority w:val="99"/>
    <w:semiHidden/>
    <w:rsid w:val="002653CA"/>
    <w:rPr>
      <w:rFonts w:cs="Times New Roman"/>
      <w:vertAlign w:val="superscript"/>
    </w:rPr>
  </w:style>
  <w:style w:type="paragraph" w:styleId="Tekstprzypisukocowego">
    <w:name w:val="endnote text"/>
    <w:basedOn w:val="Normalny"/>
    <w:link w:val="TekstprzypisukocowegoZnak"/>
    <w:uiPriority w:val="99"/>
    <w:semiHidden/>
    <w:rsid w:val="002653CA"/>
    <w:rPr>
      <w:rFonts w:eastAsia="Times New Roman"/>
      <w:sz w:val="20"/>
      <w:szCs w:val="20"/>
    </w:rPr>
  </w:style>
  <w:style w:type="character" w:customStyle="1" w:styleId="TekstprzypisukocowegoZnak">
    <w:name w:val="Tekst przypisu końcowego Znak"/>
    <w:basedOn w:val="Domylnaczcionkaakapitu"/>
    <w:link w:val="Tekstprzypisukocowego"/>
    <w:uiPriority w:val="99"/>
    <w:semiHidden/>
    <w:rsid w:val="002653CA"/>
    <w:rPr>
      <w:rFonts w:ascii="Times New Roman" w:eastAsia="Times New Roman" w:hAnsi="Times New Roman" w:cs="Times New Roman"/>
      <w:sz w:val="20"/>
      <w:szCs w:val="20"/>
    </w:rPr>
  </w:style>
  <w:style w:type="paragraph" w:styleId="Listapunktowana2">
    <w:name w:val="List Bullet 2"/>
    <w:basedOn w:val="Normalny"/>
    <w:autoRedefine/>
    <w:uiPriority w:val="99"/>
    <w:rsid w:val="002653CA"/>
    <w:pPr>
      <w:numPr>
        <w:ilvl w:val="1"/>
        <w:numId w:val="2"/>
      </w:numPr>
      <w:jc w:val="both"/>
    </w:pPr>
    <w:rPr>
      <w:rFonts w:eastAsia="Times New Roman"/>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
    <w:uiPriority w:val="99"/>
    <w:rsid w:val="002653CA"/>
    <w:pPr>
      <w:spacing w:after="120"/>
      <w:jc w:val="both"/>
    </w:pPr>
    <w:rPr>
      <w:rFonts w:eastAsia="Times New Roman"/>
    </w:rPr>
  </w:style>
  <w:style w:type="character" w:customStyle="1" w:styleId="TekstpodstawowyZnak">
    <w:name w:val="Tekst podstawowy Znak"/>
    <w:aliases w:val="bt Znak1,b Znak1,Tekst podstawowy Znak Znak Znak Znak Znak Znak Znak Znak Znak1,block style Znak1,aga Znak1,Tekst podstawowyG Znak1,szaro Znak1,wypunktowanie Znak1,Tekst podstawowy-bold Znak1,numerowany Znak1,b1 Znak1,(F2) Znak"/>
    <w:basedOn w:val="Domylnaczcionkaakapitu"/>
    <w:link w:val="Tekstpodstawowy"/>
    <w:uiPriority w:val="99"/>
    <w:rsid w:val="002653CA"/>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2653CA"/>
    <w:pPr>
      <w:spacing w:after="120" w:line="480" w:lineRule="auto"/>
    </w:pPr>
    <w:rPr>
      <w:rFonts w:eastAsia="Times New Roman"/>
    </w:rPr>
  </w:style>
  <w:style w:type="character" w:customStyle="1" w:styleId="Tekstpodstawowy2Znak">
    <w:name w:val="Tekst podstawowy 2 Znak"/>
    <w:basedOn w:val="Domylnaczcionkaakapitu"/>
    <w:link w:val="Tekstpodstawowy2"/>
    <w:uiPriority w:val="99"/>
    <w:rsid w:val="002653CA"/>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rsid w:val="002653CA"/>
    <w:pPr>
      <w:jc w:val="both"/>
    </w:pPr>
    <w:rPr>
      <w:rFonts w:eastAsia="Times New Roman"/>
      <w:sz w:val="16"/>
      <w:szCs w:val="16"/>
    </w:rPr>
  </w:style>
  <w:style w:type="character" w:customStyle="1" w:styleId="Tekstpodstawowy3Znak">
    <w:name w:val="Tekst podstawowy 3 Znak"/>
    <w:basedOn w:val="Domylnaczcionkaakapitu"/>
    <w:link w:val="Tekstpodstawowy3"/>
    <w:uiPriority w:val="99"/>
    <w:rsid w:val="002653CA"/>
    <w:rPr>
      <w:rFonts w:ascii="Times New Roman" w:eastAsia="Times New Roman" w:hAnsi="Times New Roman" w:cs="Times New Roman"/>
      <w:sz w:val="16"/>
      <w:szCs w:val="16"/>
    </w:rPr>
  </w:style>
  <w:style w:type="paragraph" w:styleId="Tekstpodstawowywcity3">
    <w:name w:val="Body Text Indent 3"/>
    <w:basedOn w:val="Normalny"/>
    <w:link w:val="Tekstpodstawowywcity3Znak"/>
    <w:uiPriority w:val="99"/>
    <w:rsid w:val="002653CA"/>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uiPriority w:val="99"/>
    <w:rsid w:val="002653CA"/>
    <w:rPr>
      <w:rFonts w:ascii="Times New Roman" w:eastAsia="Times New Roman" w:hAnsi="Times New Roman" w:cs="Times New Roman"/>
      <w:sz w:val="16"/>
      <w:szCs w:val="16"/>
    </w:rPr>
  </w:style>
  <w:style w:type="character" w:styleId="Hipercze">
    <w:name w:val="Hyperlink"/>
    <w:uiPriority w:val="99"/>
    <w:rsid w:val="002653CA"/>
    <w:rPr>
      <w:rFonts w:cs="Times New Roman"/>
      <w:color w:val="0000FF"/>
      <w:u w:val="single"/>
    </w:rPr>
  </w:style>
  <w:style w:type="character" w:styleId="UyteHipercze">
    <w:name w:val="FollowedHyperlink"/>
    <w:uiPriority w:val="99"/>
    <w:rsid w:val="002653CA"/>
    <w:rPr>
      <w:rFonts w:cs="Times New Roman"/>
      <w:color w:val="800080"/>
      <w:u w:val="single"/>
    </w:rPr>
  </w:style>
  <w:style w:type="paragraph" w:customStyle="1" w:styleId="a">
    <w:uiPriority w:val="99"/>
    <w:rsid w:val="002653CA"/>
    <w:pPr>
      <w:shd w:val="clear" w:color="auto" w:fill="000080"/>
    </w:pPr>
    <w:rPr>
      <w:rFonts w:eastAsia="Times New Roman"/>
      <w:sz w:val="2"/>
      <w:szCs w:val="2"/>
    </w:rPr>
  </w:style>
  <w:style w:type="paragraph" w:styleId="Plandokumentu">
    <w:name w:val="Document Map"/>
    <w:basedOn w:val="Normalny"/>
    <w:link w:val="PlandokumentuZnak"/>
    <w:uiPriority w:val="99"/>
    <w:semiHidden/>
    <w:unhideWhenUsed/>
    <w:rsid w:val="002653CA"/>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2653CA"/>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2653CA"/>
    <w:rPr>
      <w:b/>
      <w:bCs/>
    </w:rPr>
  </w:style>
  <w:style w:type="character" w:customStyle="1" w:styleId="TematkomentarzaZnak">
    <w:name w:val="Temat komentarza Znak"/>
    <w:basedOn w:val="TekstkomentarzaZnak"/>
    <w:link w:val="Tematkomentarza"/>
    <w:uiPriority w:val="99"/>
    <w:semiHidden/>
    <w:rsid w:val="002653CA"/>
    <w:rPr>
      <w:b/>
      <w:bCs/>
    </w:rPr>
  </w:style>
  <w:style w:type="paragraph" w:styleId="Tekstdymka">
    <w:name w:val="Balloon Text"/>
    <w:basedOn w:val="Normalny"/>
    <w:link w:val="TekstdymkaZnak"/>
    <w:uiPriority w:val="99"/>
    <w:semiHidden/>
    <w:rsid w:val="002653CA"/>
    <w:rPr>
      <w:rFonts w:eastAsia="Times New Roman"/>
      <w:sz w:val="18"/>
      <w:szCs w:val="2"/>
    </w:rPr>
  </w:style>
  <w:style w:type="character" w:customStyle="1" w:styleId="TekstdymkaZnak">
    <w:name w:val="Tekst dymka Znak"/>
    <w:basedOn w:val="Domylnaczcionkaakapitu"/>
    <w:link w:val="Tekstdymka"/>
    <w:uiPriority w:val="99"/>
    <w:semiHidden/>
    <w:rsid w:val="002653CA"/>
    <w:rPr>
      <w:rFonts w:ascii="Times New Roman" w:eastAsia="Times New Roman" w:hAnsi="Times New Roman" w:cs="Times New Roman"/>
      <w:sz w:val="18"/>
      <w:szCs w:val="2"/>
    </w:rPr>
  </w:style>
  <w:style w:type="table" w:styleId="Tabela-Siatka">
    <w:name w:val="Table Grid"/>
    <w:basedOn w:val="Standardowy"/>
    <w:uiPriority w:val="99"/>
    <w:rsid w:val="002653CA"/>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nglish">
    <w:name w:val="Normalenglish"/>
    <w:basedOn w:val="Normalny"/>
    <w:autoRedefine/>
    <w:uiPriority w:val="99"/>
    <w:rsid w:val="002653CA"/>
    <w:rPr>
      <w:rFonts w:eastAsia="Times New Roman"/>
    </w:rPr>
  </w:style>
  <w:style w:type="character" w:customStyle="1" w:styleId="btZnak">
    <w:name w:val="bt Znak"/>
    <w:aliases w:val="b Znak,Tekst podstawowy Znak Znak Znak Znak Znak Znak Znak Znak Znak,block style Znak,aga Znak,Tekst podstawowyG Znak,szaro Znak,wypunktowanie Znak,Tekst podstawowy-bold Znak,numerowany Znak,b1 Znak,Tekst podstawowy Znak Znak Znak Znak Znak Zna"/>
    <w:uiPriority w:val="99"/>
    <w:rsid w:val="002653CA"/>
    <w:rPr>
      <w:rFonts w:cs="Times New Roman"/>
      <w:b/>
      <w:bCs/>
      <w:sz w:val="24"/>
      <w:szCs w:val="24"/>
    </w:rPr>
  </w:style>
  <w:style w:type="paragraph" w:customStyle="1" w:styleId="Default">
    <w:name w:val="Default"/>
    <w:rsid w:val="002653CA"/>
    <w:pPr>
      <w:autoSpaceDE w:val="0"/>
      <w:autoSpaceDN w:val="0"/>
      <w:adjustRightInd w:val="0"/>
    </w:pPr>
    <w:rPr>
      <w:rFonts w:ascii="Tahoma" w:eastAsia="Times New Roman" w:hAnsi="Tahoma" w:cs="Tahoma"/>
      <w:color w:val="000000"/>
      <w:sz w:val="24"/>
      <w:szCs w:val="24"/>
      <w:lang w:eastAsia="pl-PL"/>
    </w:rPr>
  </w:style>
  <w:style w:type="paragraph" w:customStyle="1" w:styleId="Mlitera">
    <w:name w:val="MŁ litera"/>
    <w:basedOn w:val="Normalny"/>
    <w:uiPriority w:val="99"/>
    <w:rsid w:val="002653CA"/>
    <w:pPr>
      <w:numPr>
        <w:numId w:val="3"/>
      </w:numPr>
      <w:spacing w:line="360" w:lineRule="auto"/>
      <w:jc w:val="both"/>
    </w:pPr>
    <w:rPr>
      <w:rFonts w:eastAsia="Times New Roman"/>
    </w:rPr>
  </w:style>
  <w:style w:type="paragraph" w:styleId="Akapitzlist">
    <w:name w:val="List Paragraph"/>
    <w:basedOn w:val="Normalny"/>
    <w:uiPriority w:val="99"/>
    <w:qFormat/>
    <w:rsid w:val="009D3363"/>
    <w:pPr>
      <w:ind w:left="720"/>
    </w:pPr>
  </w:style>
  <w:style w:type="character" w:customStyle="1" w:styleId="hps">
    <w:name w:val="hps"/>
    <w:basedOn w:val="Domylnaczcionkaakapitu"/>
    <w:uiPriority w:val="99"/>
    <w:rsid w:val="009D3363"/>
  </w:style>
  <w:style w:type="paragraph" w:styleId="Bezodstpw">
    <w:name w:val="No Spacing"/>
    <w:basedOn w:val="Normalny"/>
    <w:uiPriority w:val="99"/>
    <w:qFormat/>
    <w:rsid w:val="009D3363"/>
    <w:pPr>
      <w:spacing w:after="0" w:line="240" w:lineRule="auto"/>
    </w:pPr>
    <w:rPr>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2794</Words>
  <Characters>16770</Characters>
  <Application>Microsoft Office Word</Application>
  <DocSecurity>0</DocSecurity>
  <Lines>139</Lines>
  <Paragraphs>39</Paragraphs>
  <ScaleCrop>false</ScaleCrop>
  <Company>MSWiA</Company>
  <LinksUpToDate>false</LinksUpToDate>
  <CharactersWithSpaces>19525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j.bockowska</dc:creator>
  <cp:keywords/>
  <dc:description/>
  <cp:lastModifiedBy>j.bockowska</cp:lastModifiedBy>
  <cp:revision>1</cp:revision>
  <dcterms:created xsi:type="dcterms:W3CDTF">2013-02-28T12:45:00Z</dcterms:created>
  <dcterms:modified xsi:type="dcterms:W3CDTF">2013-02-28T12:46:00Z</dcterms:modified>
</cp:coreProperties>
</file>