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3CB6A" w14:textId="77777777" w:rsidR="008455C1" w:rsidRPr="001A7281" w:rsidRDefault="008455C1" w:rsidP="0064148E">
      <w:pPr>
        <w:spacing w:before="100" w:beforeAutospacing="1" w:after="100" w:afterAutospacing="1" w:line="24" w:lineRule="atLeast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1A7281">
        <w:rPr>
          <w:rFonts w:ascii="Arial" w:hAnsi="Arial" w:cs="Arial"/>
          <w:b/>
          <w:i/>
          <w:sz w:val="22"/>
          <w:szCs w:val="22"/>
        </w:rPr>
        <w:t>XVI</w:t>
      </w:r>
      <w:r w:rsidR="00B45D05" w:rsidRPr="001A7281">
        <w:rPr>
          <w:rFonts w:ascii="Arial" w:hAnsi="Arial" w:cs="Arial"/>
          <w:b/>
          <w:i/>
          <w:sz w:val="22"/>
          <w:szCs w:val="22"/>
        </w:rPr>
        <w:t>I</w:t>
      </w:r>
      <w:r w:rsidRPr="001A7281">
        <w:rPr>
          <w:rFonts w:ascii="Arial" w:hAnsi="Arial" w:cs="Arial"/>
          <w:b/>
          <w:i/>
          <w:sz w:val="22"/>
          <w:szCs w:val="22"/>
        </w:rPr>
        <w:t xml:space="preserve"> posiedzenie Grupy roboczej ds. MŚP przy KK NSRO</w:t>
      </w:r>
    </w:p>
    <w:p w14:paraId="020FA204" w14:textId="77777777" w:rsidR="008455C1" w:rsidRPr="0000498B" w:rsidRDefault="0000498B" w:rsidP="0000498B">
      <w:pPr>
        <w:spacing w:line="24" w:lineRule="atLeast"/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r w:rsidRPr="0000498B">
        <w:rPr>
          <w:rFonts w:ascii="Arial" w:hAnsi="Arial" w:cs="Arial"/>
          <w:b/>
          <w:i/>
          <w:sz w:val="22"/>
          <w:szCs w:val="22"/>
        </w:rPr>
        <w:t xml:space="preserve">9 </w:t>
      </w:r>
      <w:r w:rsidR="00B45D05" w:rsidRPr="0000498B">
        <w:rPr>
          <w:rFonts w:ascii="Arial" w:hAnsi="Arial" w:cs="Arial"/>
          <w:b/>
          <w:i/>
          <w:sz w:val="22"/>
          <w:szCs w:val="22"/>
        </w:rPr>
        <w:t xml:space="preserve">października </w:t>
      </w:r>
      <w:r w:rsidR="008455C1" w:rsidRPr="0000498B">
        <w:rPr>
          <w:rFonts w:ascii="Arial" w:hAnsi="Arial" w:cs="Arial"/>
          <w:b/>
          <w:i/>
          <w:sz w:val="22"/>
          <w:szCs w:val="22"/>
        </w:rPr>
        <w:t>2014 r.</w:t>
      </w:r>
    </w:p>
    <w:p w14:paraId="2CC71459" w14:textId="77777777" w:rsidR="00740570" w:rsidRPr="001A7281" w:rsidRDefault="00740570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6C646A35" w14:textId="77777777" w:rsidR="004542B8" w:rsidRPr="001A7281" w:rsidRDefault="004542B8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634B55DC" w14:textId="614480EB" w:rsidR="0084135B" w:rsidRPr="001A7281" w:rsidRDefault="0084135B" w:rsidP="0064148E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after="120" w:line="24" w:lineRule="atLeast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1A7281">
        <w:rPr>
          <w:rFonts w:ascii="Arial" w:hAnsi="Arial" w:cs="Arial"/>
          <w:b/>
          <w:sz w:val="22"/>
          <w:szCs w:val="22"/>
        </w:rPr>
        <w:t>Charakterystyka firm planujących korzystać ze środków unijnych w nowej perspektywie finansowej 2014-2020 na tle firm nie planujących korzystania z unijnego finansowania</w:t>
      </w:r>
      <w:r w:rsidRPr="001A7281">
        <w:rPr>
          <w:rFonts w:ascii="Arial" w:hAnsi="Arial" w:cs="Arial"/>
          <w:sz w:val="22"/>
          <w:szCs w:val="22"/>
        </w:rPr>
        <w:t xml:space="preserve"> – prezentacja wyników </w:t>
      </w:r>
      <w:r w:rsidR="00F1744A">
        <w:rPr>
          <w:rFonts w:ascii="Arial" w:hAnsi="Arial" w:cs="Arial"/>
          <w:sz w:val="22"/>
          <w:szCs w:val="22"/>
        </w:rPr>
        <w:t xml:space="preserve">badania </w:t>
      </w:r>
      <w:r w:rsidRPr="001A7281">
        <w:rPr>
          <w:rFonts w:ascii="Arial" w:hAnsi="Arial" w:cs="Arial"/>
          <w:sz w:val="22"/>
          <w:szCs w:val="22"/>
        </w:rPr>
        <w:t>„Monitoring kondycji sektora MŚP</w:t>
      </w:r>
      <w:r w:rsidR="007F49A7">
        <w:rPr>
          <w:rFonts w:ascii="Arial" w:hAnsi="Arial" w:cs="Arial"/>
          <w:sz w:val="22"/>
          <w:szCs w:val="22"/>
        </w:rPr>
        <w:t>’2014</w:t>
      </w:r>
      <w:r w:rsidRPr="001A7281">
        <w:rPr>
          <w:rFonts w:ascii="Arial" w:hAnsi="Arial" w:cs="Arial"/>
          <w:sz w:val="22"/>
          <w:szCs w:val="22"/>
        </w:rPr>
        <w:t>”</w:t>
      </w:r>
      <w:r w:rsidR="0092678A" w:rsidRPr="001A7281">
        <w:rPr>
          <w:rFonts w:ascii="Arial" w:hAnsi="Arial" w:cs="Arial"/>
          <w:sz w:val="22"/>
          <w:szCs w:val="22"/>
        </w:rPr>
        <w:t xml:space="preserve"> </w:t>
      </w:r>
      <w:r w:rsidR="007F49A7">
        <w:rPr>
          <w:rFonts w:ascii="Arial" w:hAnsi="Arial" w:cs="Arial"/>
          <w:sz w:val="22"/>
          <w:szCs w:val="22"/>
        </w:rPr>
        <w:t xml:space="preserve"> przez Przewodniczącą Grupy</w:t>
      </w:r>
    </w:p>
    <w:p w14:paraId="5C29B442" w14:textId="77777777" w:rsidR="0000498B" w:rsidRDefault="0000498B" w:rsidP="0064148E">
      <w:pPr>
        <w:spacing w:line="24" w:lineRule="atLeast"/>
        <w:jc w:val="both"/>
        <w:rPr>
          <w:rFonts w:ascii="Arial" w:hAnsi="Arial" w:cs="Arial"/>
          <w:b/>
          <w:sz w:val="22"/>
          <w:szCs w:val="22"/>
        </w:rPr>
      </w:pPr>
    </w:p>
    <w:p w14:paraId="080C9D12" w14:textId="4A2F3DBF" w:rsidR="00CC2EB3" w:rsidRDefault="00F1744A" w:rsidP="0000498B">
      <w:pPr>
        <w:spacing w:after="120"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Monitoring kondycji sektora MSP’2014 to 12. edycja  </w:t>
      </w:r>
      <w:r w:rsidR="00192727" w:rsidRPr="001A7281">
        <w:rPr>
          <w:rFonts w:ascii="Arial" w:hAnsi="Arial" w:cs="Arial"/>
          <w:sz w:val="22"/>
          <w:szCs w:val="22"/>
        </w:rPr>
        <w:t xml:space="preserve">badania </w:t>
      </w:r>
      <w:r>
        <w:rPr>
          <w:rFonts w:ascii="Arial" w:hAnsi="Arial" w:cs="Arial"/>
          <w:sz w:val="22"/>
          <w:szCs w:val="22"/>
        </w:rPr>
        <w:t xml:space="preserve">sektora mikro, małych i średnich przedsiębiorstw zrealizowana przez Konfederację Lewiatan. </w:t>
      </w:r>
      <w:r w:rsidR="00773F09">
        <w:rPr>
          <w:rFonts w:ascii="Arial" w:hAnsi="Arial" w:cs="Arial"/>
          <w:sz w:val="22"/>
          <w:szCs w:val="22"/>
        </w:rPr>
        <w:t xml:space="preserve">Badanie </w:t>
      </w:r>
      <w:r w:rsidR="0092678A" w:rsidRPr="001A7281">
        <w:rPr>
          <w:rFonts w:ascii="Arial" w:hAnsi="Arial" w:cs="Arial"/>
          <w:sz w:val="22"/>
          <w:szCs w:val="22"/>
        </w:rPr>
        <w:t xml:space="preserve">na zlecenie Lewiatana </w:t>
      </w:r>
      <w:r w:rsidR="00773F09">
        <w:rPr>
          <w:rFonts w:ascii="Arial" w:hAnsi="Arial" w:cs="Arial"/>
          <w:sz w:val="22"/>
          <w:szCs w:val="22"/>
        </w:rPr>
        <w:t>przeprowadził</w:t>
      </w:r>
      <w:r w:rsidR="00773F09" w:rsidRPr="001A7281">
        <w:rPr>
          <w:rFonts w:ascii="Arial" w:hAnsi="Arial" w:cs="Arial"/>
          <w:sz w:val="22"/>
          <w:szCs w:val="22"/>
        </w:rPr>
        <w:t xml:space="preserve"> </w:t>
      </w:r>
      <w:r w:rsidR="00192727" w:rsidRPr="001A7281">
        <w:rPr>
          <w:rFonts w:ascii="Arial" w:hAnsi="Arial" w:cs="Arial"/>
          <w:sz w:val="22"/>
          <w:szCs w:val="22"/>
        </w:rPr>
        <w:t>CBOS</w:t>
      </w:r>
      <w:r w:rsidR="00773F09">
        <w:rPr>
          <w:rFonts w:ascii="Arial" w:hAnsi="Arial" w:cs="Arial"/>
          <w:sz w:val="22"/>
          <w:szCs w:val="22"/>
        </w:rPr>
        <w:t xml:space="preserve"> na losowej próbie 11</w:t>
      </w:r>
      <w:r>
        <w:rPr>
          <w:rFonts w:ascii="Arial" w:hAnsi="Arial" w:cs="Arial"/>
          <w:sz w:val="22"/>
          <w:szCs w:val="22"/>
        </w:rPr>
        <w:t>11</w:t>
      </w:r>
      <w:r w:rsidR="00773F09">
        <w:rPr>
          <w:rFonts w:ascii="Arial" w:hAnsi="Arial" w:cs="Arial"/>
          <w:sz w:val="22"/>
          <w:szCs w:val="22"/>
        </w:rPr>
        <w:t xml:space="preserve"> MMŚP</w:t>
      </w:r>
      <w:r w:rsidR="00E40B30">
        <w:rPr>
          <w:rFonts w:ascii="Arial" w:hAnsi="Arial" w:cs="Arial"/>
          <w:sz w:val="22"/>
          <w:szCs w:val="22"/>
        </w:rPr>
        <w:t xml:space="preserve"> będących pracodawcami</w:t>
      </w:r>
      <w:r w:rsidR="00B103EE">
        <w:rPr>
          <w:rFonts w:ascii="Arial" w:hAnsi="Arial" w:cs="Arial"/>
          <w:sz w:val="22"/>
          <w:szCs w:val="22"/>
        </w:rPr>
        <w:t>.</w:t>
      </w:r>
      <w:r w:rsidR="0092678A" w:rsidRPr="001A7281">
        <w:rPr>
          <w:rFonts w:ascii="Arial" w:hAnsi="Arial" w:cs="Arial"/>
          <w:sz w:val="22"/>
          <w:szCs w:val="22"/>
        </w:rPr>
        <w:t xml:space="preserve"> </w:t>
      </w:r>
      <w:r w:rsidR="007A4124">
        <w:rPr>
          <w:rFonts w:ascii="Arial" w:hAnsi="Arial" w:cs="Arial"/>
          <w:sz w:val="22"/>
          <w:szCs w:val="22"/>
        </w:rPr>
        <w:t>Wykonanie tegorocznej edycji</w:t>
      </w:r>
      <w:r w:rsidR="0092678A" w:rsidRPr="001A7281">
        <w:rPr>
          <w:rFonts w:ascii="Arial" w:hAnsi="Arial" w:cs="Arial"/>
          <w:sz w:val="22"/>
          <w:szCs w:val="22"/>
        </w:rPr>
        <w:t xml:space="preserve"> </w:t>
      </w:r>
      <w:r w:rsidR="007A4124">
        <w:rPr>
          <w:rFonts w:ascii="Arial" w:hAnsi="Arial" w:cs="Arial"/>
          <w:sz w:val="22"/>
          <w:szCs w:val="22"/>
        </w:rPr>
        <w:t>zostało sfinansowane</w:t>
      </w:r>
      <w:r w:rsidR="00192727" w:rsidRPr="001A7281">
        <w:rPr>
          <w:rFonts w:ascii="Arial" w:hAnsi="Arial" w:cs="Arial"/>
          <w:sz w:val="22"/>
          <w:szCs w:val="22"/>
        </w:rPr>
        <w:t xml:space="preserve"> przez </w:t>
      </w:r>
      <w:r w:rsidR="00566EF8" w:rsidRPr="001A7281">
        <w:rPr>
          <w:rFonts w:ascii="Arial" w:hAnsi="Arial" w:cs="Arial"/>
          <w:sz w:val="22"/>
          <w:szCs w:val="22"/>
        </w:rPr>
        <w:t xml:space="preserve">członków Lewiatana - </w:t>
      </w:r>
      <w:r w:rsidR="00192727" w:rsidRPr="001A7281">
        <w:rPr>
          <w:rFonts w:ascii="Arial" w:hAnsi="Arial" w:cs="Arial"/>
          <w:sz w:val="22"/>
          <w:szCs w:val="22"/>
        </w:rPr>
        <w:t xml:space="preserve">Związek Polskiego Leasingu oraz PZU. </w:t>
      </w:r>
      <w:r>
        <w:rPr>
          <w:rFonts w:ascii="Arial" w:hAnsi="Arial" w:cs="Arial"/>
          <w:sz w:val="22"/>
          <w:szCs w:val="22"/>
        </w:rPr>
        <w:t>Natomiast opracowanie wyników</w:t>
      </w:r>
      <w:r w:rsidR="00EE6A44">
        <w:rPr>
          <w:rFonts w:ascii="Arial" w:hAnsi="Arial" w:cs="Arial"/>
          <w:sz w:val="22"/>
          <w:szCs w:val="22"/>
        </w:rPr>
        <w:t xml:space="preserve"> (warstwowanie, analiza, prezentacja) </w:t>
      </w:r>
      <w:r>
        <w:rPr>
          <w:rFonts w:ascii="Arial" w:hAnsi="Arial" w:cs="Arial"/>
          <w:sz w:val="22"/>
          <w:szCs w:val="22"/>
        </w:rPr>
        <w:t>badania w podziale na firmy planujące korzystanie w nowej perspektywie finansowej 2014-2020 z funduszy unijnych i firmy nie planujące korzystania z funduszy unijnych</w:t>
      </w:r>
      <w:r w:rsidR="00EE6A44">
        <w:rPr>
          <w:rFonts w:ascii="Arial" w:hAnsi="Arial" w:cs="Arial"/>
          <w:sz w:val="22"/>
          <w:szCs w:val="22"/>
        </w:rPr>
        <w:t xml:space="preserve"> zostało sfinansowane</w:t>
      </w:r>
      <w:r w:rsidR="00CC2EB3" w:rsidRPr="00CC2EB3">
        <w:rPr>
          <w:rFonts w:ascii="Arial" w:hAnsi="Arial" w:cs="Arial"/>
          <w:sz w:val="22"/>
          <w:szCs w:val="22"/>
        </w:rPr>
        <w:t xml:space="preserve"> </w:t>
      </w:r>
      <w:r w:rsidR="00CC2EB3">
        <w:rPr>
          <w:rFonts w:ascii="Arial" w:hAnsi="Arial" w:cs="Arial"/>
          <w:sz w:val="22"/>
          <w:szCs w:val="22"/>
        </w:rPr>
        <w:t xml:space="preserve">ze środków Europejskiego Funduszu Rozwoju Regionalnego w ramach Programu Operacyjnego Pomoc Techniczna. </w:t>
      </w:r>
    </w:p>
    <w:p w14:paraId="478924CB" w14:textId="5ACB4412" w:rsidR="00E40B30" w:rsidRDefault="00E40B30" w:rsidP="0000498B">
      <w:pPr>
        <w:spacing w:after="120"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posiedzeniu Grupy ds. MSP zaprezentowana została charakterystyka mikro, małych i średnich przedsiębiorstw w podziale na dwie grupy: firmy planujące korzystanie </w:t>
      </w:r>
      <w:r w:rsidR="00B103EE">
        <w:rPr>
          <w:rFonts w:ascii="Arial" w:hAnsi="Arial" w:cs="Arial"/>
          <w:sz w:val="22"/>
          <w:szCs w:val="22"/>
        </w:rPr>
        <w:t xml:space="preserve">z funduszy unijnych </w:t>
      </w:r>
      <w:r>
        <w:rPr>
          <w:rFonts w:ascii="Arial" w:hAnsi="Arial" w:cs="Arial"/>
          <w:sz w:val="22"/>
          <w:szCs w:val="22"/>
        </w:rPr>
        <w:t xml:space="preserve">w perspektywie finansowej 2014-2020 oraz firmy nie planujące </w:t>
      </w:r>
      <w:r w:rsidR="00B103EE">
        <w:rPr>
          <w:rFonts w:ascii="Arial" w:hAnsi="Arial" w:cs="Arial"/>
          <w:sz w:val="22"/>
          <w:szCs w:val="22"/>
        </w:rPr>
        <w:t xml:space="preserve">korzystania z </w:t>
      </w:r>
      <w:r>
        <w:rPr>
          <w:rFonts w:ascii="Arial" w:hAnsi="Arial" w:cs="Arial"/>
          <w:sz w:val="22"/>
          <w:szCs w:val="22"/>
        </w:rPr>
        <w:t xml:space="preserve">funduszy. </w:t>
      </w:r>
      <w:r w:rsidR="00CC2EB3">
        <w:rPr>
          <w:rFonts w:ascii="Arial" w:hAnsi="Arial" w:cs="Arial"/>
          <w:sz w:val="22"/>
          <w:szCs w:val="22"/>
        </w:rPr>
        <w:t>Analiza wykazała, że duża</w:t>
      </w:r>
      <w:r>
        <w:rPr>
          <w:rFonts w:ascii="Arial" w:hAnsi="Arial" w:cs="Arial"/>
          <w:sz w:val="22"/>
          <w:szCs w:val="22"/>
        </w:rPr>
        <w:t xml:space="preserve"> część MMŚP planujących </w:t>
      </w:r>
      <w:r w:rsidR="00B103EE">
        <w:rPr>
          <w:rFonts w:ascii="Arial" w:hAnsi="Arial" w:cs="Arial"/>
          <w:sz w:val="22"/>
          <w:szCs w:val="22"/>
        </w:rPr>
        <w:t xml:space="preserve">ubieganie się o unijne środki </w:t>
      </w:r>
      <w:r>
        <w:rPr>
          <w:rFonts w:ascii="Arial" w:hAnsi="Arial" w:cs="Arial"/>
          <w:sz w:val="22"/>
          <w:szCs w:val="22"/>
        </w:rPr>
        <w:t>(1) działa na dużych, rosnących rynkach, (2) jest innowacyjna (wszystkie typy innowacji), (3) i będzie dalej inwestować (przede wszystkim w innowacje procesowe i marketingowe), (4) uważa, że innowacje są dla ich działalności ważne, (5) rozumie potrzebę angażowania się w projekty B+R, (6) to eksporterzy.</w:t>
      </w:r>
    </w:p>
    <w:p w14:paraId="73555576" w14:textId="42FF488C" w:rsidR="00E40B30" w:rsidRDefault="00E40B30" w:rsidP="0000498B">
      <w:pPr>
        <w:spacing w:after="120"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wykazała, że przedsiębiorstwa z sektora MMŚP są przygotowane na korzystanie z planowanego w POIR finansowania projektów B+R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+I. </w:t>
      </w:r>
      <w:r w:rsidR="00D87F14">
        <w:rPr>
          <w:rFonts w:ascii="Arial" w:hAnsi="Arial" w:cs="Arial"/>
          <w:sz w:val="22"/>
          <w:szCs w:val="22"/>
        </w:rPr>
        <w:t>A także, że dzięki temu POIR tworzy szanse na podniesienie innowacyjności polskiej gospodarki.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BC8847" w14:textId="1C53812E" w:rsidR="00E40B30" w:rsidRDefault="00C757FE" w:rsidP="0000498B">
      <w:pPr>
        <w:spacing w:after="120"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Prezentacja została przekazana członkom Grupy ds. MSP.</w:t>
      </w:r>
    </w:p>
    <w:p w14:paraId="6B7FDD30" w14:textId="7B2389DC" w:rsidR="004A42E7" w:rsidRPr="001A7281" w:rsidRDefault="004A42E7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23555BB2" w14:textId="77777777" w:rsidR="0084135B" w:rsidRPr="001A7281" w:rsidRDefault="0084135B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1CAB8CD0" w14:textId="77777777" w:rsidR="0084135B" w:rsidRPr="001A7281" w:rsidRDefault="0084135B" w:rsidP="0064148E">
      <w:pPr>
        <w:pStyle w:val="Akapitzlist"/>
        <w:numPr>
          <w:ilvl w:val="0"/>
          <w:numId w:val="22"/>
        </w:numPr>
        <w:tabs>
          <w:tab w:val="clear" w:pos="720"/>
        </w:tabs>
        <w:spacing w:line="24" w:lineRule="atLeast"/>
        <w:ind w:left="426" w:hanging="426"/>
        <w:jc w:val="both"/>
        <w:rPr>
          <w:rFonts w:ascii="Arial" w:hAnsi="Arial" w:cs="Arial"/>
          <w:color w:val="808080"/>
          <w:sz w:val="22"/>
          <w:szCs w:val="22"/>
        </w:rPr>
      </w:pPr>
      <w:r w:rsidRPr="001A7281">
        <w:rPr>
          <w:rFonts w:ascii="Arial" w:hAnsi="Arial" w:cs="Arial"/>
          <w:b/>
          <w:sz w:val="22"/>
          <w:szCs w:val="22"/>
        </w:rPr>
        <w:t xml:space="preserve">Wsparcie innowacyjnych przedsiębiorstw w PO Inteligentny Rozwój i w Regionalnych Programach Operacyjnych 2014-2020: jak mobilizować przedsiębiorstwa z największym potencjałem rozwojowym, jak identyfikować najlepsze projekty, jak skutecznie odpowiedzieć na potrzeby firm, na których nam zależy? </w:t>
      </w:r>
      <w:r w:rsidRPr="001A7281">
        <w:rPr>
          <w:rFonts w:ascii="Arial" w:hAnsi="Arial" w:cs="Arial"/>
          <w:sz w:val="22"/>
          <w:szCs w:val="22"/>
        </w:rPr>
        <w:t>– wymiana pomysłów, poszukiwanie najlepszych praktyk i dyskusja uczestników spotkania</w:t>
      </w:r>
    </w:p>
    <w:p w14:paraId="7C45D689" w14:textId="77777777" w:rsidR="0084135B" w:rsidRPr="001A7281" w:rsidRDefault="0084135B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1E4430D8" w14:textId="77777777" w:rsidR="00677E6B" w:rsidRPr="009E4CF5" w:rsidRDefault="00EB5F97" w:rsidP="00E56E0E">
      <w:pPr>
        <w:spacing w:after="60" w:line="24" w:lineRule="atLeast"/>
        <w:jc w:val="both"/>
        <w:rPr>
          <w:rFonts w:ascii="Arial" w:hAnsi="Arial" w:cs="Arial"/>
          <w:bCs/>
          <w:sz w:val="22"/>
          <w:szCs w:val="22"/>
        </w:rPr>
      </w:pPr>
      <w:r w:rsidRPr="009E4CF5">
        <w:rPr>
          <w:rFonts w:ascii="Arial" w:hAnsi="Arial" w:cs="Arial"/>
          <w:sz w:val="22"/>
          <w:szCs w:val="22"/>
        </w:rPr>
        <w:t xml:space="preserve">Dyskusję rozpoczęto od przypomnienia o nowych warunkach </w:t>
      </w:r>
      <w:r w:rsidRPr="009E4CF5">
        <w:rPr>
          <w:rFonts w:ascii="Arial" w:hAnsi="Arial" w:cs="Arial"/>
          <w:bCs/>
          <w:sz w:val="22"/>
          <w:szCs w:val="22"/>
        </w:rPr>
        <w:t xml:space="preserve">udzielania wsparcia dla przedsiębiorstw w perspektywie 2014-2020, wynikających </w:t>
      </w:r>
      <w:r w:rsidR="009E4CF5" w:rsidRPr="009E4CF5">
        <w:rPr>
          <w:rFonts w:ascii="Arial" w:hAnsi="Arial" w:cs="Arial"/>
          <w:bCs/>
          <w:sz w:val="22"/>
          <w:szCs w:val="22"/>
        </w:rPr>
        <w:t xml:space="preserve">m.in. </w:t>
      </w:r>
      <w:r w:rsidRPr="009E4CF5">
        <w:rPr>
          <w:rFonts w:ascii="Arial" w:hAnsi="Arial" w:cs="Arial"/>
          <w:bCs/>
          <w:sz w:val="22"/>
          <w:szCs w:val="22"/>
        </w:rPr>
        <w:t>z zasad przyjętych na poziomie unijnym</w:t>
      </w:r>
      <w:r w:rsidR="00E56E0E">
        <w:rPr>
          <w:rFonts w:ascii="Arial" w:hAnsi="Arial" w:cs="Arial"/>
          <w:bCs/>
          <w:sz w:val="22"/>
          <w:szCs w:val="22"/>
        </w:rPr>
        <w:t>:</w:t>
      </w:r>
      <w:r w:rsidRPr="009E4CF5">
        <w:rPr>
          <w:rFonts w:ascii="Arial" w:hAnsi="Arial" w:cs="Arial"/>
          <w:bCs/>
          <w:sz w:val="22"/>
          <w:szCs w:val="22"/>
        </w:rPr>
        <w:t xml:space="preserve"> przepisów dot. pomocy publicznej oraz przepisów </w:t>
      </w:r>
      <w:r w:rsidRPr="00E56E0E">
        <w:rPr>
          <w:rFonts w:ascii="Arial" w:hAnsi="Arial" w:cs="Arial"/>
          <w:bCs/>
          <w:i/>
          <w:sz w:val="22"/>
          <w:szCs w:val="22"/>
        </w:rPr>
        <w:t>funduszowych</w:t>
      </w:r>
      <w:r w:rsidR="009E4CF5" w:rsidRPr="009E4CF5">
        <w:rPr>
          <w:rFonts w:ascii="Arial" w:hAnsi="Arial" w:cs="Arial"/>
          <w:bCs/>
          <w:sz w:val="22"/>
          <w:szCs w:val="22"/>
        </w:rPr>
        <w:t xml:space="preserve">. W tym kontekście mówiono </w:t>
      </w:r>
      <w:r w:rsidR="00844789" w:rsidRPr="009E4CF5">
        <w:rPr>
          <w:rFonts w:ascii="Arial" w:hAnsi="Arial" w:cs="Arial"/>
          <w:bCs/>
          <w:sz w:val="22"/>
          <w:szCs w:val="22"/>
        </w:rPr>
        <w:t>o:</w:t>
      </w:r>
    </w:p>
    <w:p w14:paraId="391297AD" w14:textId="77777777" w:rsidR="00677E6B" w:rsidRPr="001A7281" w:rsidRDefault="00844789" w:rsidP="0000498B">
      <w:pPr>
        <w:pStyle w:val="Akapitzlist"/>
        <w:numPr>
          <w:ilvl w:val="0"/>
          <w:numId w:val="37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>zaleceniach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 Komisji Europejskiej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E4CF5">
        <w:rPr>
          <w:rFonts w:ascii="Arial" w:hAnsi="Arial" w:cs="Arial"/>
          <w:bCs/>
          <w:sz w:val="22"/>
          <w:szCs w:val="22"/>
        </w:rPr>
        <w:t>ws</w:t>
      </w:r>
      <w:proofErr w:type="spellEnd"/>
      <w:r w:rsidR="009E4CF5">
        <w:rPr>
          <w:rFonts w:ascii="Arial" w:hAnsi="Arial" w:cs="Arial"/>
          <w:bCs/>
          <w:sz w:val="22"/>
          <w:szCs w:val="22"/>
        </w:rPr>
        <w:t xml:space="preserve"> </w:t>
      </w:r>
      <w:r w:rsidRPr="001A7281">
        <w:rPr>
          <w:rFonts w:ascii="Arial" w:hAnsi="Arial" w:cs="Arial"/>
          <w:bCs/>
          <w:sz w:val="22"/>
          <w:szCs w:val="22"/>
        </w:rPr>
        <w:t xml:space="preserve">regionalnych programów </w:t>
      </w:r>
      <w:r w:rsidR="006C1E6A" w:rsidRPr="001A7281">
        <w:rPr>
          <w:rFonts w:ascii="Arial" w:hAnsi="Arial" w:cs="Arial"/>
          <w:bCs/>
          <w:sz w:val="22"/>
          <w:szCs w:val="22"/>
        </w:rPr>
        <w:t xml:space="preserve">operacyjnych - dotyczących skoncentrowania wsparcia </w:t>
      </w:r>
      <w:r w:rsidR="009E4CF5">
        <w:rPr>
          <w:rFonts w:ascii="Arial" w:hAnsi="Arial" w:cs="Arial"/>
          <w:bCs/>
          <w:sz w:val="22"/>
          <w:szCs w:val="22"/>
        </w:rPr>
        <w:t xml:space="preserve">B+R </w:t>
      </w:r>
      <w:r w:rsidR="006C1E6A" w:rsidRPr="001A7281">
        <w:rPr>
          <w:rFonts w:ascii="Arial" w:hAnsi="Arial" w:cs="Arial"/>
          <w:bCs/>
          <w:sz w:val="22"/>
          <w:szCs w:val="22"/>
        </w:rPr>
        <w:t xml:space="preserve">na projekty </w:t>
      </w:r>
      <w:r w:rsidRPr="001A7281">
        <w:rPr>
          <w:rFonts w:ascii="Arial" w:hAnsi="Arial" w:cs="Arial"/>
          <w:bCs/>
          <w:sz w:val="22"/>
          <w:szCs w:val="22"/>
        </w:rPr>
        <w:t xml:space="preserve">małych i średnich </w:t>
      </w:r>
      <w:r w:rsidR="006C1E6A" w:rsidRPr="001A7281">
        <w:rPr>
          <w:rFonts w:ascii="Arial" w:hAnsi="Arial" w:cs="Arial"/>
          <w:bCs/>
          <w:sz w:val="22"/>
          <w:szCs w:val="22"/>
        </w:rPr>
        <w:t>przedsiębiorstw</w:t>
      </w:r>
      <w:r w:rsidR="002C027F" w:rsidRPr="001A7281">
        <w:rPr>
          <w:rFonts w:ascii="Arial" w:hAnsi="Arial" w:cs="Arial"/>
          <w:bCs/>
          <w:sz w:val="22"/>
          <w:szCs w:val="22"/>
        </w:rPr>
        <w:t>:</w:t>
      </w:r>
    </w:p>
    <w:p w14:paraId="19518D16" w14:textId="77777777" w:rsidR="00677E6B" w:rsidRPr="001A7281" w:rsidRDefault="00844789" w:rsidP="0000498B">
      <w:pPr>
        <w:pStyle w:val="Akapitzlist"/>
        <w:numPr>
          <w:ilvl w:val="0"/>
          <w:numId w:val="38"/>
        </w:numPr>
        <w:spacing w:after="60" w:line="24" w:lineRule="atLeast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wsparcie 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dużych </w:t>
      </w:r>
      <w:r w:rsidR="006C1E6A" w:rsidRPr="001A7281">
        <w:rPr>
          <w:rFonts w:ascii="Arial" w:hAnsi="Arial" w:cs="Arial"/>
          <w:bCs/>
          <w:sz w:val="22"/>
          <w:szCs w:val="22"/>
        </w:rPr>
        <w:t xml:space="preserve">firm </w:t>
      </w:r>
      <w:r w:rsidR="009E4CF5">
        <w:rPr>
          <w:rFonts w:ascii="Arial" w:hAnsi="Arial" w:cs="Arial"/>
          <w:bCs/>
          <w:sz w:val="22"/>
          <w:szCs w:val="22"/>
        </w:rPr>
        <w:t xml:space="preserve">ma być możliwe </w:t>
      </w:r>
      <w:r w:rsidR="00EB5F97" w:rsidRPr="001A7281">
        <w:rPr>
          <w:rFonts w:ascii="Arial" w:hAnsi="Arial" w:cs="Arial"/>
          <w:bCs/>
          <w:sz w:val="22"/>
          <w:szCs w:val="22"/>
        </w:rPr>
        <w:t>tylko w projektach poleg</w:t>
      </w:r>
      <w:r w:rsidR="006C1E6A" w:rsidRPr="001A7281">
        <w:rPr>
          <w:rFonts w:ascii="Arial" w:hAnsi="Arial" w:cs="Arial"/>
          <w:bCs/>
          <w:sz w:val="22"/>
          <w:szCs w:val="22"/>
        </w:rPr>
        <w:t>ających na ich współpracy z MŚP;</w:t>
      </w:r>
    </w:p>
    <w:p w14:paraId="689E322C" w14:textId="77777777" w:rsidR="00677E6B" w:rsidRPr="001A7281" w:rsidRDefault="009E4CF5" w:rsidP="0000498B">
      <w:pPr>
        <w:pStyle w:val="Akapitzlist"/>
        <w:numPr>
          <w:ilvl w:val="0"/>
          <w:numId w:val="38"/>
        </w:numPr>
        <w:spacing w:after="60" w:line="24" w:lineRule="atLeast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z drugiej strony </w:t>
      </w:r>
      <w:r w:rsidR="00E56E0E">
        <w:rPr>
          <w:rFonts w:ascii="Arial" w:hAnsi="Arial" w:cs="Arial"/>
          <w:bCs/>
          <w:sz w:val="22"/>
          <w:szCs w:val="22"/>
        </w:rPr>
        <w:t>Komisja chce ograniczyć</w:t>
      </w:r>
      <w:r w:rsidR="002C027F" w:rsidRPr="001A7281">
        <w:rPr>
          <w:rFonts w:ascii="Arial" w:hAnsi="Arial" w:cs="Arial"/>
          <w:bCs/>
          <w:sz w:val="22"/>
          <w:szCs w:val="22"/>
        </w:rPr>
        <w:t xml:space="preserve"> pomoc B+R+I na</w:t>
      </w:r>
      <w:r w:rsidR="00F428FB">
        <w:rPr>
          <w:rFonts w:ascii="Arial" w:hAnsi="Arial" w:cs="Arial"/>
          <w:bCs/>
          <w:sz w:val="22"/>
          <w:szCs w:val="22"/>
        </w:rPr>
        <w:t xml:space="preserve"> </w:t>
      </w:r>
      <w:r w:rsidR="00E56E0E">
        <w:rPr>
          <w:rFonts w:ascii="Arial" w:hAnsi="Arial" w:cs="Arial"/>
          <w:bCs/>
          <w:sz w:val="22"/>
          <w:szCs w:val="22"/>
        </w:rPr>
        <w:t xml:space="preserve">te </w:t>
      </w:r>
      <w:r w:rsidR="002C027F" w:rsidRPr="001A7281">
        <w:rPr>
          <w:rFonts w:ascii="Arial" w:hAnsi="Arial" w:cs="Arial"/>
          <w:bCs/>
          <w:sz w:val="22"/>
          <w:szCs w:val="22"/>
        </w:rPr>
        <w:t>projekty najmniejszych podmiotów, które nie wnoszą faktycznego wkładu w tw</w:t>
      </w:r>
      <w:r>
        <w:rPr>
          <w:rFonts w:ascii="Arial" w:hAnsi="Arial" w:cs="Arial"/>
          <w:bCs/>
          <w:sz w:val="22"/>
          <w:szCs w:val="22"/>
        </w:rPr>
        <w:t>orzenie innowacyjnej gospodarki</w:t>
      </w:r>
      <w:r w:rsidR="002C027F" w:rsidRPr="001A7281">
        <w:rPr>
          <w:rFonts w:ascii="Arial" w:hAnsi="Arial" w:cs="Arial"/>
          <w:bCs/>
          <w:sz w:val="22"/>
          <w:szCs w:val="22"/>
        </w:rPr>
        <w:t>;</w:t>
      </w:r>
    </w:p>
    <w:p w14:paraId="17F7B022" w14:textId="77777777" w:rsidR="00677E6B" w:rsidRPr="001A7281" w:rsidRDefault="001239BC" w:rsidP="0000498B">
      <w:pPr>
        <w:pStyle w:val="Akapitzlist"/>
        <w:numPr>
          <w:ilvl w:val="0"/>
          <w:numId w:val="37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zawartej w ogólnym rozporządzeniu </w:t>
      </w:r>
      <w:r w:rsidRPr="00A66D9B">
        <w:rPr>
          <w:rFonts w:ascii="Arial" w:hAnsi="Arial" w:cs="Arial"/>
          <w:bCs/>
          <w:sz w:val="22"/>
          <w:szCs w:val="22"/>
        </w:rPr>
        <w:t xml:space="preserve">o </w:t>
      </w:r>
      <w:proofErr w:type="spellStart"/>
      <w:r w:rsidRPr="00A66D9B">
        <w:rPr>
          <w:rFonts w:ascii="Arial" w:hAnsi="Arial" w:cs="Arial"/>
          <w:bCs/>
          <w:sz w:val="22"/>
          <w:szCs w:val="22"/>
        </w:rPr>
        <w:t>wyłączeniach</w:t>
      </w:r>
      <w:proofErr w:type="spellEnd"/>
      <w:r w:rsidRPr="00A66D9B">
        <w:rPr>
          <w:rFonts w:ascii="Arial" w:hAnsi="Arial" w:cs="Arial"/>
          <w:bCs/>
          <w:sz w:val="22"/>
          <w:szCs w:val="22"/>
        </w:rPr>
        <w:t xml:space="preserve"> blokowych definicji</w:t>
      </w:r>
      <w:r w:rsidR="00EB5F97" w:rsidRPr="00A66D9B">
        <w:rPr>
          <w:rFonts w:ascii="Arial" w:hAnsi="Arial" w:cs="Arial"/>
          <w:bCs/>
          <w:sz w:val="22"/>
          <w:szCs w:val="22"/>
        </w:rPr>
        <w:t xml:space="preserve"> </w:t>
      </w:r>
      <w:r w:rsidR="00EB5F97" w:rsidRPr="00A66D9B">
        <w:rPr>
          <w:rFonts w:ascii="Arial" w:hAnsi="Arial" w:cs="Arial"/>
          <w:bCs/>
          <w:i/>
          <w:sz w:val="22"/>
          <w:szCs w:val="22"/>
        </w:rPr>
        <w:t>skutecznej współpracy</w:t>
      </w:r>
      <w:r w:rsidR="00A66D9B">
        <w:rPr>
          <w:rFonts w:ascii="Arial" w:hAnsi="Arial" w:cs="Arial"/>
          <w:bCs/>
          <w:sz w:val="22"/>
          <w:szCs w:val="22"/>
        </w:rPr>
        <w:t xml:space="preserve">, </w:t>
      </w:r>
      <w:r w:rsidR="00E56E0E">
        <w:rPr>
          <w:rFonts w:ascii="Arial" w:hAnsi="Arial" w:cs="Arial"/>
          <w:bCs/>
          <w:sz w:val="22"/>
          <w:szCs w:val="22"/>
        </w:rPr>
        <w:t xml:space="preserve">np. </w:t>
      </w:r>
      <w:r w:rsidRPr="00A66D9B">
        <w:rPr>
          <w:rFonts w:ascii="Arial" w:hAnsi="Arial" w:cs="Arial"/>
          <w:bCs/>
          <w:sz w:val="22"/>
          <w:szCs w:val="22"/>
        </w:rPr>
        <w:t>między MŚP i d</w:t>
      </w:r>
      <w:r w:rsidRPr="001A7281">
        <w:rPr>
          <w:rFonts w:ascii="Arial" w:hAnsi="Arial" w:cs="Arial"/>
          <w:bCs/>
          <w:sz w:val="22"/>
          <w:szCs w:val="22"/>
        </w:rPr>
        <w:t xml:space="preserve">użymi przedsiębiorstwami </w:t>
      </w:r>
      <w:r w:rsidR="00316602">
        <w:rPr>
          <w:rFonts w:ascii="Arial" w:hAnsi="Arial" w:cs="Arial"/>
          <w:bCs/>
          <w:sz w:val="22"/>
          <w:szCs w:val="22"/>
        </w:rPr>
        <w:t>(zakłada m.in. współdzielenie przez strony ryzyka i wyników)</w:t>
      </w:r>
      <w:r w:rsidR="00A66D9B">
        <w:rPr>
          <w:rFonts w:ascii="Arial" w:hAnsi="Arial" w:cs="Arial"/>
          <w:bCs/>
          <w:sz w:val="22"/>
          <w:szCs w:val="22"/>
        </w:rPr>
        <w:t xml:space="preserve"> </w:t>
      </w:r>
      <w:r w:rsidRPr="001A7281">
        <w:rPr>
          <w:rFonts w:ascii="Arial" w:hAnsi="Arial" w:cs="Arial"/>
          <w:bCs/>
          <w:sz w:val="22"/>
          <w:szCs w:val="22"/>
        </w:rPr>
        <w:t xml:space="preserve">–  w przypadku </w:t>
      </w:r>
      <w:r w:rsidR="00E56E0E">
        <w:rPr>
          <w:rFonts w:ascii="Arial" w:hAnsi="Arial" w:cs="Arial"/>
          <w:bCs/>
          <w:sz w:val="22"/>
          <w:szCs w:val="22"/>
        </w:rPr>
        <w:t xml:space="preserve">takiej współpracy w ramach </w:t>
      </w:r>
      <w:r w:rsidRPr="001A7281">
        <w:rPr>
          <w:rFonts w:ascii="Arial" w:hAnsi="Arial" w:cs="Arial"/>
          <w:bCs/>
          <w:sz w:val="22"/>
          <w:szCs w:val="22"/>
        </w:rPr>
        <w:t>badań przemysłowych i eksp</w:t>
      </w:r>
      <w:r w:rsidR="00316602">
        <w:rPr>
          <w:rFonts w:ascii="Arial" w:hAnsi="Arial" w:cs="Arial"/>
          <w:bCs/>
          <w:sz w:val="22"/>
          <w:szCs w:val="22"/>
        </w:rPr>
        <w:t>erymentalnych prac rozwojowych intensywność</w:t>
      </w:r>
      <w:r w:rsidR="00316602" w:rsidRPr="001A7281">
        <w:rPr>
          <w:rFonts w:ascii="Arial" w:hAnsi="Arial" w:cs="Arial"/>
          <w:bCs/>
          <w:sz w:val="22"/>
          <w:szCs w:val="22"/>
        </w:rPr>
        <w:t xml:space="preserve"> pomocy na B+R </w:t>
      </w:r>
      <w:r w:rsidR="00316602">
        <w:rPr>
          <w:rFonts w:ascii="Arial" w:hAnsi="Arial" w:cs="Arial"/>
          <w:bCs/>
          <w:sz w:val="22"/>
          <w:szCs w:val="22"/>
        </w:rPr>
        <w:t>można zwiększyć o 15 punktów procentowych</w:t>
      </w:r>
      <w:r w:rsidRPr="001A7281">
        <w:rPr>
          <w:rFonts w:ascii="Arial" w:hAnsi="Arial" w:cs="Arial"/>
          <w:bCs/>
          <w:sz w:val="22"/>
          <w:szCs w:val="22"/>
        </w:rPr>
        <w:t>;</w:t>
      </w:r>
    </w:p>
    <w:p w14:paraId="142CBC48" w14:textId="77777777" w:rsidR="00677E6B" w:rsidRPr="001A7281" w:rsidRDefault="006C1E6A" w:rsidP="0000498B">
      <w:pPr>
        <w:pStyle w:val="Akapitzlist"/>
        <w:numPr>
          <w:ilvl w:val="0"/>
          <w:numId w:val="37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>zmi</w:t>
      </w:r>
      <w:r w:rsidR="00677E6B" w:rsidRPr="001A7281">
        <w:rPr>
          <w:rFonts w:ascii="Arial" w:hAnsi="Arial" w:cs="Arial"/>
          <w:bCs/>
          <w:sz w:val="22"/>
          <w:szCs w:val="22"/>
        </w:rPr>
        <w:t>anach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="00677E6B" w:rsidRPr="001A7281">
        <w:rPr>
          <w:rFonts w:ascii="Arial" w:hAnsi="Arial" w:cs="Arial"/>
          <w:bCs/>
          <w:sz w:val="22"/>
          <w:szCs w:val="22"/>
        </w:rPr>
        <w:t xml:space="preserve">w </w:t>
      </w:r>
      <w:r w:rsidRPr="001A7281">
        <w:rPr>
          <w:rFonts w:ascii="Arial" w:hAnsi="Arial" w:cs="Arial"/>
          <w:bCs/>
          <w:sz w:val="22"/>
          <w:szCs w:val="22"/>
        </w:rPr>
        <w:t>definicj</w:t>
      </w:r>
      <w:r w:rsidR="00677E6B" w:rsidRPr="001A7281">
        <w:rPr>
          <w:rFonts w:ascii="Arial" w:hAnsi="Arial" w:cs="Arial"/>
          <w:bCs/>
          <w:sz w:val="22"/>
          <w:szCs w:val="22"/>
        </w:rPr>
        <w:t>i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Pr="00A66D9B">
        <w:rPr>
          <w:rFonts w:ascii="Arial" w:hAnsi="Arial" w:cs="Arial"/>
          <w:bCs/>
          <w:i/>
          <w:sz w:val="22"/>
          <w:szCs w:val="22"/>
        </w:rPr>
        <w:t>badań</w:t>
      </w:r>
      <w:r w:rsidR="00EB5F97" w:rsidRPr="00A66D9B">
        <w:rPr>
          <w:rFonts w:ascii="Arial" w:hAnsi="Arial" w:cs="Arial"/>
          <w:bCs/>
          <w:i/>
          <w:sz w:val="22"/>
          <w:szCs w:val="22"/>
        </w:rPr>
        <w:t xml:space="preserve"> przemysło</w:t>
      </w:r>
      <w:r w:rsidRPr="00A66D9B">
        <w:rPr>
          <w:rFonts w:ascii="Arial" w:hAnsi="Arial" w:cs="Arial"/>
          <w:bCs/>
          <w:i/>
          <w:sz w:val="22"/>
          <w:szCs w:val="22"/>
        </w:rPr>
        <w:t>wych</w:t>
      </w:r>
      <w:r w:rsidR="00677E6B" w:rsidRPr="001A7281">
        <w:rPr>
          <w:rFonts w:ascii="Arial" w:hAnsi="Arial" w:cs="Arial"/>
          <w:bCs/>
          <w:sz w:val="22"/>
          <w:szCs w:val="22"/>
        </w:rPr>
        <w:t xml:space="preserve"> oraz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Pr="00A66D9B">
        <w:rPr>
          <w:rFonts w:ascii="Arial" w:hAnsi="Arial" w:cs="Arial"/>
          <w:bCs/>
          <w:i/>
          <w:sz w:val="22"/>
          <w:szCs w:val="22"/>
        </w:rPr>
        <w:t>eksperymentalnych prac rozwojowych</w:t>
      </w:r>
      <w:r w:rsidR="00E56E0E">
        <w:rPr>
          <w:rFonts w:ascii="Arial" w:hAnsi="Arial" w:cs="Arial"/>
          <w:bCs/>
          <w:sz w:val="22"/>
          <w:szCs w:val="22"/>
        </w:rPr>
        <w:t xml:space="preserve"> w </w:t>
      </w:r>
      <w:r w:rsidRPr="001A7281">
        <w:rPr>
          <w:rFonts w:ascii="Arial" w:hAnsi="Arial" w:cs="Arial"/>
          <w:bCs/>
          <w:sz w:val="22"/>
          <w:szCs w:val="22"/>
        </w:rPr>
        <w:t xml:space="preserve">ogólnym rozporządzeniu o </w:t>
      </w:r>
      <w:proofErr w:type="spellStart"/>
      <w:r w:rsidRPr="001A7281">
        <w:rPr>
          <w:rFonts w:ascii="Arial" w:hAnsi="Arial" w:cs="Arial"/>
          <w:bCs/>
          <w:sz w:val="22"/>
          <w:szCs w:val="22"/>
        </w:rPr>
        <w:t>wyłączeniach</w:t>
      </w:r>
      <w:proofErr w:type="spellEnd"/>
      <w:r w:rsidRPr="001A7281">
        <w:rPr>
          <w:rFonts w:ascii="Arial" w:hAnsi="Arial" w:cs="Arial"/>
          <w:bCs/>
          <w:sz w:val="22"/>
          <w:szCs w:val="22"/>
        </w:rPr>
        <w:t xml:space="preserve"> blokowych</w:t>
      </w:r>
      <w:r w:rsidR="00FE74AA">
        <w:rPr>
          <w:rFonts w:ascii="Arial" w:hAnsi="Arial" w:cs="Arial"/>
          <w:bCs/>
          <w:sz w:val="22"/>
          <w:szCs w:val="22"/>
        </w:rPr>
        <w:t xml:space="preserve"> – rozszerzenie zakresu definicji o </w:t>
      </w:r>
      <w:r w:rsidRPr="001A7281">
        <w:rPr>
          <w:rFonts w:ascii="Arial" w:hAnsi="Arial" w:cs="Arial"/>
          <w:bCs/>
          <w:sz w:val="22"/>
          <w:szCs w:val="22"/>
        </w:rPr>
        <w:t>prototypowanie;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 </w:t>
      </w:r>
    </w:p>
    <w:p w14:paraId="133FC4EA" w14:textId="338F35DA" w:rsidR="00EB5F97" w:rsidRPr="001A7281" w:rsidRDefault="002C027F" w:rsidP="00E56E0E">
      <w:pPr>
        <w:pStyle w:val="Akapitzlist"/>
        <w:numPr>
          <w:ilvl w:val="0"/>
          <w:numId w:val="37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konsekwencjach nowych przepisów dla </w:t>
      </w:r>
      <w:r w:rsidR="00E56E0E">
        <w:rPr>
          <w:rFonts w:ascii="Arial" w:hAnsi="Arial" w:cs="Arial"/>
          <w:bCs/>
          <w:sz w:val="22"/>
          <w:szCs w:val="22"/>
        </w:rPr>
        <w:t xml:space="preserve">przyszłego </w:t>
      </w:r>
      <w:r w:rsidR="00EB5F97" w:rsidRPr="001A7281">
        <w:rPr>
          <w:rFonts w:ascii="Arial" w:hAnsi="Arial" w:cs="Arial"/>
          <w:bCs/>
          <w:sz w:val="22"/>
          <w:szCs w:val="22"/>
        </w:rPr>
        <w:t>PO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="00EB5F97" w:rsidRPr="001A7281">
        <w:rPr>
          <w:rFonts w:ascii="Arial" w:hAnsi="Arial" w:cs="Arial"/>
          <w:bCs/>
          <w:sz w:val="22"/>
          <w:szCs w:val="22"/>
        </w:rPr>
        <w:t>I</w:t>
      </w:r>
      <w:r w:rsidRPr="001A7281">
        <w:rPr>
          <w:rFonts w:ascii="Arial" w:hAnsi="Arial" w:cs="Arial"/>
          <w:bCs/>
          <w:sz w:val="22"/>
          <w:szCs w:val="22"/>
        </w:rPr>
        <w:t xml:space="preserve">nteligentny </w:t>
      </w:r>
      <w:r w:rsidR="00EB5F97" w:rsidRPr="001A7281">
        <w:rPr>
          <w:rFonts w:ascii="Arial" w:hAnsi="Arial" w:cs="Arial"/>
          <w:bCs/>
          <w:sz w:val="22"/>
          <w:szCs w:val="22"/>
        </w:rPr>
        <w:t>R</w:t>
      </w:r>
      <w:r w:rsidRPr="001A7281">
        <w:rPr>
          <w:rFonts w:ascii="Arial" w:hAnsi="Arial" w:cs="Arial"/>
          <w:bCs/>
          <w:sz w:val="22"/>
          <w:szCs w:val="22"/>
        </w:rPr>
        <w:t xml:space="preserve">ozwój - 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wsparcie </w:t>
      </w:r>
      <w:r w:rsidR="00E56E0E">
        <w:rPr>
          <w:rFonts w:ascii="Arial" w:hAnsi="Arial" w:cs="Arial"/>
          <w:bCs/>
          <w:sz w:val="22"/>
          <w:szCs w:val="22"/>
        </w:rPr>
        <w:t xml:space="preserve">ma być </w:t>
      </w:r>
      <w:r w:rsidR="00A062CF">
        <w:rPr>
          <w:rFonts w:ascii="Arial" w:hAnsi="Arial" w:cs="Arial"/>
          <w:bCs/>
          <w:sz w:val="22"/>
          <w:szCs w:val="22"/>
        </w:rPr>
        <w:t xml:space="preserve">w </w:t>
      </w:r>
      <w:r w:rsidR="00E56E0E">
        <w:rPr>
          <w:rFonts w:ascii="Arial" w:hAnsi="Arial" w:cs="Arial"/>
          <w:bCs/>
          <w:sz w:val="22"/>
          <w:szCs w:val="22"/>
        </w:rPr>
        <w:t xml:space="preserve">jeszcze </w:t>
      </w:r>
      <w:r w:rsidR="00A062CF">
        <w:rPr>
          <w:rFonts w:ascii="Arial" w:hAnsi="Arial" w:cs="Arial"/>
          <w:bCs/>
          <w:sz w:val="22"/>
          <w:szCs w:val="22"/>
        </w:rPr>
        <w:t>większym zakresie</w:t>
      </w:r>
      <w:r w:rsidR="00E56E0E">
        <w:rPr>
          <w:rFonts w:ascii="Arial" w:hAnsi="Arial" w:cs="Arial"/>
          <w:bCs/>
          <w:sz w:val="22"/>
          <w:szCs w:val="22"/>
        </w:rPr>
        <w:t xml:space="preserve"> niż w PO IG 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skierowane </w:t>
      </w:r>
      <w:r w:rsidR="00E56E0E">
        <w:rPr>
          <w:rFonts w:ascii="Arial" w:hAnsi="Arial" w:cs="Arial"/>
          <w:bCs/>
          <w:sz w:val="22"/>
          <w:szCs w:val="22"/>
        </w:rPr>
        <w:t xml:space="preserve">do 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MSP, udzielane w </w:t>
      </w:r>
      <w:r w:rsidRPr="001A7281">
        <w:rPr>
          <w:rFonts w:ascii="Arial" w:hAnsi="Arial" w:cs="Arial"/>
          <w:bCs/>
          <w:sz w:val="22"/>
          <w:szCs w:val="22"/>
        </w:rPr>
        <w:t xml:space="preserve">ramach inteligentnych specjalizacji </w:t>
      </w:r>
      <w:r w:rsidR="00EB5F97" w:rsidRPr="001A7281">
        <w:rPr>
          <w:rFonts w:ascii="Arial" w:hAnsi="Arial" w:cs="Arial"/>
          <w:bCs/>
          <w:sz w:val="22"/>
          <w:szCs w:val="22"/>
        </w:rPr>
        <w:t>krajowych albo regionalnych (</w:t>
      </w:r>
      <w:r w:rsidRPr="001A7281">
        <w:rPr>
          <w:rFonts w:ascii="Arial" w:hAnsi="Arial" w:cs="Arial"/>
          <w:bCs/>
          <w:sz w:val="22"/>
          <w:szCs w:val="22"/>
        </w:rPr>
        <w:t>w tym zakresie trwają ustalenia</w:t>
      </w:r>
      <w:r w:rsidR="00EB5F97" w:rsidRPr="001A7281">
        <w:rPr>
          <w:rFonts w:ascii="Arial" w:hAnsi="Arial" w:cs="Arial"/>
          <w:bCs/>
          <w:sz w:val="22"/>
          <w:szCs w:val="22"/>
        </w:rPr>
        <w:t xml:space="preserve">), głównie </w:t>
      </w:r>
      <w:r w:rsidRPr="001A7281">
        <w:rPr>
          <w:rFonts w:ascii="Arial" w:hAnsi="Arial" w:cs="Arial"/>
          <w:bCs/>
          <w:sz w:val="22"/>
          <w:szCs w:val="22"/>
        </w:rPr>
        <w:t>na projekty badawczo-rozwojowe;</w:t>
      </w:r>
    </w:p>
    <w:p w14:paraId="107205AD" w14:textId="77777777" w:rsidR="00B85625" w:rsidRPr="00D876E4" w:rsidRDefault="004C037E" w:rsidP="0064148E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Zauważono, że </w:t>
      </w:r>
      <w:r w:rsidR="00E56E0E">
        <w:rPr>
          <w:rFonts w:ascii="Arial" w:hAnsi="Arial" w:cs="Arial"/>
          <w:bCs/>
          <w:sz w:val="22"/>
          <w:szCs w:val="22"/>
        </w:rPr>
        <w:t xml:space="preserve">część </w:t>
      </w:r>
      <w:r>
        <w:rPr>
          <w:rFonts w:ascii="Arial" w:hAnsi="Arial" w:cs="Arial"/>
          <w:bCs/>
          <w:sz w:val="22"/>
          <w:szCs w:val="22"/>
        </w:rPr>
        <w:t xml:space="preserve">wchodzących w życie zmian może prowadzić do mniejszej niż dotychczas absorpcji środków po stronie przedsiębiorstw, szczególnie jeśli chodzi o projekty wysoko innowacyjne oraz badawczo-rozwojowe. </w:t>
      </w:r>
      <w:r w:rsidR="00E56E0E">
        <w:rPr>
          <w:rFonts w:ascii="Arial" w:hAnsi="Arial" w:cs="Arial"/>
          <w:bCs/>
          <w:sz w:val="22"/>
          <w:szCs w:val="22"/>
        </w:rPr>
        <w:t xml:space="preserve">Z tego powodu </w:t>
      </w:r>
      <w:r w:rsidR="005E5F38">
        <w:rPr>
          <w:rFonts w:ascii="Arial" w:hAnsi="Arial" w:cs="Arial"/>
          <w:bCs/>
          <w:sz w:val="22"/>
          <w:szCs w:val="22"/>
        </w:rPr>
        <w:t xml:space="preserve">tym bardziej istotne </w:t>
      </w:r>
      <w:r>
        <w:rPr>
          <w:rFonts w:ascii="Arial" w:hAnsi="Arial" w:cs="Arial"/>
          <w:bCs/>
          <w:sz w:val="22"/>
          <w:szCs w:val="22"/>
        </w:rPr>
        <w:t xml:space="preserve">staje się </w:t>
      </w:r>
      <w:r w:rsidRPr="00D876E4">
        <w:rPr>
          <w:rFonts w:ascii="Arial" w:hAnsi="Arial" w:cs="Arial"/>
          <w:sz w:val="22"/>
          <w:szCs w:val="22"/>
        </w:rPr>
        <w:t xml:space="preserve">przygotowanie takiego systemu wdrażania </w:t>
      </w:r>
      <w:r w:rsidR="00B85625" w:rsidRPr="00D876E4">
        <w:rPr>
          <w:rFonts w:ascii="Arial" w:hAnsi="Arial" w:cs="Arial"/>
          <w:sz w:val="22"/>
          <w:szCs w:val="22"/>
        </w:rPr>
        <w:t xml:space="preserve">funduszy </w:t>
      </w:r>
      <w:r w:rsidR="00D876E4">
        <w:rPr>
          <w:rFonts w:ascii="Arial" w:hAnsi="Arial" w:cs="Arial"/>
          <w:sz w:val="22"/>
          <w:szCs w:val="22"/>
        </w:rPr>
        <w:t>UE</w:t>
      </w:r>
      <w:r w:rsidRPr="00D876E4">
        <w:rPr>
          <w:rFonts w:ascii="Arial" w:hAnsi="Arial" w:cs="Arial"/>
          <w:sz w:val="22"/>
          <w:szCs w:val="22"/>
        </w:rPr>
        <w:t xml:space="preserve">, </w:t>
      </w:r>
      <w:r w:rsidR="00D876E4">
        <w:rPr>
          <w:rFonts w:ascii="Arial" w:hAnsi="Arial" w:cs="Arial"/>
          <w:sz w:val="22"/>
          <w:szCs w:val="22"/>
        </w:rPr>
        <w:t>który</w:t>
      </w:r>
      <w:r w:rsidR="00B85625" w:rsidRPr="00D876E4">
        <w:rPr>
          <w:rFonts w:ascii="Arial" w:hAnsi="Arial" w:cs="Arial"/>
          <w:sz w:val="22"/>
          <w:szCs w:val="22"/>
        </w:rPr>
        <w:t xml:space="preserve"> </w:t>
      </w:r>
      <w:r w:rsidR="00D876E4" w:rsidRPr="00D876E4">
        <w:rPr>
          <w:rFonts w:ascii="Arial" w:hAnsi="Arial" w:cs="Arial"/>
          <w:sz w:val="22"/>
          <w:szCs w:val="22"/>
        </w:rPr>
        <w:t>skuteczniej niż dotychczas</w:t>
      </w:r>
      <w:r w:rsidR="00D876E4">
        <w:rPr>
          <w:rFonts w:ascii="Arial" w:hAnsi="Arial" w:cs="Arial"/>
          <w:sz w:val="22"/>
          <w:szCs w:val="22"/>
        </w:rPr>
        <w:t xml:space="preserve"> zmobilizuje i wesprze </w:t>
      </w:r>
      <w:r w:rsidR="00B85625" w:rsidRPr="00D876E4">
        <w:rPr>
          <w:rFonts w:ascii="Arial" w:hAnsi="Arial" w:cs="Arial"/>
          <w:sz w:val="22"/>
          <w:szCs w:val="22"/>
        </w:rPr>
        <w:t>przedsiębiorstw</w:t>
      </w:r>
      <w:r w:rsidR="00D876E4">
        <w:rPr>
          <w:rFonts w:ascii="Arial" w:hAnsi="Arial" w:cs="Arial"/>
          <w:sz w:val="22"/>
          <w:szCs w:val="22"/>
        </w:rPr>
        <w:t>a</w:t>
      </w:r>
      <w:r w:rsidR="00B85625" w:rsidRPr="00D876E4">
        <w:rPr>
          <w:rFonts w:ascii="Arial" w:hAnsi="Arial" w:cs="Arial"/>
          <w:sz w:val="22"/>
          <w:szCs w:val="22"/>
        </w:rPr>
        <w:t xml:space="preserve"> o największym potencjale rozwojowy</w:t>
      </w:r>
      <w:r w:rsidR="00D876E4">
        <w:rPr>
          <w:rFonts w:ascii="Arial" w:hAnsi="Arial" w:cs="Arial"/>
          <w:sz w:val="22"/>
          <w:szCs w:val="22"/>
        </w:rPr>
        <w:t>m</w:t>
      </w:r>
      <w:r w:rsidR="00D876E4" w:rsidRPr="00D876E4">
        <w:rPr>
          <w:rFonts w:ascii="Arial" w:hAnsi="Arial" w:cs="Arial"/>
          <w:sz w:val="22"/>
          <w:szCs w:val="22"/>
        </w:rPr>
        <w:t>.</w:t>
      </w:r>
    </w:p>
    <w:p w14:paraId="015067F6" w14:textId="77777777" w:rsidR="00D876E4" w:rsidRPr="005E5F38" w:rsidRDefault="00D876E4" w:rsidP="0064148E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14:paraId="04B0FEFE" w14:textId="77777777" w:rsidR="00B85625" w:rsidRPr="000329E2" w:rsidRDefault="000329E2" w:rsidP="00162558">
      <w:pPr>
        <w:spacing w:after="120" w:line="24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posiedzenia dyskutowali o dotychczasowych doświadczeniach we wdrażaniu środków, jak i potrzebnych zmianach, koncentrując uwagę</w:t>
      </w:r>
      <w:r w:rsidR="00B85625" w:rsidRPr="000329E2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 xml:space="preserve"> następujących </w:t>
      </w:r>
      <w:r w:rsidR="00821271" w:rsidRPr="000329E2">
        <w:rPr>
          <w:rFonts w:ascii="Arial" w:hAnsi="Arial" w:cs="Arial"/>
          <w:bCs/>
          <w:sz w:val="22"/>
          <w:szCs w:val="22"/>
        </w:rPr>
        <w:t>element</w:t>
      </w:r>
      <w:r>
        <w:rPr>
          <w:rFonts w:ascii="Arial" w:hAnsi="Arial" w:cs="Arial"/>
          <w:bCs/>
          <w:sz w:val="22"/>
          <w:szCs w:val="22"/>
        </w:rPr>
        <w:t>ach</w:t>
      </w:r>
      <w:r w:rsidR="00677E6B" w:rsidRPr="000329E2">
        <w:rPr>
          <w:rFonts w:ascii="Arial" w:hAnsi="Arial" w:cs="Arial"/>
          <w:bCs/>
          <w:sz w:val="22"/>
          <w:szCs w:val="22"/>
        </w:rPr>
        <w:t>:</w:t>
      </w:r>
      <w:r w:rsidR="00B85625" w:rsidRPr="000329E2">
        <w:rPr>
          <w:rFonts w:ascii="Arial" w:hAnsi="Arial" w:cs="Arial"/>
          <w:bCs/>
          <w:sz w:val="22"/>
          <w:szCs w:val="22"/>
        </w:rPr>
        <w:t xml:space="preserve"> </w:t>
      </w:r>
    </w:p>
    <w:p w14:paraId="153319B7" w14:textId="1811AE49" w:rsidR="000329E2" w:rsidRDefault="00A062CF" w:rsidP="00162558">
      <w:pPr>
        <w:pStyle w:val="Akapitzlist"/>
        <w:numPr>
          <w:ilvl w:val="0"/>
          <w:numId w:val="46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konieczności poprawy </w:t>
      </w:r>
      <w:r w:rsidR="000329E2">
        <w:rPr>
          <w:rFonts w:ascii="Arial" w:hAnsi="Arial" w:cs="Arial"/>
          <w:bCs/>
          <w:sz w:val="22"/>
          <w:szCs w:val="22"/>
        </w:rPr>
        <w:t>jakoś</w:t>
      </w:r>
      <w:r>
        <w:rPr>
          <w:rFonts w:ascii="Arial" w:hAnsi="Arial" w:cs="Arial"/>
          <w:bCs/>
          <w:sz w:val="22"/>
          <w:szCs w:val="22"/>
        </w:rPr>
        <w:t>ci</w:t>
      </w:r>
      <w:r w:rsidR="000329E2">
        <w:rPr>
          <w:rFonts w:ascii="Arial" w:hAnsi="Arial" w:cs="Arial"/>
          <w:bCs/>
          <w:sz w:val="22"/>
          <w:szCs w:val="22"/>
        </w:rPr>
        <w:t xml:space="preserve"> </w:t>
      </w:r>
      <w:r w:rsidR="00621C68">
        <w:rPr>
          <w:rFonts w:ascii="Arial" w:hAnsi="Arial" w:cs="Arial"/>
          <w:bCs/>
          <w:sz w:val="22"/>
          <w:szCs w:val="22"/>
        </w:rPr>
        <w:t xml:space="preserve">oceny wniosków przez </w:t>
      </w:r>
      <w:r w:rsidR="00B85625" w:rsidRPr="000329E2">
        <w:rPr>
          <w:rFonts w:ascii="Arial" w:hAnsi="Arial" w:cs="Arial"/>
          <w:bCs/>
          <w:sz w:val="22"/>
          <w:szCs w:val="22"/>
        </w:rPr>
        <w:t>ekspertów</w:t>
      </w:r>
      <w:r w:rsidR="000329E2">
        <w:rPr>
          <w:rFonts w:ascii="Arial" w:hAnsi="Arial" w:cs="Arial"/>
          <w:bCs/>
          <w:sz w:val="22"/>
          <w:szCs w:val="22"/>
        </w:rPr>
        <w:t>,</w:t>
      </w:r>
    </w:p>
    <w:p w14:paraId="646E2C5F" w14:textId="3B838F9A" w:rsidR="000329E2" w:rsidRDefault="000329E2" w:rsidP="00162558">
      <w:pPr>
        <w:pStyle w:val="Akapitzlist"/>
        <w:numPr>
          <w:ilvl w:val="0"/>
          <w:numId w:val="46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eliminacj</w:t>
      </w:r>
      <w:r w:rsidR="00A062CF">
        <w:rPr>
          <w:rFonts w:ascii="Arial" w:hAnsi="Arial" w:cs="Arial"/>
          <w:bCs/>
          <w:sz w:val="22"/>
          <w:szCs w:val="22"/>
        </w:rPr>
        <w:t>i</w:t>
      </w:r>
      <w:r w:rsidR="00B81A55">
        <w:rPr>
          <w:rFonts w:ascii="Arial" w:hAnsi="Arial" w:cs="Arial"/>
          <w:bCs/>
          <w:sz w:val="22"/>
          <w:szCs w:val="22"/>
        </w:rPr>
        <w:t xml:space="preserve"> </w:t>
      </w:r>
      <w:r w:rsidR="00900FE3" w:rsidRPr="000329E2">
        <w:rPr>
          <w:rFonts w:ascii="Arial" w:hAnsi="Arial" w:cs="Arial"/>
          <w:bCs/>
          <w:sz w:val="22"/>
          <w:szCs w:val="22"/>
        </w:rPr>
        <w:t xml:space="preserve">zbędnych </w:t>
      </w:r>
      <w:r w:rsidR="00821271" w:rsidRPr="000329E2">
        <w:rPr>
          <w:rFonts w:ascii="Arial" w:hAnsi="Arial" w:cs="Arial"/>
          <w:bCs/>
          <w:sz w:val="22"/>
          <w:szCs w:val="22"/>
        </w:rPr>
        <w:t xml:space="preserve">kryteriów, nie </w:t>
      </w:r>
      <w:r w:rsidR="00900FE3">
        <w:rPr>
          <w:rFonts w:ascii="Arial" w:hAnsi="Arial" w:cs="Arial"/>
          <w:bCs/>
          <w:sz w:val="22"/>
          <w:szCs w:val="22"/>
        </w:rPr>
        <w:t xml:space="preserve">dotyczących </w:t>
      </w:r>
      <w:r w:rsidR="00B81A55">
        <w:rPr>
          <w:rFonts w:ascii="Arial" w:hAnsi="Arial" w:cs="Arial"/>
          <w:bCs/>
          <w:sz w:val="22"/>
          <w:szCs w:val="22"/>
        </w:rPr>
        <w:t>treści projektu;</w:t>
      </w:r>
      <w:r w:rsidR="00900FE3">
        <w:rPr>
          <w:rFonts w:ascii="Arial" w:hAnsi="Arial" w:cs="Arial"/>
          <w:bCs/>
          <w:sz w:val="22"/>
          <w:szCs w:val="22"/>
        </w:rPr>
        <w:t xml:space="preserve"> ograniczeni</w:t>
      </w:r>
      <w:r w:rsidR="00A062CF">
        <w:rPr>
          <w:rFonts w:ascii="Arial" w:hAnsi="Arial" w:cs="Arial"/>
          <w:bCs/>
          <w:sz w:val="22"/>
          <w:szCs w:val="22"/>
        </w:rPr>
        <w:t>u</w:t>
      </w:r>
      <w:r w:rsidR="00821271" w:rsidRPr="000329E2">
        <w:rPr>
          <w:rFonts w:ascii="Arial" w:hAnsi="Arial" w:cs="Arial"/>
          <w:bCs/>
          <w:sz w:val="22"/>
          <w:szCs w:val="22"/>
        </w:rPr>
        <w:t xml:space="preserve"> liczby </w:t>
      </w:r>
      <w:r w:rsidR="00B81A55">
        <w:rPr>
          <w:rFonts w:ascii="Arial" w:hAnsi="Arial" w:cs="Arial"/>
          <w:bCs/>
          <w:sz w:val="22"/>
          <w:szCs w:val="22"/>
        </w:rPr>
        <w:t xml:space="preserve">kryteriów </w:t>
      </w:r>
      <w:r w:rsidR="00821271" w:rsidRPr="000329E2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 xml:space="preserve">niezbędnego </w:t>
      </w:r>
      <w:r w:rsidR="00821271" w:rsidRPr="000329E2">
        <w:rPr>
          <w:rFonts w:ascii="Arial" w:hAnsi="Arial" w:cs="Arial"/>
          <w:bCs/>
          <w:sz w:val="22"/>
          <w:szCs w:val="22"/>
        </w:rPr>
        <w:t>minimum,</w:t>
      </w:r>
    </w:p>
    <w:p w14:paraId="71A91D7E" w14:textId="55F9EB13" w:rsidR="000329E2" w:rsidRDefault="00821271" w:rsidP="00162558">
      <w:pPr>
        <w:pStyle w:val="Akapitzlist"/>
        <w:numPr>
          <w:ilvl w:val="0"/>
          <w:numId w:val="46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329E2">
        <w:rPr>
          <w:rFonts w:ascii="Arial" w:hAnsi="Arial" w:cs="Arial"/>
          <w:bCs/>
          <w:sz w:val="22"/>
          <w:szCs w:val="22"/>
        </w:rPr>
        <w:t>większ</w:t>
      </w:r>
      <w:r w:rsidR="00A062CF">
        <w:rPr>
          <w:rFonts w:ascii="Arial" w:hAnsi="Arial" w:cs="Arial"/>
          <w:bCs/>
          <w:sz w:val="22"/>
          <w:szCs w:val="22"/>
        </w:rPr>
        <w:t>ym</w:t>
      </w:r>
      <w:r w:rsidRPr="000329E2">
        <w:rPr>
          <w:rFonts w:ascii="Arial" w:hAnsi="Arial" w:cs="Arial"/>
          <w:bCs/>
          <w:sz w:val="22"/>
          <w:szCs w:val="22"/>
        </w:rPr>
        <w:t xml:space="preserve"> wykorzystani</w:t>
      </w:r>
      <w:r w:rsidR="00A062CF">
        <w:rPr>
          <w:rFonts w:ascii="Arial" w:hAnsi="Arial" w:cs="Arial"/>
          <w:bCs/>
          <w:sz w:val="22"/>
          <w:szCs w:val="22"/>
        </w:rPr>
        <w:t>u</w:t>
      </w:r>
      <w:r w:rsidRPr="000329E2">
        <w:rPr>
          <w:rFonts w:ascii="Arial" w:hAnsi="Arial" w:cs="Arial"/>
          <w:bCs/>
          <w:sz w:val="22"/>
          <w:szCs w:val="22"/>
        </w:rPr>
        <w:t xml:space="preserve"> oceny panelowej ekspertów, zwłaszcza w przypadku projektów wysoko innowacyjnych i B+R;</w:t>
      </w:r>
    </w:p>
    <w:p w14:paraId="7FDD6D25" w14:textId="6FBC0DFE" w:rsidR="00C520C8" w:rsidRPr="00E471DF" w:rsidRDefault="000329E2" w:rsidP="0064148E">
      <w:pPr>
        <w:pStyle w:val="Akapitzlist"/>
        <w:numPr>
          <w:ilvl w:val="0"/>
          <w:numId w:val="46"/>
        </w:numPr>
        <w:spacing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471DF">
        <w:rPr>
          <w:rFonts w:ascii="Arial" w:hAnsi="Arial" w:cs="Arial"/>
          <w:sz w:val="22"/>
          <w:szCs w:val="22"/>
        </w:rPr>
        <w:t>potrzeb</w:t>
      </w:r>
      <w:r w:rsidR="00A062CF">
        <w:rPr>
          <w:rFonts w:ascii="Arial" w:hAnsi="Arial" w:cs="Arial"/>
          <w:sz w:val="22"/>
          <w:szCs w:val="22"/>
        </w:rPr>
        <w:t>ie</w:t>
      </w:r>
      <w:r w:rsidRPr="00E471DF">
        <w:rPr>
          <w:rFonts w:ascii="Arial" w:hAnsi="Arial" w:cs="Arial"/>
          <w:sz w:val="22"/>
          <w:szCs w:val="22"/>
        </w:rPr>
        <w:t xml:space="preserve"> </w:t>
      </w:r>
      <w:r w:rsidR="00E471DF" w:rsidRPr="00E471DF">
        <w:rPr>
          <w:rFonts w:ascii="Arial" w:hAnsi="Arial" w:cs="Arial"/>
          <w:sz w:val="22"/>
          <w:szCs w:val="22"/>
        </w:rPr>
        <w:t xml:space="preserve">skutecznego informowania </w:t>
      </w:r>
      <w:r w:rsidR="00E471DF" w:rsidRPr="002135C8">
        <w:rPr>
          <w:rFonts w:ascii="Arial" w:hAnsi="Arial" w:cs="Arial"/>
          <w:sz w:val="22"/>
          <w:szCs w:val="22"/>
        </w:rPr>
        <w:t xml:space="preserve">potencjalnych beneficjentów </w:t>
      </w:r>
      <w:proofErr w:type="spellStart"/>
      <w:r w:rsidR="00E471DF" w:rsidRPr="002135C8">
        <w:rPr>
          <w:rFonts w:ascii="Arial" w:hAnsi="Arial" w:cs="Arial"/>
          <w:sz w:val="22"/>
          <w:szCs w:val="22"/>
        </w:rPr>
        <w:t>nt</w:t>
      </w:r>
      <w:proofErr w:type="spellEnd"/>
      <w:r w:rsidR="00E471DF" w:rsidRPr="002135C8">
        <w:rPr>
          <w:rFonts w:ascii="Arial" w:hAnsi="Arial" w:cs="Arial"/>
          <w:sz w:val="22"/>
          <w:szCs w:val="22"/>
        </w:rPr>
        <w:t xml:space="preserve"> dostęp</w:t>
      </w:r>
      <w:r w:rsidR="00B81A55" w:rsidRPr="002135C8">
        <w:rPr>
          <w:rFonts w:ascii="Arial" w:hAnsi="Arial" w:cs="Arial"/>
          <w:sz w:val="22"/>
          <w:szCs w:val="22"/>
        </w:rPr>
        <w:t>nego wsparcia (w tym wzmacnianie</w:t>
      </w:r>
      <w:r w:rsidR="00E471DF" w:rsidRPr="002135C8">
        <w:rPr>
          <w:rFonts w:ascii="Arial" w:hAnsi="Arial" w:cs="Arial"/>
          <w:sz w:val="22"/>
          <w:szCs w:val="22"/>
        </w:rPr>
        <w:t xml:space="preserve"> relacji między administracją a biznesem – szukanie okazji do dotarcia z informacją do potencjalnie zainteresowanych przedsiębiorców); organizowanie szkoleń z poprawnego wypełniania wniosków</w:t>
      </w:r>
      <w:r w:rsidR="00E471DF">
        <w:rPr>
          <w:rFonts w:ascii="Arial" w:hAnsi="Arial" w:cs="Arial"/>
          <w:sz w:val="22"/>
          <w:szCs w:val="22"/>
        </w:rPr>
        <w:t>.</w:t>
      </w:r>
    </w:p>
    <w:p w14:paraId="6CB126BD" w14:textId="77777777" w:rsidR="00621C68" w:rsidRDefault="00621C68" w:rsidP="0064148E">
      <w:pPr>
        <w:spacing w:before="120" w:after="120" w:line="24" w:lineRule="atLeast"/>
        <w:jc w:val="both"/>
        <w:rPr>
          <w:rFonts w:ascii="Arial" w:hAnsi="Arial" w:cs="Arial"/>
          <w:sz w:val="22"/>
          <w:szCs w:val="22"/>
        </w:rPr>
      </w:pPr>
    </w:p>
    <w:p w14:paraId="63281C11" w14:textId="77777777" w:rsidR="00BD5F6E" w:rsidRPr="00831FA9" w:rsidRDefault="00621C68" w:rsidP="0064148E">
      <w:pPr>
        <w:spacing w:before="120" w:after="120"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Dyskutanci </w:t>
      </w:r>
      <w:r w:rsidR="002265FD">
        <w:rPr>
          <w:rFonts w:ascii="Arial" w:hAnsi="Arial" w:cs="Arial"/>
          <w:sz w:val="22"/>
          <w:szCs w:val="22"/>
        </w:rPr>
        <w:t xml:space="preserve">podnosili </w:t>
      </w:r>
      <w:r>
        <w:rPr>
          <w:rFonts w:ascii="Arial" w:hAnsi="Arial" w:cs="Arial"/>
          <w:sz w:val="22"/>
          <w:szCs w:val="22"/>
        </w:rPr>
        <w:t xml:space="preserve">w szczególności </w:t>
      </w:r>
      <w:r w:rsidR="002265FD">
        <w:rPr>
          <w:rFonts w:ascii="Arial" w:hAnsi="Arial" w:cs="Arial"/>
          <w:sz w:val="22"/>
          <w:szCs w:val="22"/>
        </w:rPr>
        <w:t>następujące kwestie</w:t>
      </w:r>
      <w:r w:rsidR="00BD5F6E" w:rsidRPr="00831FA9">
        <w:rPr>
          <w:rFonts w:ascii="Arial" w:hAnsi="Arial" w:cs="Arial"/>
          <w:sz w:val="22"/>
          <w:szCs w:val="22"/>
        </w:rPr>
        <w:t>:</w:t>
      </w:r>
    </w:p>
    <w:p w14:paraId="14C99850" w14:textId="77777777" w:rsidR="00E070CB" w:rsidRDefault="002A3119" w:rsidP="00621C68">
      <w:pPr>
        <w:spacing w:before="240" w:after="120" w:line="24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ocena</w:t>
      </w:r>
      <w:r w:rsidR="00EA047B" w:rsidRPr="00831FA9">
        <w:rPr>
          <w:rFonts w:ascii="Arial" w:hAnsi="Arial" w:cs="Arial"/>
          <w:i/>
          <w:sz w:val="22"/>
          <w:szCs w:val="22"/>
        </w:rPr>
        <w:t xml:space="preserve"> wniosków przez ekspertów</w:t>
      </w:r>
      <w:r w:rsidR="00EA047B">
        <w:rPr>
          <w:rFonts w:ascii="Arial" w:hAnsi="Arial" w:cs="Arial"/>
          <w:i/>
          <w:sz w:val="22"/>
          <w:szCs w:val="22"/>
        </w:rPr>
        <w:t xml:space="preserve"> </w:t>
      </w:r>
    </w:p>
    <w:p w14:paraId="14E4EA44" w14:textId="6D2957FF" w:rsidR="00E070CB" w:rsidRPr="001A7281" w:rsidRDefault="0049412F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podano przykłady sytuacji, w </w:t>
      </w:r>
      <w:r w:rsidR="00A062CF">
        <w:rPr>
          <w:rFonts w:ascii="Arial" w:hAnsi="Arial" w:cs="Arial"/>
          <w:bCs/>
          <w:sz w:val="22"/>
          <w:szCs w:val="22"/>
        </w:rPr>
        <w:t xml:space="preserve">których </w:t>
      </w:r>
      <w:r w:rsidR="00D32355">
        <w:rPr>
          <w:rFonts w:ascii="Arial" w:hAnsi="Arial" w:cs="Arial"/>
          <w:bCs/>
          <w:sz w:val="22"/>
          <w:szCs w:val="22"/>
        </w:rPr>
        <w:t>rzetelność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="00D32355">
        <w:rPr>
          <w:rFonts w:ascii="Arial" w:hAnsi="Arial" w:cs="Arial"/>
          <w:bCs/>
          <w:sz w:val="22"/>
          <w:szCs w:val="22"/>
        </w:rPr>
        <w:t>oceny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="00D32355">
        <w:rPr>
          <w:rFonts w:ascii="Arial" w:hAnsi="Arial" w:cs="Arial"/>
          <w:bCs/>
          <w:sz w:val="22"/>
          <w:szCs w:val="22"/>
        </w:rPr>
        <w:t xml:space="preserve">ekspertów budziła wątpliwości; wymieniano </w:t>
      </w:r>
      <w:r w:rsidRPr="001A7281">
        <w:rPr>
          <w:rFonts w:ascii="Arial" w:hAnsi="Arial" w:cs="Arial"/>
          <w:bCs/>
          <w:sz w:val="22"/>
          <w:szCs w:val="22"/>
        </w:rPr>
        <w:t xml:space="preserve">doświadczenia dotyczące usuwania </w:t>
      </w:r>
      <w:r w:rsidR="00D32355" w:rsidRPr="001A7281">
        <w:rPr>
          <w:rFonts w:ascii="Arial" w:hAnsi="Arial" w:cs="Arial"/>
          <w:bCs/>
          <w:sz w:val="22"/>
          <w:szCs w:val="22"/>
        </w:rPr>
        <w:t xml:space="preserve">ekspertów </w:t>
      </w:r>
      <w:r w:rsidRPr="001A7281">
        <w:rPr>
          <w:rFonts w:ascii="Arial" w:hAnsi="Arial" w:cs="Arial"/>
          <w:bCs/>
          <w:sz w:val="22"/>
          <w:szCs w:val="22"/>
        </w:rPr>
        <w:t>z listy;</w:t>
      </w:r>
    </w:p>
    <w:p w14:paraId="2CFBE4D5" w14:textId="1C71BE2A" w:rsidR="00E070CB" w:rsidRPr="001A7281" w:rsidRDefault="00545162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w opinii niektórych </w:t>
      </w:r>
      <w:r w:rsidR="00A062CF">
        <w:rPr>
          <w:rFonts w:ascii="Arial" w:hAnsi="Arial" w:cs="Arial"/>
          <w:bCs/>
          <w:sz w:val="22"/>
          <w:szCs w:val="22"/>
        </w:rPr>
        <w:t xml:space="preserve">członków Grupy 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w ustawie wdrożeniowej </w:t>
      </w:r>
      <w:r w:rsidRPr="001A7281">
        <w:rPr>
          <w:rFonts w:ascii="Arial" w:hAnsi="Arial" w:cs="Arial"/>
          <w:bCs/>
          <w:sz w:val="22"/>
          <w:szCs w:val="22"/>
        </w:rPr>
        <w:t xml:space="preserve">brakuje </w:t>
      </w:r>
      <w:r w:rsidR="00100A10">
        <w:rPr>
          <w:rFonts w:ascii="Arial" w:hAnsi="Arial" w:cs="Arial"/>
          <w:bCs/>
          <w:sz w:val="22"/>
          <w:szCs w:val="22"/>
        </w:rPr>
        <w:t>uregulowania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="00100A10">
        <w:rPr>
          <w:rFonts w:ascii="Arial" w:hAnsi="Arial" w:cs="Arial"/>
          <w:bCs/>
          <w:sz w:val="22"/>
          <w:szCs w:val="22"/>
        </w:rPr>
        <w:t>odpowiedzialności</w:t>
      </w:r>
      <w:r w:rsidRPr="001A7281">
        <w:rPr>
          <w:rFonts w:ascii="Arial" w:hAnsi="Arial" w:cs="Arial"/>
          <w:bCs/>
          <w:sz w:val="22"/>
          <w:szCs w:val="22"/>
        </w:rPr>
        <w:t xml:space="preserve"> ekspertów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 za jakość prowadzonej oceny</w:t>
      </w:r>
      <w:r w:rsidRPr="00162558">
        <w:rPr>
          <w:rFonts w:ascii="Arial" w:hAnsi="Arial" w:cs="Arial"/>
          <w:bCs/>
          <w:sz w:val="22"/>
          <w:szCs w:val="22"/>
        </w:rPr>
        <w:t>;</w:t>
      </w:r>
      <w:r w:rsidR="00D65A95" w:rsidRPr="00162558">
        <w:rPr>
          <w:rFonts w:ascii="Arial" w:hAnsi="Arial" w:cs="Arial"/>
          <w:bCs/>
          <w:sz w:val="22"/>
          <w:szCs w:val="22"/>
        </w:rPr>
        <w:t xml:space="preserve"> 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z </w:t>
      </w:r>
      <w:r w:rsidRPr="001A7281">
        <w:rPr>
          <w:rFonts w:ascii="Arial" w:hAnsi="Arial" w:cs="Arial"/>
          <w:bCs/>
          <w:sz w:val="22"/>
          <w:szCs w:val="22"/>
        </w:rPr>
        <w:t xml:space="preserve">drugiej strony argumentowano, 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że </w:t>
      </w:r>
      <w:r w:rsidRPr="001A7281">
        <w:rPr>
          <w:rFonts w:ascii="Arial" w:hAnsi="Arial" w:cs="Arial"/>
          <w:bCs/>
          <w:sz w:val="22"/>
          <w:szCs w:val="22"/>
        </w:rPr>
        <w:t xml:space="preserve">ustawowe </w:t>
      </w:r>
      <w:r w:rsidR="00ED0543">
        <w:rPr>
          <w:rFonts w:ascii="Arial" w:hAnsi="Arial" w:cs="Arial"/>
          <w:bCs/>
          <w:sz w:val="22"/>
          <w:szCs w:val="22"/>
        </w:rPr>
        <w:t>regulacje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 w rzeczywistości </w:t>
      </w:r>
      <w:r w:rsidR="0049412F" w:rsidRPr="001A7281">
        <w:rPr>
          <w:rFonts w:ascii="Arial" w:hAnsi="Arial" w:cs="Arial"/>
          <w:bCs/>
          <w:sz w:val="22"/>
          <w:szCs w:val="22"/>
        </w:rPr>
        <w:t>stworzył</w:t>
      </w:r>
      <w:r w:rsidR="00A062CF">
        <w:rPr>
          <w:rFonts w:ascii="Arial" w:hAnsi="Arial" w:cs="Arial"/>
          <w:bCs/>
          <w:sz w:val="22"/>
          <w:szCs w:val="22"/>
        </w:rPr>
        <w:t>y</w:t>
      </w:r>
      <w:r w:rsidR="0049412F" w:rsidRPr="001A7281">
        <w:rPr>
          <w:rFonts w:ascii="Arial" w:hAnsi="Arial" w:cs="Arial"/>
          <w:bCs/>
          <w:sz w:val="22"/>
          <w:szCs w:val="22"/>
        </w:rPr>
        <w:t>by dodatkowe trudności dla elastycznego reagowania na przypadki zaniedbań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; </w:t>
      </w:r>
    </w:p>
    <w:p w14:paraId="568686B6" w14:textId="77777777" w:rsidR="00E070CB" w:rsidRPr="00B85625" w:rsidRDefault="0049412F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rozważano pomysł </w:t>
      </w:r>
      <w:r w:rsidR="00D65A95" w:rsidRPr="001A7281">
        <w:rPr>
          <w:rFonts w:ascii="Arial" w:hAnsi="Arial" w:cs="Arial"/>
          <w:bCs/>
          <w:sz w:val="22"/>
          <w:szCs w:val="22"/>
        </w:rPr>
        <w:t xml:space="preserve">wprowadzenia </w:t>
      </w:r>
      <w:r w:rsidR="00ED0543">
        <w:rPr>
          <w:rFonts w:ascii="Arial" w:hAnsi="Arial" w:cs="Arial"/>
          <w:bCs/>
          <w:sz w:val="22"/>
          <w:szCs w:val="22"/>
        </w:rPr>
        <w:t xml:space="preserve">systemu </w:t>
      </w:r>
      <w:r w:rsidR="00D65A95" w:rsidRPr="001A7281">
        <w:rPr>
          <w:rFonts w:ascii="Arial" w:hAnsi="Arial" w:cs="Arial"/>
          <w:bCs/>
          <w:sz w:val="22"/>
          <w:szCs w:val="22"/>
        </w:rPr>
        <w:t>akredytacji dla ekspertów</w:t>
      </w:r>
      <w:r w:rsidRPr="001A7281">
        <w:rPr>
          <w:rFonts w:ascii="Arial" w:hAnsi="Arial" w:cs="Arial"/>
          <w:bCs/>
          <w:sz w:val="22"/>
          <w:szCs w:val="22"/>
        </w:rPr>
        <w:t>;</w:t>
      </w:r>
    </w:p>
    <w:p w14:paraId="01EACAF7" w14:textId="77777777" w:rsidR="00E070CB" w:rsidRPr="001A7281" w:rsidRDefault="002A3119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większym</w:t>
      </w:r>
      <w:r w:rsidR="009F4EE4" w:rsidRPr="001A7281">
        <w:rPr>
          <w:rFonts w:ascii="Arial" w:hAnsi="Arial" w:cs="Arial"/>
          <w:bCs/>
          <w:sz w:val="22"/>
          <w:szCs w:val="22"/>
        </w:rPr>
        <w:t xml:space="preserve"> zaangażowanie</w:t>
      </w:r>
      <w:r>
        <w:rPr>
          <w:rFonts w:ascii="Arial" w:hAnsi="Arial" w:cs="Arial"/>
          <w:bCs/>
          <w:sz w:val="22"/>
          <w:szCs w:val="22"/>
        </w:rPr>
        <w:t>m</w:t>
      </w:r>
      <w:r w:rsidR="009F4EE4" w:rsidRPr="001A7281">
        <w:rPr>
          <w:rFonts w:ascii="Arial" w:hAnsi="Arial" w:cs="Arial"/>
          <w:bCs/>
          <w:sz w:val="22"/>
          <w:szCs w:val="22"/>
        </w:rPr>
        <w:t xml:space="preserve"> ekspertów </w:t>
      </w:r>
      <w:r>
        <w:rPr>
          <w:rFonts w:ascii="Arial" w:hAnsi="Arial" w:cs="Arial"/>
          <w:bCs/>
          <w:sz w:val="22"/>
          <w:szCs w:val="22"/>
        </w:rPr>
        <w:t xml:space="preserve">zewnętrznych wiąże się </w:t>
      </w:r>
      <w:r w:rsidR="009F4EE4" w:rsidRPr="001A7281">
        <w:rPr>
          <w:rFonts w:ascii="Arial" w:hAnsi="Arial" w:cs="Arial"/>
          <w:bCs/>
          <w:sz w:val="22"/>
          <w:szCs w:val="22"/>
        </w:rPr>
        <w:t xml:space="preserve">wyzwanie </w:t>
      </w:r>
      <w:r>
        <w:rPr>
          <w:rFonts w:ascii="Arial" w:hAnsi="Arial" w:cs="Arial"/>
          <w:bCs/>
          <w:sz w:val="22"/>
          <w:szCs w:val="22"/>
        </w:rPr>
        <w:t>dot. kwestii</w:t>
      </w:r>
      <w:r w:rsidR="009F4EE4" w:rsidRPr="001A7281">
        <w:rPr>
          <w:rFonts w:ascii="Arial" w:hAnsi="Arial" w:cs="Arial"/>
          <w:bCs/>
          <w:sz w:val="22"/>
          <w:szCs w:val="22"/>
        </w:rPr>
        <w:t xml:space="preserve"> bezstronności  (konieczność podpisania klauzuli bezstronności zniechęca potencjalnych ekspertów lub uniemożliwia ich udział w ocenie);</w:t>
      </w:r>
    </w:p>
    <w:p w14:paraId="277906DA" w14:textId="77777777" w:rsidR="00E070CB" w:rsidRDefault="009F4EE4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lastRenderedPageBreak/>
        <w:t>w niektórych regionach planowane jest zatrudnienie ekspertów spoza województwa („efekt porównawczy”); ponadto rozważane jest pozyskiwanie ekspertów branżowych;</w:t>
      </w:r>
      <w:r w:rsidR="00AE4074" w:rsidRPr="001A7281">
        <w:rPr>
          <w:rFonts w:ascii="Arial" w:hAnsi="Arial" w:cs="Arial"/>
          <w:bCs/>
          <w:sz w:val="22"/>
          <w:szCs w:val="22"/>
        </w:rPr>
        <w:t xml:space="preserve"> </w:t>
      </w:r>
      <w:r w:rsidR="00E34989">
        <w:rPr>
          <w:rFonts w:ascii="Arial" w:hAnsi="Arial" w:cs="Arial"/>
          <w:bCs/>
          <w:sz w:val="22"/>
          <w:szCs w:val="22"/>
        </w:rPr>
        <w:t>jednocześnie argumentowano</w:t>
      </w:r>
      <w:r w:rsidRPr="001A7281">
        <w:rPr>
          <w:rFonts w:ascii="Arial" w:hAnsi="Arial" w:cs="Arial"/>
          <w:bCs/>
          <w:sz w:val="22"/>
          <w:szCs w:val="22"/>
        </w:rPr>
        <w:t>, że przy ocenie pewnych projektów (np</w:t>
      </w:r>
      <w:r w:rsidR="002A3119">
        <w:rPr>
          <w:rFonts w:ascii="Arial" w:hAnsi="Arial" w:cs="Arial"/>
          <w:bCs/>
          <w:sz w:val="22"/>
          <w:szCs w:val="22"/>
        </w:rPr>
        <w:t>. wprowadzających innowacje organizacyjne</w:t>
      </w:r>
      <w:r w:rsidRPr="001A7281">
        <w:rPr>
          <w:rFonts w:ascii="Arial" w:hAnsi="Arial" w:cs="Arial"/>
          <w:bCs/>
          <w:sz w:val="22"/>
          <w:szCs w:val="22"/>
        </w:rPr>
        <w:t xml:space="preserve"> </w:t>
      </w:r>
      <w:r w:rsidR="002A3119">
        <w:rPr>
          <w:rFonts w:ascii="Arial" w:hAnsi="Arial" w:cs="Arial"/>
          <w:bCs/>
          <w:sz w:val="22"/>
          <w:szCs w:val="22"/>
        </w:rPr>
        <w:t>lub marketingowe</w:t>
      </w:r>
      <w:r w:rsidRPr="001A7281">
        <w:rPr>
          <w:rFonts w:ascii="Arial" w:hAnsi="Arial" w:cs="Arial"/>
          <w:bCs/>
          <w:sz w:val="22"/>
          <w:szCs w:val="22"/>
        </w:rPr>
        <w:t xml:space="preserve">) </w:t>
      </w:r>
      <w:r w:rsidR="002A3119">
        <w:rPr>
          <w:rFonts w:ascii="Arial" w:hAnsi="Arial" w:cs="Arial"/>
          <w:bCs/>
          <w:sz w:val="22"/>
          <w:szCs w:val="22"/>
        </w:rPr>
        <w:t xml:space="preserve">oczekiwane </w:t>
      </w:r>
      <w:r w:rsidRPr="001A7281">
        <w:rPr>
          <w:rFonts w:ascii="Arial" w:hAnsi="Arial" w:cs="Arial"/>
          <w:bCs/>
          <w:sz w:val="22"/>
          <w:szCs w:val="22"/>
        </w:rPr>
        <w:t xml:space="preserve">przewagi </w:t>
      </w:r>
      <w:r w:rsidR="00E34989">
        <w:rPr>
          <w:rFonts w:ascii="Arial" w:hAnsi="Arial" w:cs="Arial"/>
          <w:bCs/>
          <w:sz w:val="22"/>
          <w:szCs w:val="22"/>
        </w:rPr>
        <w:t xml:space="preserve">angażowania </w:t>
      </w:r>
      <w:r w:rsidRPr="001A7281">
        <w:rPr>
          <w:rFonts w:ascii="Arial" w:hAnsi="Arial" w:cs="Arial"/>
          <w:bCs/>
          <w:sz w:val="22"/>
          <w:szCs w:val="22"/>
        </w:rPr>
        <w:t xml:space="preserve">ekspertów branżowych </w:t>
      </w:r>
      <w:r w:rsidR="002A3119">
        <w:rPr>
          <w:rFonts w:ascii="Arial" w:hAnsi="Arial" w:cs="Arial"/>
          <w:bCs/>
          <w:sz w:val="22"/>
          <w:szCs w:val="22"/>
        </w:rPr>
        <w:t xml:space="preserve">są </w:t>
      </w:r>
      <w:r w:rsidRPr="001A7281">
        <w:rPr>
          <w:rFonts w:ascii="Arial" w:hAnsi="Arial" w:cs="Arial"/>
          <w:bCs/>
          <w:sz w:val="22"/>
          <w:szCs w:val="22"/>
        </w:rPr>
        <w:t>ograniczone;</w:t>
      </w:r>
    </w:p>
    <w:p w14:paraId="6908979C" w14:textId="3214BEC4" w:rsidR="00717543" w:rsidRPr="00717543" w:rsidRDefault="00717543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włączanie</w:t>
      </w:r>
      <w:r w:rsidRPr="001A7281">
        <w:rPr>
          <w:rFonts w:ascii="Arial" w:hAnsi="Arial" w:cs="Arial"/>
          <w:bCs/>
          <w:sz w:val="22"/>
          <w:szCs w:val="22"/>
        </w:rPr>
        <w:t xml:space="preserve"> ekspertów zagranicznych </w:t>
      </w:r>
      <w:r w:rsidR="00991EF6">
        <w:rPr>
          <w:rFonts w:ascii="Arial" w:hAnsi="Arial" w:cs="Arial"/>
          <w:bCs/>
          <w:sz w:val="22"/>
          <w:szCs w:val="22"/>
        </w:rPr>
        <w:t>oznaczałoby konieczność tłumaczenia</w:t>
      </w:r>
      <w:r>
        <w:rPr>
          <w:rFonts w:ascii="Arial" w:hAnsi="Arial" w:cs="Arial"/>
          <w:bCs/>
          <w:sz w:val="22"/>
          <w:szCs w:val="22"/>
        </w:rPr>
        <w:t xml:space="preserve"> wniosku</w:t>
      </w:r>
      <w:r w:rsidRPr="001A7281">
        <w:rPr>
          <w:rFonts w:ascii="Arial" w:hAnsi="Arial" w:cs="Arial"/>
          <w:bCs/>
          <w:sz w:val="22"/>
          <w:szCs w:val="22"/>
        </w:rPr>
        <w:t xml:space="preserve"> lub jego kluczowych części na język obcy, np. angielski; pomysłem rozważanym przez krajową administrację jest wykorzystanie w tym zakresie potencjału tkwiącego w polskiej diasporze za</w:t>
      </w:r>
      <w:r w:rsidR="00A062CF">
        <w:rPr>
          <w:rFonts w:ascii="Arial" w:hAnsi="Arial" w:cs="Arial"/>
          <w:bCs/>
          <w:sz w:val="22"/>
          <w:szCs w:val="22"/>
        </w:rPr>
        <w:t xml:space="preserve"> </w:t>
      </w:r>
      <w:r w:rsidRPr="001A7281">
        <w:rPr>
          <w:rFonts w:ascii="Arial" w:hAnsi="Arial" w:cs="Arial"/>
          <w:bCs/>
          <w:sz w:val="22"/>
          <w:szCs w:val="22"/>
        </w:rPr>
        <w:t>granicą</w:t>
      </w:r>
      <w:r>
        <w:rPr>
          <w:rFonts w:ascii="Arial" w:hAnsi="Arial" w:cs="Arial"/>
          <w:bCs/>
          <w:sz w:val="22"/>
          <w:szCs w:val="22"/>
        </w:rPr>
        <w:t>;</w:t>
      </w:r>
    </w:p>
    <w:p w14:paraId="09AD3848" w14:textId="77777777" w:rsidR="00E070CB" w:rsidRDefault="002A3119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niektóre IZ RPO rozważają </w:t>
      </w:r>
      <w:r w:rsidR="00253FFA" w:rsidRPr="001A7281">
        <w:rPr>
          <w:rFonts w:ascii="Arial" w:hAnsi="Arial" w:cs="Arial"/>
          <w:bCs/>
          <w:sz w:val="22"/>
          <w:szCs w:val="22"/>
        </w:rPr>
        <w:t xml:space="preserve">rozdzielenie odpowiedzialności za poszczególne etapy oceny, np. weryfikacja warunków brzegowych </w:t>
      </w:r>
      <w:r>
        <w:rPr>
          <w:rFonts w:ascii="Arial" w:hAnsi="Arial" w:cs="Arial"/>
          <w:bCs/>
          <w:sz w:val="22"/>
          <w:szCs w:val="22"/>
        </w:rPr>
        <w:t>–</w:t>
      </w:r>
      <w:r w:rsidR="00253FFA" w:rsidRPr="001A7281">
        <w:rPr>
          <w:rFonts w:ascii="Arial" w:hAnsi="Arial" w:cs="Arial"/>
          <w:bCs/>
          <w:sz w:val="22"/>
          <w:szCs w:val="22"/>
        </w:rPr>
        <w:t xml:space="preserve"> pracownicy Instytucji Zarządzającej RPO; ocena projektów pod kątem poziomu B+R+I – panel ekspertów;</w:t>
      </w:r>
    </w:p>
    <w:p w14:paraId="5554D841" w14:textId="77777777" w:rsidR="00EA047B" w:rsidRPr="00EA047B" w:rsidRDefault="00645806" w:rsidP="00621C68">
      <w:pPr>
        <w:pStyle w:val="Akapitzlist"/>
        <w:spacing w:before="240" w:after="120" w:line="24" w:lineRule="atLeast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panel</w:t>
      </w:r>
      <w:r w:rsidRPr="00EA047B">
        <w:rPr>
          <w:rFonts w:ascii="Arial" w:hAnsi="Arial" w:cs="Arial"/>
          <w:bCs/>
          <w:i/>
          <w:sz w:val="22"/>
          <w:szCs w:val="22"/>
        </w:rPr>
        <w:t xml:space="preserve"> ekspertów </w:t>
      </w:r>
      <w:r>
        <w:rPr>
          <w:rFonts w:ascii="Arial" w:hAnsi="Arial" w:cs="Arial"/>
          <w:bCs/>
          <w:i/>
          <w:sz w:val="22"/>
          <w:szCs w:val="22"/>
        </w:rPr>
        <w:t>– dodatkowy etap oceny projektów</w:t>
      </w:r>
      <w:r w:rsidR="00EA047B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2F91500" w14:textId="77777777" w:rsidR="00E070CB" w:rsidRPr="001A7281" w:rsidRDefault="00070654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>część regionów planuje</w:t>
      </w:r>
      <w:r w:rsidR="006641F8">
        <w:rPr>
          <w:rFonts w:ascii="Arial" w:hAnsi="Arial" w:cs="Arial"/>
          <w:bCs/>
          <w:sz w:val="22"/>
          <w:szCs w:val="22"/>
        </w:rPr>
        <w:t>,</w:t>
      </w:r>
      <w:r w:rsidRPr="001A7281">
        <w:rPr>
          <w:rFonts w:ascii="Arial" w:hAnsi="Arial" w:cs="Arial"/>
          <w:bCs/>
          <w:sz w:val="22"/>
          <w:szCs w:val="22"/>
        </w:rPr>
        <w:t xml:space="preserve"> pilotażowo lub </w:t>
      </w:r>
      <w:r w:rsidR="002A3119">
        <w:rPr>
          <w:rFonts w:ascii="Arial" w:hAnsi="Arial" w:cs="Arial"/>
          <w:bCs/>
          <w:sz w:val="22"/>
          <w:szCs w:val="22"/>
        </w:rPr>
        <w:t xml:space="preserve">w </w:t>
      </w:r>
      <w:r w:rsidRPr="001A7281">
        <w:rPr>
          <w:rFonts w:ascii="Arial" w:hAnsi="Arial" w:cs="Arial"/>
          <w:bCs/>
          <w:sz w:val="22"/>
          <w:szCs w:val="22"/>
        </w:rPr>
        <w:t>szerszym zakresie</w:t>
      </w:r>
      <w:r w:rsidR="006641F8">
        <w:rPr>
          <w:rFonts w:ascii="Arial" w:hAnsi="Arial" w:cs="Arial"/>
          <w:bCs/>
          <w:sz w:val="22"/>
          <w:szCs w:val="22"/>
        </w:rPr>
        <w:t>,</w:t>
      </w:r>
      <w:r w:rsidRPr="001A7281">
        <w:rPr>
          <w:rFonts w:ascii="Arial" w:hAnsi="Arial" w:cs="Arial"/>
          <w:bCs/>
          <w:sz w:val="22"/>
          <w:szCs w:val="22"/>
        </w:rPr>
        <w:t xml:space="preserve"> rozbudowanie oceny projektów o etap rozmowy wnioskodawcy w panelem ekspertów, którzy wcześniej oceniali wniosek pod kątem merytorycznym; podczas tego etapu wnioskodawca miałby możliwość zaprezentowania projektu, planowanych efektów, sprzedaży pomysłu;</w:t>
      </w:r>
    </w:p>
    <w:p w14:paraId="18A75D3F" w14:textId="77777777" w:rsidR="00E070CB" w:rsidRPr="001A7281" w:rsidRDefault="002A3119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zwróco</w:t>
      </w:r>
      <w:r w:rsidR="00070654" w:rsidRPr="001A7281">
        <w:rPr>
          <w:rFonts w:ascii="Arial" w:hAnsi="Arial" w:cs="Arial"/>
          <w:bCs/>
          <w:sz w:val="22"/>
          <w:szCs w:val="22"/>
        </w:rPr>
        <w:t xml:space="preserve">no uwagę, że autor projektu biorący udział w rozmowie z </w:t>
      </w:r>
      <w:r>
        <w:rPr>
          <w:rFonts w:ascii="Arial" w:hAnsi="Arial" w:cs="Arial"/>
          <w:bCs/>
          <w:sz w:val="22"/>
          <w:szCs w:val="22"/>
        </w:rPr>
        <w:t xml:space="preserve">panelem ekspertów nie musi być szefem </w:t>
      </w:r>
      <w:r w:rsidR="006641F8">
        <w:rPr>
          <w:rFonts w:ascii="Arial" w:hAnsi="Arial" w:cs="Arial"/>
          <w:bCs/>
          <w:sz w:val="22"/>
          <w:szCs w:val="22"/>
        </w:rPr>
        <w:t xml:space="preserve">przedsiębiorstwa, lecz osobą zdolną do </w:t>
      </w:r>
      <w:r w:rsidR="00070654" w:rsidRPr="001A7281">
        <w:rPr>
          <w:rFonts w:ascii="Arial" w:hAnsi="Arial" w:cs="Arial"/>
          <w:bCs/>
          <w:sz w:val="22"/>
          <w:szCs w:val="22"/>
        </w:rPr>
        <w:t>zaprezentowa</w:t>
      </w:r>
      <w:r w:rsidR="006641F8">
        <w:rPr>
          <w:rFonts w:ascii="Arial" w:hAnsi="Arial" w:cs="Arial"/>
          <w:bCs/>
          <w:sz w:val="22"/>
          <w:szCs w:val="22"/>
        </w:rPr>
        <w:t>nia</w:t>
      </w:r>
      <w:r w:rsidR="00070654" w:rsidRPr="001A7281">
        <w:rPr>
          <w:rFonts w:ascii="Arial" w:hAnsi="Arial" w:cs="Arial"/>
          <w:bCs/>
          <w:sz w:val="22"/>
          <w:szCs w:val="22"/>
        </w:rPr>
        <w:t xml:space="preserve"> i </w:t>
      </w:r>
      <w:r w:rsidR="006641F8" w:rsidRPr="006641F8">
        <w:rPr>
          <w:rFonts w:ascii="Arial" w:hAnsi="Arial" w:cs="Arial"/>
          <w:bCs/>
          <w:i/>
          <w:sz w:val="22"/>
          <w:szCs w:val="22"/>
        </w:rPr>
        <w:t>sprzedaży</w:t>
      </w:r>
      <w:r w:rsidR="00070654" w:rsidRPr="001A7281">
        <w:rPr>
          <w:rFonts w:ascii="Arial" w:hAnsi="Arial" w:cs="Arial"/>
          <w:bCs/>
          <w:sz w:val="22"/>
          <w:szCs w:val="22"/>
        </w:rPr>
        <w:t xml:space="preserve"> potencjał</w:t>
      </w:r>
      <w:r w:rsidR="006641F8">
        <w:rPr>
          <w:rFonts w:ascii="Arial" w:hAnsi="Arial" w:cs="Arial"/>
          <w:bCs/>
          <w:sz w:val="22"/>
          <w:szCs w:val="22"/>
        </w:rPr>
        <w:t>u tkwiącego w projekcie, która potrafi pokazać istnienie zasobów, również ludzkich, gotowych</w:t>
      </w:r>
      <w:r w:rsidR="00070654" w:rsidRPr="001A7281">
        <w:rPr>
          <w:rFonts w:ascii="Arial" w:hAnsi="Arial" w:cs="Arial"/>
          <w:bCs/>
          <w:sz w:val="22"/>
          <w:szCs w:val="22"/>
        </w:rPr>
        <w:t xml:space="preserve"> do realizacji projektu (potencjał ludzki jest jednym z kluczowych elementów oceny projektów przez fundusze </w:t>
      </w:r>
      <w:r w:rsidR="00070654" w:rsidRPr="00162558">
        <w:rPr>
          <w:rFonts w:ascii="Arial" w:hAnsi="Arial" w:cs="Arial"/>
          <w:bCs/>
          <w:i/>
          <w:sz w:val="22"/>
          <w:szCs w:val="22"/>
        </w:rPr>
        <w:t xml:space="preserve">venture </w:t>
      </w:r>
      <w:proofErr w:type="spellStart"/>
      <w:r w:rsidR="00070654" w:rsidRPr="00162558">
        <w:rPr>
          <w:rFonts w:ascii="Arial" w:hAnsi="Arial" w:cs="Arial"/>
          <w:bCs/>
          <w:i/>
          <w:sz w:val="22"/>
          <w:szCs w:val="22"/>
        </w:rPr>
        <w:t>capital</w:t>
      </w:r>
      <w:proofErr w:type="spellEnd"/>
      <w:r w:rsidR="00070654" w:rsidRPr="001A7281">
        <w:rPr>
          <w:rFonts w:ascii="Arial" w:hAnsi="Arial" w:cs="Arial"/>
          <w:bCs/>
          <w:sz w:val="22"/>
          <w:szCs w:val="22"/>
        </w:rPr>
        <w:t>);</w:t>
      </w:r>
    </w:p>
    <w:p w14:paraId="67B0EEDC" w14:textId="60E72AF6" w:rsidR="00E070CB" w:rsidRPr="00EA047B" w:rsidRDefault="002A3119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przypomniano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 </w:t>
      </w:r>
      <w:r w:rsidR="009F4EE4" w:rsidRPr="00EA047B">
        <w:rPr>
          <w:rFonts w:ascii="Arial" w:hAnsi="Arial" w:cs="Arial"/>
          <w:bCs/>
          <w:sz w:val="22"/>
          <w:szCs w:val="22"/>
        </w:rPr>
        <w:t xml:space="preserve">o dotychczasowych 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krajowych </w:t>
      </w:r>
      <w:r w:rsidR="009F4EE4" w:rsidRPr="00EA047B">
        <w:rPr>
          <w:rFonts w:ascii="Arial" w:hAnsi="Arial" w:cs="Arial"/>
          <w:bCs/>
          <w:sz w:val="22"/>
          <w:szCs w:val="22"/>
        </w:rPr>
        <w:t xml:space="preserve">doświadczeniach </w:t>
      </w:r>
      <w:r w:rsidR="00A062CF">
        <w:rPr>
          <w:rFonts w:ascii="Arial" w:hAnsi="Arial" w:cs="Arial"/>
          <w:bCs/>
          <w:sz w:val="22"/>
          <w:szCs w:val="22"/>
        </w:rPr>
        <w:t xml:space="preserve">we </w:t>
      </w:r>
      <w:r w:rsidR="00DB0A6F" w:rsidRPr="00EA047B">
        <w:rPr>
          <w:rFonts w:ascii="Arial" w:hAnsi="Arial" w:cs="Arial"/>
          <w:bCs/>
          <w:sz w:val="22"/>
          <w:szCs w:val="22"/>
        </w:rPr>
        <w:t>wdraż</w:t>
      </w:r>
      <w:r w:rsidR="009F4EE4" w:rsidRPr="00EA047B">
        <w:rPr>
          <w:rFonts w:ascii="Arial" w:hAnsi="Arial" w:cs="Arial"/>
          <w:bCs/>
          <w:sz w:val="22"/>
          <w:szCs w:val="22"/>
        </w:rPr>
        <w:t xml:space="preserve">aniu </w:t>
      </w:r>
      <w:r w:rsidR="005B54E8">
        <w:rPr>
          <w:rFonts w:ascii="Arial" w:hAnsi="Arial" w:cs="Arial"/>
          <w:bCs/>
          <w:sz w:val="22"/>
          <w:szCs w:val="22"/>
        </w:rPr>
        <w:t>panelu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 ekspertów</w:t>
      </w:r>
      <w:r w:rsidR="005B54E8">
        <w:rPr>
          <w:rFonts w:ascii="Arial" w:hAnsi="Arial" w:cs="Arial"/>
          <w:bCs/>
          <w:sz w:val="22"/>
          <w:szCs w:val="22"/>
        </w:rPr>
        <w:t xml:space="preserve"> w działaniach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 </w:t>
      </w:r>
      <w:r w:rsidR="009F4EE4" w:rsidRPr="00EA047B">
        <w:rPr>
          <w:rFonts w:ascii="Arial" w:hAnsi="Arial" w:cs="Arial"/>
          <w:bCs/>
          <w:sz w:val="22"/>
          <w:szCs w:val="22"/>
        </w:rPr>
        <w:t>PO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 </w:t>
      </w:r>
      <w:r w:rsidR="009F4EE4" w:rsidRPr="00EA047B">
        <w:rPr>
          <w:rFonts w:ascii="Arial" w:hAnsi="Arial" w:cs="Arial"/>
          <w:bCs/>
          <w:sz w:val="22"/>
          <w:szCs w:val="22"/>
        </w:rPr>
        <w:t>I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nnowacyjna </w:t>
      </w:r>
      <w:r w:rsidR="009F4EE4" w:rsidRPr="00EA047B">
        <w:rPr>
          <w:rFonts w:ascii="Arial" w:hAnsi="Arial" w:cs="Arial"/>
          <w:bCs/>
          <w:sz w:val="22"/>
          <w:szCs w:val="22"/>
        </w:rPr>
        <w:t>G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ospodarka: </w:t>
      </w:r>
      <w:r w:rsidR="009F4EE4" w:rsidRPr="00EA047B">
        <w:rPr>
          <w:rFonts w:ascii="Arial" w:hAnsi="Arial" w:cs="Arial"/>
          <w:bCs/>
          <w:sz w:val="22"/>
          <w:szCs w:val="22"/>
        </w:rPr>
        <w:t>4.6 (</w:t>
      </w:r>
      <w:r w:rsidR="009F4EE4" w:rsidRPr="00162558">
        <w:rPr>
          <w:rFonts w:ascii="Arial" w:hAnsi="Arial" w:cs="Arial"/>
          <w:bCs/>
          <w:sz w:val="22"/>
          <w:szCs w:val="22"/>
        </w:rPr>
        <w:t>Wsparcie na pierwsze wdrożenie wynalazku</w:t>
      </w:r>
      <w:r w:rsidR="009F4EE4" w:rsidRPr="00EA047B">
        <w:rPr>
          <w:rFonts w:ascii="Arial" w:hAnsi="Arial" w:cs="Arial"/>
          <w:bCs/>
          <w:sz w:val="22"/>
          <w:szCs w:val="22"/>
        </w:rPr>
        <w:t>), 4.4 (</w:t>
      </w:r>
      <w:r w:rsidR="009F4EE4" w:rsidRPr="00162558">
        <w:rPr>
          <w:rFonts w:ascii="Arial" w:hAnsi="Arial" w:cs="Arial"/>
          <w:bCs/>
          <w:sz w:val="22"/>
          <w:szCs w:val="22"/>
        </w:rPr>
        <w:t>Nowe inwestycje o wysokim potencjale innowacyjnym)</w:t>
      </w:r>
      <w:r w:rsidR="009F4EE4" w:rsidRPr="00EA047B">
        <w:rPr>
          <w:rFonts w:ascii="Arial" w:hAnsi="Arial" w:cs="Arial"/>
          <w:bCs/>
          <w:sz w:val="22"/>
          <w:szCs w:val="22"/>
        </w:rPr>
        <w:t>, 4.5 (</w:t>
      </w:r>
      <w:r w:rsidR="009F4EE4" w:rsidRPr="00162558">
        <w:rPr>
          <w:rFonts w:ascii="Arial" w:hAnsi="Arial" w:cs="Arial"/>
          <w:bCs/>
          <w:sz w:val="22"/>
          <w:szCs w:val="22"/>
        </w:rPr>
        <w:t>Wsparcie inwestycji o dużym znaczeniu dla gospodarki)</w:t>
      </w:r>
      <w:r w:rsidR="009F4EE4" w:rsidRPr="00EA047B">
        <w:rPr>
          <w:rFonts w:ascii="Arial" w:hAnsi="Arial" w:cs="Arial"/>
          <w:bCs/>
          <w:sz w:val="22"/>
          <w:szCs w:val="22"/>
        </w:rPr>
        <w:t xml:space="preserve">, </w:t>
      </w:r>
      <w:r w:rsidR="00DB0A6F" w:rsidRPr="00EA047B">
        <w:rPr>
          <w:rFonts w:ascii="Arial" w:hAnsi="Arial" w:cs="Arial"/>
          <w:bCs/>
          <w:sz w:val="22"/>
          <w:szCs w:val="22"/>
        </w:rPr>
        <w:t xml:space="preserve">oraz </w:t>
      </w:r>
      <w:r w:rsidR="009F4EE4" w:rsidRPr="00EA047B">
        <w:rPr>
          <w:rFonts w:ascii="Arial" w:hAnsi="Arial" w:cs="Arial"/>
          <w:bCs/>
          <w:sz w:val="22"/>
          <w:szCs w:val="22"/>
        </w:rPr>
        <w:t>3.4 (</w:t>
      </w:r>
      <w:r w:rsidR="00DB0A6F" w:rsidRPr="00162558">
        <w:rPr>
          <w:rFonts w:ascii="Arial" w:hAnsi="Arial" w:cs="Arial"/>
          <w:bCs/>
          <w:sz w:val="22"/>
          <w:szCs w:val="22"/>
        </w:rPr>
        <w:t>Fundusz Pożyczkowy</w:t>
      </w:r>
      <w:r w:rsidR="009F4EE4" w:rsidRPr="00162558">
        <w:rPr>
          <w:rFonts w:ascii="Arial" w:hAnsi="Arial" w:cs="Arial"/>
          <w:bCs/>
          <w:sz w:val="22"/>
          <w:szCs w:val="22"/>
        </w:rPr>
        <w:t xml:space="preserve"> Wspierania Innowacji)</w:t>
      </w:r>
      <w:r w:rsidR="009F4EE4" w:rsidRPr="00EA047B">
        <w:rPr>
          <w:rFonts w:ascii="Arial" w:hAnsi="Arial" w:cs="Arial"/>
          <w:bCs/>
          <w:sz w:val="22"/>
          <w:szCs w:val="22"/>
        </w:rPr>
        <w:t xml:space="preserve">; </w:t>
      </w:r>
      <w:r w:rsidR="00A42169">
        <w:rPr>
          <w:rFonts w:ascii="Arial" w:hAnsi="Arial" w:cs="Arial"/>
          <w:bCs/>
          <w:sz w:val="22"/>
          <w:szCs w:val="22"/>
        </w:rPr>
        <w:t>zaproszono członków Grupy MSP na spotkanie w PARP</w:t>
      </w:r>
      <w:r w:rsidR="00070654" w:rsidRPr="00EA047B">
        <w:rPr>
          <w:rFonts w:ascii="Arial" w:hAnsi="Arial" w:cs="Arial"/>
          <w:bCs/>
          <w:sz w:val="22"/>
          <w:szCs w:val="22"/>
        </w:rPr>
        <w:t>,</w:t>
      </w:r>
      <w:r w:rsidR="009F4EE4" w:rsidRPr="00EA047B">
        <w:rPr>
          <w:rFonts w:ascii="Arial" w:hAnsi="Arial" w:cs="Arial"/>
          <w:bCs/>
          <w:sz w:val="22"/>
          <w:szCs w:val="22"/>
        </w:rPr>
        <w:t xml:space="preserve"> na którym </w:t>
      </w:r>
      <w:r w:rsidR="00070654" w:rsidRPr="00EA047B">
        <w:rPr>
          <w:rFonts w:ascii="Arial" w:hAnsi="Arial" w:cs="Arial"/>
          <w:bCs/>
          <w:sz w:val="22"/>
          <w:szCs w:val="22"/>
        </w:rPr>
        <w:t xml:space="preserve">omówione będę </w:t>
      </w:r>
      <w:r w:rsidR="00A42169">
        <w:rPr>
          <w:rFonts w:ascii="Arial" w:hAnsi="Arial" w:cs="Arial"/>
          <w:bCs/>
          <w:sz w:val="22"/>
          <w:szCs w:val="22"/>
        </w:rPr>
        <w:t>doświadczenia dot. wdrażania panelu ekspertów</w:t>
      </w:r>
      <w:r w:rsidR="005B54E8">
        <w:rPr>
          <w:rFonts w:ascii="Arial" w:hAnsi="Arial" w:cs="Arial"/>
          <w:bCs/>
          <w:sz w:val="22"/>
          <w:szCs w:val="22"/>
        </w:rPr>
        <w:t xml:space="preserve"> (7 listopada </w:t>
      </w:r>
      <w:proofErr w:type="spellStart"/>
      <w:r w:rsidR="005B54E8">
        <w:rPr>
          <w:rFonts w:ascii="Arial" w:hAnsi="Arial" w:cs="Arial"/>
          <w:bCs/>
          <w:sz w:val="22"/>
          <w:szCs w:val="22"/>
        </w:rPr>
        <w:t>br</w:t>
      </w:r>
      <w:proofErr w:type="spellEnd"/>
      <w:r w:rsidR="005B54E8">
        <w:rPr>
          <w:rFonts w:ascii="Arial" w:hAnsi="Arial" w:cs="Arial"/>
          <w:bCs/>
          <w:sz w:val="22"/>
          <w:szCs w:val="22"/>
        </w:rPr>
        <w:t>)</w:t>
      </w:r>
      <w:r w:rsidR="00A42169">
        <w:rPr>
          <w:rFonts w:ascii="Arial" w:hAnsi="Arial" w:cs="Arial"/>
          <w:bCs/>
          <w:sz w:val="22"/>
          <w:szCs w:val="22"/>
        </w:rPr>
        <w:t>;</w:t>
      </w:r>
    </w:p>
    <w:p w14:paraId="09C857E0" w14:textId="77777777" w:rsidR="001E3538" w:rsidRPr="00717543" w:rsidRDefault="00717543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17543">
        <w:rPr>
          <w:rFonts w:ascii="Arial" w:hAnsi="Arial" w:cs="Arial"/>
          <w:bCs/>
          <w:sz w:val="22"/>
          <w:szCs w:val="22"/>
        </w:rPr>
        <w:t xml:space="preserve">rozwiązaniem wychodzącym poza </w:t>
      </w:r>
      <w:proofErr w:type="spellStart"/>
      <w:r w:rsidRPr="00717543">
        <w:rPr>
          <w:rFonts w:ascii="Arial" w:hAnsi="Arial" w:cs="Arial"/>
          <w:bCs/>
          <w:sz w:val="22"/>
          <w:szCs w:val="22"/>
        </w:rPr>
        <w:t>ww</w:t>
      </w:r>
      <w:proofErr w:type="spellEnd"/>
      <w:r w:rsidRPr="00717543">
        <w:rPr>
          <w:rFonts w:ascii="Arial" w:hAnsi="Arial" w:cs="Arial"/>
          <w:bCs/>
          <w:sz w:val="22"/>
          <w:szCs w:val="22"/>
        </w:rPr>
        <w:t xml:space="preserve"> ocenę panelową jest pomysł rozważany w kontekście przyszłego </w:t>
      </w:r>
      <w:r w:rsidR="001E3538" w:rsidRPr="00717543">
        <w:rPr>
          <w:rFonts w:ascii="Arial" w:hAnsi="Arial" w:cs="Arial"/>
          <w:bCs/>
          <w:sz w:val="22"/>
          <w:szCs w:val="22"/>
        </w:rPr>
        <w:t>PO</w:t>
      </w:r>
      <w:r w:rsidRPr="00717543">
        <w:rPr>
          <w:rFonts w:ascii="Arial" w:hAnsi="Arial" w:cs="Arial"/>
          <w:bCs/>
          <w:sz w:val="22"/>
          <w:szCs w:val="22"/>
        </w:rPr>
        <w:t xml:space="preserve"> </w:t>
      </w:r>
      <w:r w:rsidR="001E3538" w:rsidRPr="00717543">
        <w:rPr>
          <w:rFonts w:ascii="Arial" w:hAnsi="Arial" w:cs="Arial"/>
          <w:bCs/>
          <w:sz w:val="22"/>
          <w:szCs w:val="22"/>
        </w:rPr>
        <w:t>I</w:t>
      </w:r>
      <w:r w:rsidRPr="00717543">
        <w:rPr>
          <w:rFonts w:ascii="Arial" w:hAnsi="Arial" w:cs="Arial"/>
          <w:bCs/>
          <w:sz w:val="22"/>
          <w:szCs w:val="22"/>
        </w:rPr>
        <w:t xml:space="preserve">nteligentny </w:t>
      </w:r>
      <w:r w:rsidR="001E3538" w:rsidRPr="00717543">
        <w:rPr>
          <w:rFonts w:ascii="Arial" w:hAnsi="Arial" w:cs="Arial"/>
          <w:bCs/>
          <w:sz w:val="22"/>
          <w:szCs w:val="22"/>
        </w:rPr>
        <w:t>R</w:t>
      </w:r>
      <w:r w:rsidRPr="00717543">
        <w:rPr>
          <w:rFonts w:ascii="Arial" w:hAnsi="Arial" w:cs="Arial"/>
          <w:bCs/>
          <w:sz w:val="22"/>
          <w:szCs w:val="22"/>
        </w:rPr>
        <w:t>ozwój</w:t>
      </w:r>
      <w:r w:rsidR="001E3538" w:rsidRPr="00717543">
        <w:rPr>
          <w:rFonts w:ascii="Arial" w:hAnsi="Arial" w:cs="Arial"/>
          <w:bCs/>
          <w:sz w:val="22"/>
          <w:szCs w:val="22"/>
        </w:rPr>
        <w:t xml:space="preserve"> - </w:t>
      </w:r>
      <w:r w:rsidRPr="00717543">
        <w:rPr>
          <w:rFonts w:ascii="Arial" w:hAnsi="Arial" w:cs="Arial"/>
          <w:bCs/>
          <w:sz w:val="22"/>
          <w:szCs w:val="22"/>
        </w:rPr>
        <w:t>realizowanie</w:t>
      </w:r>
      <w:r w:rsidR="001E3538" w:rsidRPr="00717543">
        <w:rPr>
          <w:rFonts w:ascii="Arial" w:hAnsi="Arial" w:cs="Arial"/>
          <w:bCs/>
          <w:sz w:val="22"/>
          <w:szCs w:val="22"/>
        </w:rPr>
        <w:t xml:space="preserve"> w</w:t>
      </w:r>
      <w:r w:rsidRPr="00717543">
        <w:rPr>
          <w:rFonts w:ascii="Arial" w:hAnsi="Arial" w:cs="Arial"/>
          <w:bCs/>
          <w:sz w:val="22"/>
          <w:szCs w:val="22"/>
        </w:rPr>
        <w:t>izyt</w:t>
      </w:r>
      <w:r w:rsidR="001E3538" w:rsidRPr="00717543">
        <w:rPr>
          <w:rFonts w:ascii="Arial" w:hAnsi="Arial" w:cs="Arial"/>
          <w:bCs/>
          <w:sz w:val="22"/>
          <w:szCs w:val="22"/>
        </w:rPr>
        <w:t xml:space="preserve"> u przedsiębiorców</w:t>
      </w:r>
      <w:r w:rsidRPr="00717543">
        <w:rPr>
          <w:rFonts w:ascii="Arial" w:hAnsi="Arial" w:cs="Arial"/>
          <w:bCs/>
          <w:sz w:val="22"/>
          <w:szCs w:val="22"/>
        </w:rPr>
        <w:t xml:space="preserve">, w przypadku projektów </w:t>
      </w:r>
      <w:r w:rsidR="001E3538" w:rsidRPr="00717543">
        <w:rPr>
          <w:rFonts w:ascii="Arial" w:hAnsi="Arial" w:cs="Arial"/>
          <w:bCs/>
          <w:sz w:val="22"/>
          <w:szCs w:val="22"/>
        </w:rPr>
        <w:t xml:space="preserve">o </w:t>
      </w:r>
      <w:r>
        <w:rPr>
          <w:rFonts w:ascii="Arial" w:hAnsi="Arial" w:cs="Arial"/>
          <w:bCs/>
          <w:sz w:val="22"/>
          <w:szCs w:val="22"/>
        </w:rPr>
        <w:t xml:space="preserve">największym </w:t>
      </w:r>
      <w:r w:rsidR="001E3538" w:rsidRPr="00717543">
        <w:rPr>
          <w:rFonts w:ascii="Arial" w:hAnsi="Arial" w:cs="Arial"/>
          <w:bCs/>
          <w:sz w:val="22"/>
          <w:szCs w:val="22"/>
        </w:rPr>
        <w:t>potencjale</w:t>
      </w:r>
      <w:r>
        <w:rPr>
          <w:rFonts w:ascii="Arial" w:hAnsi="Arial" w:cs="Arial"/>
          <w:bCs/>
          <w:sz w:val="22"/>
          <w:szCs w:val="22"/>
        </w:rPr>
        <w:t xml:space="preserve">, najwyższej </w:t>
      </w:r>
      <w:r w:rsidR="001E3538" w:rsidRPr="00717543">
        <w:rPr>
          <w:rFonts w:ascii="Arial" w:hAnsi="Arial" w:cs="Arial"/>
          <w:bCs/>
          <w:sz w:val="22"/>
          <w:szCs w:val="22"/>
        </w:rPr>
        <w:t xml:space="preserve">wartości dofinansowania </w:t>
      </w:r>
      <w:r>
        <w:rPr>
          <w:rFonts w:ascii="Arial" w:hAnsi="Arial" w:cs="Arial"/>
          <w:bCs/>
          <w:sz w:val="22"/>
          <w:szCs w:val="22"/>
        </w:rPr>
        <w:t>i/</w:t>
      </w:r>
      <w:r w:rsidR="001E3538" w:rsidRPr="00717543">
        <w:rPr>
          <w:rFonts w:ascii="Arial" w:hAnsi="Arial" w:cs="Arial"/>
          <w:bCs/>
          <w:sz w:val="22"/>
          <w:szCs w:val="22"/>
        </w:rPr>
        <w:t xml:space="preserve">lub </w:t>
      </w:r>
      <w:r w:rsidR="006F4DAE">
        <w:rPr>
          <w:rFonts w:ascii="Arial" w:hAnsi="Arial" w:cs="Arial"/>
          <w:bCs/>
          <w:sz w:val="22"/>
          <w:szCs w:val="22"/>
        </w:rPr>
        <w:t>w obszarze uznanym za kluczowy;</w:t>
      </w:r>
    </w:p>
    <w:p w14:paraId="65DFD9B4" w14:textId="77777777" w:rsidR="00EA047B" w:rsidRPr="00E5451B" w:rsidRDefault="00DD5C40" w:rsidP="00621C68">
      <w:pPr>
        <w:spacing w:before="240" w:after="120" w:line="2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DD5C40">
        <w:rPr>
          <w:rFonts w:ascii="Arial" w:hAnsi="Arial" w:cs="Arial"/>
          <w:i/>
          <w:sz w:val="22"/>
          <w:szCs w:val="22"/>
        </w:rPr>
        <w:t>k</w:t>
      </w:r>
      <w:r w:rsidR="00EA047B" w:rsidRPr="001A7281">
        <w:rPr>
          <w:rFonts w:ascii="Arial" w:hAnsi="Arial" w:cs="Arial"/>
          <w:bCs/>
          <w:i/>
          <w:sz w:val="22"/>
          <w:szCs w:val="22"/>
        </w:rPr>
        <w:t>ryte</w:t>
      </w:r>
      <w:r w:rsidR="00EA047B" w:rsidRPr="00E5451B">
        <w:rPr>
          <w:rFonts w:ascii="Arial" w:hAnsi="Arial" w:cs="Arial"/>
          <w:bCs/>
          <w:i/>
          <w:sz w:val="22"/>
          <w:szCs w:val="22"/>
        </w:rPr>
        <w:t xml:space="preserve">ria wyboru projektów </w:t>
      </w:r>
    </w:p>
    <w:p w14:paraId="57AFCA79" w14:textId="77777777" w:rsidR="0089695A" w:rsidRPr="00162558" w:rsidRDefault="0089695A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5451B">
        <w:rPr>
          <w:rFonts w:ascii="Arial" w:hAnsi="Arial" w:cs="Arial"/>
          <w:bCs/>
          <w:sz w:val="22"/>
          <w:szCs w:val="22"/>
        </w:rPr>
        <w:t xml:space="preserve">zalecano ograniczenie liczby kryteriów do maksymalnie </w:t>
      </w:r>
      <w:r w:rsidR="005564B8" w:rsidRPr="00E5451B">
        <w:rPr>
          <w:rFonts w:ascii="Arial" w:hAnsi="Arial" w:cs="Arial"/>
          <w:bCs/>
          <w:sz w:val="22"/>
          <w:szCs w:val="22"/>
        </w:rPr>
        <w:t>4-5</w:t>
      </w:r>
      <w:r w:rsidRPr="00E5451B">
        <w:rPr>
          <w:rFonts w:ascii="Arial" w:hAnsi="Arial" w:cs="Arial"/>
          <w:bCs/>
          <w:sz w:val="22"/>
          <w:szCs w:val="22"/>
        </w:rPr>
        <w:t xml:space="preserve">, które odnosiłyby się </w:t>
      </w:r>
      <w:r w:rsidR="005564B8" w:rsidRPr="00E5451B">
        <w:rPr>
          <w:rFonts w:ascii="Arial" w:hAnsi="Arial" w:cs="Arial"/>
          <w:bCs/>
          <w:sz w:val="22"/>
          <w:szCs w:val="22"/>
        </w:rPr>
        <w:t xml:space="preserve">wyłącznie </w:t>
      </w:r>
      <w:r w:rsidRPr="00E5451B">
        <w:rPr>
          <w:rFonts w:ascii="Arial" w:hAnsi="Arial" w:cs="Arial"/>
          <w:bCs/>
          <w:sz w:val="22"/>
          <w:szCs w:val="22"/>
        </w:rPr>
        <w:t>do treści</w:t>
      </w:r>
      <w:r w:rsidR="005564B8" w:rsidRPr="00E5451B">
        <w:rPr>
          <w:rFonts w:ascii="Arial" w:hAnsi="Arial" w:cs="Arial"/>
          <w:bCs/>
          <w:sz w:val="22"/>
          <w:szCs w:val="22"/>
        </w:rPr>
        <w:t xml:space="preserve"> projektu i</w:t>
      </w:r>
      <w:r w:rsidRPr="00E5451B">
        <w:rPr>
          <w:rFonts w:ascii="Arial" w:hAnsi="Arial" w:cs="Arial"/>
          <w:bCs/>
          <w:sz w:val="22"/>
          <w:szCs w:val="22"/>
        </w:rPr>
        <w:t xml:space="preserve"> zdolności </w:t>
      </w:r>
      <w:r w:rsidR="005564B8" w:rsidRPr="00E5451B">
        <w:rPr>
          <w:rFonts w:ascii="Arial" w:hAnsi="Arial" w:cs="Arial"/>
          <w:bCs/>
          <w:sz w:val="22"/>
          <w:szCs w:val="22"/>
        </w:rPr>
        <w:t>do jego realizacji</w:t>
      </w:r>
      <w:r w:rsidRPr="00E5451B">
        <w:rPr>
          <w:rFonts w:ascii="Arial" w:hAnsi="Arial" w:cs="Arial"/>
          <w:bCs/>
          <w:sz w:val="22"/>
          <w:szCs w:val="22"/>
        </w:rPr>
        <w:t>;</w:t>
      </w:r>
    </w:p>
    <w:p w14:paraId="0DF75602" w14:textId="77777777" w:rsidR="0089695A" w:rsidRPr="00162558" w:rsidRDefault="0089695A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5451B">
        <w:rPr>
          <w:rFonts w:ascii="Arial" w:hAnsi="Arial" w:cs="Arial"/>
          <w:bCs/>
          <w:sz w:val="22"/>
          <w:szCs w:val="22"/>
        </w:rPr>
        <w:t>g</w:t>
      </w:r>
      <w:r w:rsidR="00007A47" w:rsidRPr="00E5451B">
        <w:rPr>
          <w:rFonts w:ascii="Arial" w:hAnsi="Arial" w:cs="Arial"/>
          <w:bCs/>
          <w:sz w:val="22"/>
          <w:szCs w:val="22"/>
        </w:rPr>
        <w:t>łówn</w:t>
      </w:r>
      <w:r w:rsidR="00C419E2" w:rsidRPr="00E5451B">
        <w:rPr>
          <w:rFonts w:ascii="Arial" w:hAnsi="Arial" w:cs="Arial"/>
          <w:bCs/>
          <w:sz w:val="22"/>
          <w:szCs w:val="22"/>
        </w:rPr>
        <w:t>ymi</w:t>
      </w:r>
      <w:r w:rsidR="00007A47" w:rsidRPr="00E5451B">
        <w:rPr>
          <w:rFonts w:ascii="Arial" w:hAnsi="Arial" w:cs="Arial"/>
          <w:bCs/>
          <w:sz w:val="22"/>
          <w:szCs w:val="22"/>
        </w:rPr>
        <w:t xml:space="preserve"> kryteria</w:t>
      </w:r>
      <w:r w:rsidR="00C419E2" w:rsidRPr="00E5451B">
        <w:rPr>
          <w:rFonts w:ascii="Arial" w:hAnsi="Arial" w:cs="Arial"/>
          <w:bCs/>
          <w:sz w:val="22"/>
          <w:szCs w:val="22"/>
        </w:rPr>
        <w:t>mi</w:t>
      </w:r>
      <w:r w:rsidR="00007A47" w:rsidRPr="00E5451B">
        <w:rPr>
          <w:rFonts w:ascii="Arial" w:hAnsi="Arial" w:cs="Arial"/>
          <w:bCs/>
          <w:sz w:val="22"/>
          <w:szCs w:val="22"/>
        </w:rPr>
        <w:t xml:space="preserve"> wyboru projektów innowacyjnych w </w:t>
      </w:r>
      <w:r w:rsidR="00C419E2" w:rsidRPr="00E5451B">
        <w:rPr>
          <w:rFonts w:ascii="Arial" w:hAnsi="Arial" w:cs="Arial"/>
          <w:bCs/>
          <w:sz w:val="22"/>
          <w:szCs w:val="22"/>
        </w:rPr>
        <w:t xml:space="preserve">części </w:t>
      </w:r>
      <w:r w:rsidR="00595156">
        <w:rPr>
          <w:rFonts w:ascii="Arial" w:hAnsi="Arial" w:cs="Arial"/>
          <w:bCs/>
          <w:sz w:val="22"/>
          <w:szCs w:val="22"/>
        </w:rPr>
        <w:t xml:space="preserve">RPO </w:t>
      </w:r>
      <w:r w:rsidR="00DE12E4" w:rsidRPr="00E5451B">
        <w:rPr>
          <w:rFonts w:ascii="Arial" w:hAnsi="Arial" w:cs="Arial"/>
          <w:bCs/>
          <w:sz w:val="22"/>
          <w:szCs w:val="22"/>
        </w:rPr>
        <w:t xml:space="preserve">jest </w:t>
      </w:r>
      <w:r w:rsidR="00595156">
        <w:rPr>
          <w:rFonts w:ascii="Arial" w:hAnsi="Arial" w:cs="Arial"/>
          <w:bCs/>
          <w:sz w:val="22"/>
          <w:szCs w:val="22"/>
        </w:rPr>
        <w:t xml:space="preserve">współpraca wnioskodawcy </w:t>
      </w:r>
      <w:r w:rsidR="00007A47" w:rsidRPr="00E5451B">
        <w:rPr>
          <w:rFonts w:ascii="Arial" w:hAnsi="Arial" w:cs="Arial"/>
          <w:bCs/>
          <w:sz w:val="22"/>
          <w:szCs w:val="22"/>
        </w:rPr>
        <w:t>z</w:t>
      </w:r>
      <w:r w:rsidR="00C419E2" w:rsidRPr="00E5451B">
        <w:rPr>
          <w:rFonts w:ascii="Arial" w:hAnsi="Arial" w:cs="Arial"/>
          <w:bCs/>
          <w:sz w:val="22"/>
          <w:szCs w:val="22"/>
        </w:rPr>
        <w:t xml:space="preserve"> jednostką </w:t>
      </w:r>
      <w:r w:rsidR="00DE12E4" w:rsidRPr="00E5451B">
        <w:rPr>
          <w:rFonts w:ascii="Arial" w:hAnsi="Arial" w:cs="Arial"/>
          <w:bCs/>
          <w:sz w:val="22"/>
          <w:szCs w:val="22"/>
        </w:rPr>
        <w:t xml:space="preserve">naukowo-badawczą </w:t>
      </w:r>
      <w:r w:rsidR="004D6E10" w:rsidRPr="00E5451B">
        <w:rPr>
          <w:rFonts w:ascii="Arial" w:hAnsi="Arial" w:cs="Arial"/>
          <w:bCs/>
          <w:sz w:val="22"/>
          <w:szCs w:val="22"/>
        </w:rPr>
        <w:t>(wprowadzenie w rozporządzeniu pomocowym definicji skutecznej współpracy</w:t>
      </w:r>
      <w:r w:rsidR="004D6E10" w:rsidRPr="00162558">
        <w:rPr>
          <w:rFonts w:ascii="Arial" w:hAnsi="Arial" w:cs="Arial"/>
          <w:bCs/>
          <w:sz w:val="22"/>
          <w:szCs w:val="22"/>
        </w:rPr>
        <w:t xml:space="preserve"> powinno ujednolicić ocenę spełnienia </w:t>
      </w:r>
      <w:r w:rsidR="004D6E10" w:rsidRPr="00E5451B">
        <w:rPr>
          <w:rFonts w:ascii="Arial" w:hAnsi="Arial" w:cs="Arial"/>
          <w:bCs/>
          <w:sz w:val="22"/>
          <w:szCs w:val="22"/>
        </w:rPr>
        <w:t xml:space="preserve">kryterium) </w:t>
      </w:r>
      <w:r w:rsidR="00DE12E4" w:rsidRPr="00E5451B">
        <w:rPr>
          <w:rFonts w:ascii="Arial" w:hAnsi="Arial" w:cs="Arial"/>
          <w:bCs/>
          <w:sz w:val="22"/>
          <w:szCs w:val="22"/>
        </w:rPr>
        <w:t xml:space="preserve">oraz wymóg </w:t>
      </w:r>
      <w:r w:rsidR="00DE12E4" w:rsidRPr="00595156">
        <w:rPr>
          <w:rFonts w:ascii="Arial" w:hAnsi="Arial" w:cs="Arial"/>
          <w:bCs/>
          <w:i/>
          <w:sz w:val="22"/>
          <w:szCs w:val="22"/>
        </w:rPr>
        <w:t>patentowy</w:t>
      </w:r>
      <w:r w:rsidR="004D6E10" w:rsidRPr="00E5451B">
        <w:rPr>
          <w:rFonts w:ascii="Arial" w:hAnsi="Arial" w:cs="Arial"/>
          <w:bCs/>
          <w:sz w:val="22"/>
          <w:szCs w:val="22"/>
        </w:rPr>
        <w:t>;</w:t>
      </w:r>
      <w:r w:rsidR="00DE12E4" w:rsidRPr="00E5451B">
        <w:rPr>
          <w:rFonts w:ascii="Arial" w:hAnsi="Arial" w:cs="Arial"/>
          <w:bCs/>
          <w:sz w:val="22"/>
          <w:szCs w:val="22"/>
        </w:rPr>
        <w:t xml:space="preserve"> </w:t>
      </w:r>
      <w:r w:rsidR="004D6E10" w:rsidRPr="00E5451B">
        <w:rPr>
          <w:rFonts w:ascii="Arial" w:hAnsi="Arial" w:cs="Arial"/>
          <w:bCs/>
          <w:sz w:val="22"/>
          <w:szCs w:val="22"/>
        </w:rPr>
        <w:t xml:space="preserve">spełnienie </w:t>
      </w:r>
      <w:proofErr w:type="spellStart"/>
      <w:r w:rsidR="004D6E10" w:rsidRPr="00E5451B">
        <w:rPr>
          <w:rFonts w:ascii="Arial" w:hAnsi="Arial" w:cs="Arial"/>
          <w:bCs/>
          <w:sz w:val="22"/>
          <w:szCs w:val="22"/>
        </w:rPr>
        <w:t>ww</w:t>
      </w:r>
      <w:proofErr w:type="spellEnd"/>
      <w:r w:rsidR="004D6E10" w:rsidRPr="00E5451B">
        <w:rPr>
          <w:rFonts w:ascii="Arial" w:hAnsi="Arial" w:cs="Arial"/>
          <w:bCs/>
          <w:sz w:val="22"/>
          <w:szCs w:val="22"/>
        </w:rPr>
        <w:t xml:space="preserve"> </w:t>
      </w:r>
      <w:r w:rsidR="00DE12E4" w:rsidRPr="00E5451B">
        <w:rPr>
          <w:rFonts w:ascii="Arial" w:hAnsi="Arial" w:cs="Arial"/>
          <w:bCs/>
          <w:sz w:val="22"/>
          <w:szCs w:val="22"/>
        </w:rPr>
        <w:t>kryteri</w:t>
      </w:r>
      <w:r w:rsidRPr="00E5451B">
        <w:rPr>
          <w:rFonts w:ascii="Arial" w:hAnsi="Arial" w:cs="Arial"/>
          <w:bCs/>
          <w:sz w:val="22"/>
          <w:szCs w:val="22"/>
        </w:rPr>
        <w:t>ów oznacza</w:t>
      </w:r>
      <w:r w:rsidR="004D6E10" w:rsidRPr="00E5451B">
        <w:rPr>
          <w:rFonts w:ascii="Arial" w:hAnsi="Arial" w:cs="Arial"/>
          <w:bCs/>
          <w:sz w:val="22"/>
          <w:szCs w:val="22"/>
        </w:rPr>
        <w:t xml:space="preserve"> dodatkowe punkty w całkowitej ocenie</w:t>
      </w:r>
      <w:r w:rsidRPr="00E5451B">
        <w:rPr>
          <w:rFonts w:ascii="Arial" w:hAnsi="Arial" w:cs="Arial"/>
          <w:bCs/>
          <w:sz w:val="22"/>
          <w:szCs w:val="22"/>
        </w:rPr>
        <w:t xml:space="preserve"> projektu;</w:t>
      </w:r>
    </w:p>
    <w:p w14:paraId="64AB3A3B" w14:textId="77777777" w:rsidR="00F752B1" w:rsidRPr="00162558" w:rsidRDefault="0089695A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5451B">
        <w:rPr>
          <w:rFonts w:ascii="Arial" w:hAnsi="Arial" w:cs="Arial"/>
          <w:bCs/>
          <w:sz w:val="22"/>
          <w:szCs w:val="22"/>
        </w:rPr>
        <w:t>zastanawiano się nad skuteczn</w:t>
      </w:r>
      <w:r w:rsidR="00595156">
        <w:rPr>
          <w:rFonts w:ascii="Arial" w:hAnsi="Arial" w:cs="Arial"/>
          <w:bCs/>
          <w:sz w:val="22"/>
          <w:szCs w:val="22"/>
        </w:rPr>
        <w:t>ym</w:t>
      </w:r>
      <w:r w:rsidRPr="00E5451B">
        <w:rPr>
          <w:rFonts w:ascii="Arial" w:hAnsi="Arial" w:cs="Arial"/>
          <w:bCs/>
          <w:sz w:val="22"/>
          <w:szCs w:val="22"/>
        </w:rPr>
        <w:t xml:space="preserve"> </w:t>
      </w:r>
      <w:r w:rsidR="00595156">
        <w:rPr>
          <w:rFonts w:ascii="Arial" w:hAnsi="Arial" w:cs="Arial"/>
          <w:bCs/>
          <w:sz w:val="22"/>
          <w:szCs w:val="22"/>
        </w:rPr>
        <w:t xml:space="preserve">stosowaniem </w:t>
      </w:r>
      <w:r w:rsidRPr="00E5451B">
        <w:rPr>
          <w:rFonts w:ascii="Arial" w:hAnsi="Arial" w:cs="Arial"/>
          <w:bCs/>
          <w:sz w:val="22"/>
          <w:szCs w:val="22"/>
        </w:rPr>
        <w:t xml:space="preserve">kryterium </w:t>
      </w:r>
      <w:r w:rsidRPr="00595156">
        <w:rPr>
          <w:rFonts w:ascii="Arial" w:hAnsi="Arial" w:cs="Arial"/>
          <w:bCs/>
          <w:i/>
          <w:sz w:val="22"/>
          <w:szCs w:val="22"/>
        </w:rPr>
        <w:t>patentowego</w:t>
      </w:r>
      <w:r w:rsidRPr="00E5451B">
        <w:rPr>
          <w:rFonts w:ascii="Arial" w:hAnsi="Arial" w:cs="Arial"/>
          <w:bCs/>
          <w:sz w:val="22"/>
          <w:szCs w:val="22"/>
        </w:rPr>
        <w:t xml:space="preserve"> – czy przyznawać punkty za samą deklarację ubiegania się o patent, czy dokonywać weryfikacji spełnienia takiej deklaracji w okresie trwałości projektu (</w:t>
      </w:r>
      <w:r w:rsidR="00595156">
        <w:rPr>
          <w:rFonts w:ascii="Arial" w:hAnsi="Arial" w:cs="Arial"/>
          <w:bCs/>
          <w:sz w:val="22"/>
          <w:szCs w:val="22"/>
        </w:rPr>
        <w:t xml:space="preserve">jednak </w:t>
      </w:r>
      <w:r w:rsidRPr="00E5451B">
        <w:rPr>
          <w:rFonts w:ascii="Arial" w:hAnsi="Arial" w:cs="Arial"/>
          <w:bCs/>
          <w:sz w:val="22"/>
          <w:szCs w:val="22"/>
        </w:rPr>
        <w:t>proces patentowania trwa zbyt długo</w:t>
      </w:r>
      <w:r w:rsidR="00595156">
        <w:rPr>
          <w:rFonts w:ascii="Arial" w:hAnsi="Arial" w:cs="Arial"/>
          <w:bCs/>
          <w:sz w:val="22"/>
          <w:szCs w:val="22"/>
        </w:rPr>
        <w:t>)</w:t>
      </w:r>
      <w:r w:rsidRPr="00E5451B">
        <w:rPr>
          <w:rFonts w:ascii="Arial" w:hAnsi="Arial" w:cs="Arial"/>
          <w:bCs/>
          <w:sz w:val="22"/>
          <w:szCs w:val="22"/>
        </w:rPr>
        <w:t xml:space="preserve">, czy przyznawać punkty za złożenie wniosku do urzędu patentowego (może spowodować wnioskowanie o patent tylko dla celów </w:t>
      </w:r>
      <w:r w:rsidR="00595156">
        <w:rPr>
          <w:rFonts w:ascii="Arial" w:hAnsi="Arial" w:cs="Arial"/>
          <w:bCs/>
          <w:sz w:val="22"/>
          <w:szCs w:val="22"/>
        </w:rPr>
        <w:t>udziału w konkursie</w:t>
      </w:r>
      <w:r w:rsidRPr="00E5451B">
        <w:rPr>
          <w:rFonts w:ascii="Arial" w:hAnsi="Arial" w:cs="Arial"/>
          <w:bCs/>
          <w:sz w:val="22"/>
          <w:szCs w:val="22"/>
        </w:rPr>
        <w:t xml:space="preserve">; wymagałoby </w:t>
      </w:r>
      <w:r w:rsidR="00595156">
        <w:rPr>
          <w:rFonts w:ascii="Arial" w:hAnsi="Arial" w:cs="Arial"/>
          <w:bCs/>
          <w:sz w:val="22"/>
          <w:szCs w:val="22"/>
        </w:rPr>
        <w:t xml:space="preserve">to </w:t>
      </w:r>
      <w:r w:rsidRPr="00E5451B">
        <w:rPr>
          <w:rFonts w:ascii="Arial" w:hAnsi="Arial" w:cs="Arial"/>
          <w:bCs/>
          <w:sz w:val="22"/>
          <w:szCs w:val="22"/>
        </w:rPr>
        <w:t xml:space="preserve">potwierdzenia wstępnej weryfikacji </w:t>
      </w:r>
      <w:r w:rsidR="00F752B1" w:rsidRPr="00E5451B">
        <w:rPr>
          <w:rFonts w:ascii="Arial" w:hAnsi="Arial" w:cs="Arial"/>
          <w:bCs/>
          <w:sz w:val="22"/>
          <w:szCs w:val="22"/>
        </w:rPr>
        <w:t xml:space="preserve">wniosku </w:t>
      </w:r>
      <w:r w:rsidRPr="00E5451B">
        <w:rPr>
          <w:rFonts w:ascii="Arial" w:hAnsi="Arial" w:cs="Arial"/>
          <w:bCs/>
          <w:sz w:val="22"/>
          <w:szCs w:val="22"/>
        </w:rPr>
        <w:t>przez rzecznika urzędu patentowego</w:t>
      </w:r>
      <w:r w:rsidR="00F752B1" w:rsidRPr="00E5451B">
        <w:rPr>
          <w:rFonts w:ascii="Arial" w:hAnsi="Arial" w:cs="Arial"/>
          <w:bCs/>
          <w:sz w:val="22"/>
          <w:szCs w:val="22"/>
        </w:rPr>
        <w:t>)</w:t>
      </w:r>
      <w:r w:rsidRPr="00E5451B">
        <w:rPr>
          <w:rFonts w:ascii="Arial" w:hAnsi="Arial" w:cs="Arial"/>
          <w:bCs/>
          <w:sz w:val="22"/>
          <w:szCs w:val="22"/>
        </w:rPr>
        <w:t>;</w:t>
      </w:r>
    </w:p>
    <w:p w14:paraId="17E5C96B" w14:textId="77777777" w:rsidR="00E5451B" w:rsidRPr="00162558" w:rsidRDefault="00EA047B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5451B">
        <w:rPr>
          <w:rFonts w:ascii="Arial" w:hAnsi="Arial" w:cs="Arial"/>
          <w:bCs/>
          <w:sz w:val="22"/>
          <w:szCs w:val="22"/>
        </w:rPr>
        <w:lastRenderedPageBreak/>
        <w:t xml:space="preserve">za skuteczne uznano </w:t>
      </w:r>
      <w:r w:rsidR="00E5451B" w:rsidRPr="00E5451B">
        <w:rPr>
          <w:rFonts w:ascii="Arial" w:hAnsi="Arial" w:cs="Arial"/>
          <w:bCs/>
          <w:sz w:val="22"/>
          <w:szCs w:val="22"/>
        </w:rPr>
        <w:t xml:space="preserve">premiowanie </w:t>
      </w:r>
      <w:r w:rsidR="004D6E10" w:rsidRPr="00E5451B">
        <w:rPr>
          <w:rFonts w:ascii="Arial" w:hAnsi="Arial" w:cs="Arial"/>
          <w:bCs/>
          <w:sz w:val="22"/>
          <w:szCs w:val="22"/>
        </w:rPr>
        <w:t xml:space="preserve">projektów, których właściciele </w:t>
      </w:r>
      <w:r w:rsidR="005564B8" w:rsidRPr="00E5451B">
        <w:rPr>
          <w:rFonts w:ascii="Arial" w:hAnsi="Arial" w:cs="Arial"/>
          <w:bCs/>
          <w:sz w:val="22"/>
          <w:szCs w:val="22"/>
        </w:rPr>
        <w:t>zdecydowali się podwyższyć</w:t>
      </w:r>
      <w:r w:rsidRPr="00E5451B">
        <w:rPr>
          <w:rFonts w:ascii="Arial" w:hAnsi="Arial" w:cs="Arial"/>
          <w:bCs/>
          <w:sz w:val="22"/>
          <w:szCs w:val="22"/>
        </w:rPr>
        <w:t xml:space="preserve"> swój wkład własny</w:t>
      </w:r>
      <w:r w:rsidR="004D6E10" w:rsidRPr="00E5451B">
        <w:rPr>
          <w:rFonts w:ascii="Arial" w:hAnsi="Arial" w:cs="Arial"/>
          <w:bCs/>
          <w:sz w:val="22"/>
          <w:szCs w:val="22"/>
        </w:rPr>
        <w:t xml:space="preserve">; zwykle skutkowało to </w:t>
      </w:r>
      <w:r w:rsidR="005564B8" w:rsidRPr="00E5451B">
        <w:rPr>
          <w:rFonts w:ascii="Arial" w:hAnsi="Arial" w:cs="Arial"/>
          <w:bCs/>
          <w:sz w:val="22"/>
          <w:szCs w:val="22"/>
        </w:rPr>
        <w:t>zgłaszaniem projektów bardziej przemyślanych</w:t>
      </w:r>
      <w:r w:rsidRPr="00E5451B">
        <w:rPr>
          <w:rFonts w:ascii="Arial" w:hAnsi="Arial" w:cs="Arial"/>
          <w:bCs/>
          <w:sz w:val="22"/>
          <w:szCs w:val="22"/>
        </w:rPr>
        <w:t>;</w:t>
      </w:r>
    </w:p>
    <w:p w14:paraId="656CDB7F" w14:textId="52991285" w:rsidR="00E5451B" w:rsidRPr="00E5451B" w:rsidRDefault="005564B8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62558">
        <w:rPr>
          <w:rFonts w:ascii="Arial" w:hAnsi="Arial" w:cs="Arial"/>
          <w:bCs/>
          <w:sz w:val="22"/>
          <w:szCs w:val="22"/>
        </w:rPr>
        <w:t xml:space="preserve">rozważano pomysł </w:t>
      </w:r>
      <w:r w:rsidR="00007A47" w:rsidRPr="00E5451B">
        <w:rPr>
          <w:rFonts w:ascii="Arial" w:hAnsi="Arial" w:cs="Arial"/>
          <w:bCs/>
          <w:sz w:val="22"/>
          <w:szCs w:val="22"/>
        </w:rPr>
        <w:t>wprowadzenie dwóch schematów kryteriów –</w:t>
      </w:r>
      <w:r w:rsidR="00007404">
        <w:rPr>
          <w:rFonts w:ascii="Arial" w:hAnsi="Arial" w:cs="Arial"/>
          <w:bCs/>
          <w:sz w:val="22"/>
          <w:szCs w:val="22"/>
        </w:rPr>
        <w:t xml:space="preserve">inne </w:t>
      </w:r>
      <w:r w:rsidR="00007A47" w:rsidRPr="00E5451B">
        <w:rPr>
          <w:rFonts w:ascii="Arial" w:hAnsi="Arial" w:cs="Arial"/>
          <w:bCs/>
          <w:sz w:val="22"/>
          <w:szCs w:val="22"/>
        </w:rPr>
        <w:t xml:space="preserve">kryteria dla ścieżki dotacyjnej oraz inne dla ścieżki </w:t>
      </w:r>
      <w:r w:rsidRPr="00E5451B">
        <w:rPr>
          <w:rFonts w:ascii="Arial" w:hAnsi="Arial" w:cs="Arial"/>
          <w:bCs/>
          <w:sz w:val="22"/>
          <w:szCs w:val="22"/>
        </w:rPr>
        <w:t>instrumentów zwrotnych;</w:t>
      </w:r>
    </w:p>
    <w:p w14:paraId="1C2D77DF" w14:textId="77777777" w:rsidR="00E5451B" w:rsidRPr="00E5451B" w:rsidRDefault="00961DCA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przypom</w:t>
      </w:r>
      <w:r w:rsidR="00E5451B" w:rsidRPr="00E5451B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i</w:t>
      </w:r>
      <w:r w:rsidR="00E5451B" w:rsidRPr="00E5451B">
        <w:rPr>
          <w:rFonts w:ascii="Arial" w:hAnsi="Arial" w:cs="Arial"/>
          <w:bCs/>
          <w:sz w:val="22"/>
          <w:szCs w:val="22"/>
        </w:rPr>
        <w:t xml:space="preserve">ano o zaprezentowanych w pierwszej części posiedzenia wynikach badania MSP – wiele </w:t>
      </w:r>
      <w:r>
        <w:rPr>
          <w:rFonts w:ascii="Arial" w:hAnsi="Arial" w:cs="Arial"/>
          <w:bCs/>
          <w:sz w:val="22"/>
          <w:szCs w:val="22"/>
        </w:rPr>
        <w:t>przedsiębiorstw jest gotowych</w:t>
      </w:r>
      <w:r w:rsidR="00E5451B" w:rsidRPr="00E5451B">
        <w:rPr>
          <w:rFonts w:ascii="Arial" w:hAnsi="Arial" w:cs="Arial"/>
          <w:bCs/>
          <w:sz w:val="22"/>
          <w:szCs w:val="22"/>
        </w:rPr>
        <w:t xml:space="preserve"> przeznaczać </w:t>
      </w:r>
      <w:r>
        <w:rPr>
          <w:rFonts w:ascii="Arial" w:hAnsi="Arial" w:cs="Arial"/>
          <w:bCs/>
          <w:sz w:val="22"/>
          <w:szCs w:val="22"/>
        </w:rPr>
        <w:t xml:space="preserve">fundusze </w:t>
      </w:r>
      <w:r w:rsidR="00E5451B" w:rsidRPr="00E5451B">
        <w:rPr>
          <w:rFonts w:ascii="Arial" w:hAnsi="Arial" w:cs="Arial"/>
          <w:bCs/>
          <w:sz w:val="22"/>
          <w:szCs w:val="22"/>
        </w:rPr>
        <w:t xml:space="preserve">na innowacje technologiczne oraz współpracę z jednostkami badawczymi – w </w:t>
      </w:r>
      <w:r w:rsidR="00E5451B">
        <w:rPr>
          <w:rFonts w:ascii="Arial" w:hAnsi="Arial" w:cs="Arial"/>
          <w:bCs/>
          <w:sz w:val="22"/>
          <w:szCs w:val="22"/>
        </w:rPr>
        <w:t xml:space="preserve">sytuacji </w:t>
      </w:r>
      <w:r w:rsidR="00E5451B" w:rsidRPr="00E5451B">
        <w:rPr>
          <w:rFonts w:ascii="Arial" w:hAnsi="Arial" w:cs="Arial"/>
          <w:bCs/>
          <w:sz w:val="22"/>
          <w:szCs w:val="22"/>
        </w:rPr>
        <w:t>brak</w:t>
      </w:r>
      <w:r w:rsidR="00E5451B">
        <w:rPr>
          <w:rFonts w:ascii="Arial" w:hAnsi="Arial" w:cs="Arial"/>
          <w:bCs/>
          <w:sz w:val="22"/>
          <w:szCs w:val="22"/>
        </w:rPr>
        <w:t>u</w:t>
      </w:r>
      <w:r w:rsidR="00E5451B" w:rsidRPr="00E5451B">
        <w:rPr>
          <w:rFonts w:ascii="Arial" w:hAnsi="Arial" w:cs="Arial"/>
          <w:bCs/>
          <w:sz w:val="22"/>
          <w:szCs w:val="22"/>
        </w:rPr>
        <w:t xml:space="preserve"> dofinansowania projektów nie innowacyjnych; sugerowano potrzebę skoncentrowania się na tego rodzaju  kryteriach, bez względu na obawy o spadek podaży projektów, które - zgodnie z badaniami – w dłuższym terminie mogą okazać się nieuzasadnione;</w:t>
      </w:r>
    </w:p>
    <w:p w14:paraId="175C6C99" w14:textId="77777777" w:rsidR="00B7058F" w:rsidRPr="001A7281" w:rsidRDefault="003A00A7" w:rsidP="00621C68">
      <w:pPr>
        <w:spacing w:before="240" w:after="120" w:line="24" w:lineRule="atLeas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</w:t>
      </w:r>
      <w:r w:rsidR="00B7058F" w:rsidRPr="001A7281">
        <w:rPr>
          <w:rFonts w:ascii="Arial" w:hAnsi="Arial" w:cs="Arial"/>
          <w:bCs/>
          <w:i/>
          <w:sz w:val="22"/>
          <w:szCs w:val="22"/>
        </w:rPr>
        <w:t>spółpraca i komunikacja administracji z biznesem</w:t>
      </w:r>
    </w:p>
    <w:p w14:paraId="4FBEE11A" w14:textId="77777777" w:rsidR="00365963" w:rsidRPr="00365963" w:rsidRDefault="009B7E66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A00A7">
        <w:rPr>
          <w:rFonts w:ascii="Arial" w:hAnsi="Arial" w:cs="Arial"/>
          <w:bCs/>
          <w:sz w:val="22"/>
          <w:szCs w:val="22"/>
        </w:rPr>
        <w:t xml:space="preserve">zdaniem </w:t>
      </w:r>
      <w:r w:rsidR="00B7058F" w:rsidRPr="003A00A7">
        <w:rPr>
          <w:rFonts w:ascii="Arial" w:hAnsi="Arial" w:cs="Arial"/>
          <w:bCs/>
          <w:sz w:val="22"/>
          <w:szCs w:val="22"/>
        </w:rPr>
        <w:t>przedstawiciel</w:t>
      </w:r>
      <w:r w:rsidRPr="003A00A7">
        <w:rPr>
          <w:rFonts w:ascii="Arial" w:hAnsi="Arial" w:cs="Arial"/>
          <w:bCs/>
          <w:sz w:val="22"/>
          <w:szCs w:val="22"/>
        </w:rPr>
        <w:t>i</w:t>
      </w:r>
      <w:r w:rsidR="00B7058F" w:rsidRPr="003A00A7">
        <w:rPr>
          <w:rFonts w:ascii="Arial" w:hAnsi="Arial" w:cs="Arial"/>
          <w:bCs/>
          <w:sz w:val="22"/>
          <w:szCs w:val="22"/>
        </w:rPr>
        <w:t xml:space="preserve"> instytucji regionalnych </w:t>
      </w:r>
      <w:r w:rsidRPr="003A00A7">
        <w:rPr>
          <w:rFonts w:ascii="Arial" w:hAnsi="Arial" w:cs="Arial"/>
          <w:bCs/>
          <w:sz w:val="22"/>
          <w:szCs w:val="22"/>
        </w:rPr>
        <w:t>skuteczne</w:t>
      </w:r>
      <w:r w:rsidR="00B7058F" w:rsidRPr="003A00A7">
        <w:rPr>
          <w:rFonts w:ascii="Arial" w:hAnsi="Arial" w:cs="Arial"/>
          <w:bCs/>
          <w:sz w:val="22"/>
          <w:szCs w:val="22"/>
        </w:rPr>
        <w:t xml:space="preserve"> identyfikowanie najlepszych projektów wymaga zaangażowania administracji </w:t>
      </w:r>
      <w:r w:rsidRPr="003A00A7">
        <w:rPr>
          <w:rFonts w:ascii="Arial" w:hAnsi="Arial" w:cs="Arial"/>
          <w:bCs/>
          <w:sz w:val="22"/>
          <w:szCs w:val="22"/>
        </w:rPr>
        <w:t>w budowanie relacji z biznesem na wcześniejszych etapach</w:t>
      </w:r>
      <w:r w:rsidR="00B7058F" w:rsidRPr="003A00A7">
        <w:rPr>
          <w:rFonts w:ascii="Arial" w:hAnsi="Arial" w:cs="Arial"/>
          <w:bCs/>
          <w:sz w:val="22"/>
          <w:szCs w:val="22"/>
        </w:rPr>
        <w:t xml:space="preserve">; </w:t>
      </w:r>
      <w:r w:rsidR="009F0C48">
        <w:rPr>
          <w:rFonts w:ascii="Arial" w:hAnsi="Arial" w:cs="Arial"/>
          <w:bCs/>
          <w:sz w:val="22"/>
          <w:szCs w:val="22"/>
        </w:rPr>
        <w:t xml:space="preserve">okazją do rozwijania takiej </w:t>
      </w:r>
      <w:r w:rsidR="00365963" w:rsidRPr="00162558">
        <w:rPr>
          <w:rFonts w:ascii="Arial" w:hAnsi="Arial" w:cs="Arial"/>
          <w:bCs/>
          <w:sz w:val="22"/>
          <w:szCs w:val="22"/>
        </w:rPr>
        <w:t xml:space="preserve">współpracy </w:t>
      </w:r>
      <w:r w:rsidR="009F0C48">
        <w:rPr>
          <w:rFonts w:ascii="Arial" w:hAnsi="Arial" w:cs="Arial"/>
          <w:bCs/>
          <w:sz w:val="22"/>
          <w:szCs w:val="22"/>
        </w:rPr>
        <w:t xml:space="preserve">był </w:t>
      </w:r>
      <w:r w:rsidR="00365963" w:rsidRPr="00162558">
        <w:rPr>
          <w:rFonts w:ascii="Arial" w:hAnsi="Arial" w:cs="Arial"/>
          <w:bCs/>
          <w:sz w:val="22"/>
          <w:szCs w:val="22"/>
        </w:rPr>
        <w:t>w ostatnich latach m.in. proces wyznaczania regionalnych strategii inteligentnych specjalizacji;</w:t>
      </w:r>
    </w:p>
    <w:p w14:paraId="68CE9323" w14:textId="77777777" w:rsidR="003A00A7" w:rsidRPr="0048075A" w:rsidRDefault="00FC24C5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C24C5">
        <w:rPr>
          <w:rFonts w:ascii="Arial" w:hAnsi="Arial" w:cs="Arial"/>
          <w:bCs/>
          <w:sz w:val="22"/>
          <w:szCs w:val="22"/>
        </w:rPr>
        <w:t>w tym kontekście wyjaśniono</w:t>
      </w:r>
      <w:r w:rsidR="009F0C48">
        <w:rPr>
          <w:rFonts w:ascii="Arial" w:hAnsi="Arial" w:cs="Arial"/>
          <w:bCs/>
          <w:sz w:val="22"/>
          <w:szCs w:val="22"/>
        </w:rPr>
        <w:t xml:space="preserve">, że w ramach </w:t>
      </w:r>
      <w:r w:rsidRPr="0048075A">
        <w:rPr>
          <w:rFonts w:ascii="Arial" w:hAnsi="Arial" w:cs="Arial"/>
          <w:bCs/>
          <w:sz w:val="22"/>
          <w:szCs w:val="22"/>
        </w:rPr>
        <w:t xml:space="preserve">badania potencjału </w:t>
      </w:r>
      <w:r w:rsidR="0048075A" w:rsidRPr="0048075A">
        <w:rPr>
          <w:rFonts w:ascii="Arial" w:hAnsi="Arial" w:cs="Arial"/>
          <w:bCs/>
          <w:sz w:val="22"/>
          <w:szCs w:val="22"/>
        </w:rPr>
        <w:t xml:space="preserve">otoczenia gospodarczego </w:t>
      </w:r>
      <w:r w:rsidRPr="0048075A">
        <w:rPr>
          <w:rFonts w:ascii="Arial" w:hAnsi="Arial" w:cs="Arial"/>
          <w:bCs/>
          <w:sz w:val="22"/>
          <w:szCs w:val="22"/>
        </w:rPr>
        <w:t xml:space="preserve">w województwie </w:t>
      </w:r>
      <w:r w:rsidR="009F42C6" w:rsidRPr="0048075A">
        <w:rPr>
          <w:rFonts w:ascii="Arial" w:hAnsi="Arial" w:cs="Arial"/>
          <w:bCs/>
          <w:sz w:val="22"/>
          <w:szCs w:val="22"/>
        </w:rPr>
        <w:t>z</w:t>
      </w:r>
      <w:r w:rsidRPr="0048075A">
        <w:rPr>
          <w:rFonts w:ascii="Arial" w:hAnsi="Arial" w:cs="Arial"/>
          <w:bCs/>
          <w:sz w:val="22"/>
          <w:szCs w:val="22"/>
        </w:rPr>
        <w:t>achodniopomorskim</w:t>
      </w:r>
      <w:r w:rsidR="009F0C48">
        <w:rPr>
          <w:rFonts w:ascii="Arial" w:hAnsi="Arial" w:cs="Arial"/>
          <w:bCs/>
          <w:sz w:val="22"/>
          <w:szCs w:val="22"/>
        </w:rPr>
        <w:t>, administracja prowadzi</w:t>
      </w:r>
      <w:r w:rsidR="00B7058F" w:rsidRPr="0048075A">
        <w:rPr>
          <w:rFonts w:ascii="Arial" w:hAnsi="Arial" w:cs="Arial"/>
          <w:bCs/>
          <w:sz w:val="22"/>
          <w:szCs w:val="22"/>
        </w:rPr>
        <w:t xml:space="preserve"> rozmowy z przedsiębiorcami wyłonionymi na podstawie analiz danych statystycznych, danych GUS, izby skarbowej, urzędu celnego </w:t>
      </w:r>
      <w:r w:rsidR="009F0C48">
        <w:rPr>
          <w:rFonts w:ascii="Arial" w:hAnsi="Arial" w:cs="Arial"/>
          <w:bCs/>
          <w:sz w:val="22"/>
          <w:szCs w:val="22"/>
        </w:rPr>
        <w:t>(</w:t>
      </w:r>
      <w:r w:rsidR="00B7058F" w:rsidRPr="0048075A">
        <w:rPr>
          <w:rFonts w:ascii="Arial" w:hAnsi="Arial" w:cs="Arial"/>
          <w:bCs/>
          <w:sz w:val="22"/>
          <w:szCs w:val="22"/>
        </w:rPr>
        <w:t>analiza obrotów, przychodów, eksportu</w:t>
      </w:r>
      <w:r w:rsidR="009F0C48">
        <w:rPr>
          <w:rFonts w:ascii="Arial" w:hAnsi="Arial" w:cs="Arial"/>
          <w:bCs/>
          <w:sz w:val="22"/>
          <w:szCs w:val="22"/>
        </w:rPr>
        <w:t>, koncentracji, danych finansowych</w:t>
      </w:r>
      <w:r w:rsidR="00B7058F" w:rsidRPr="0048075A">
        <w:rPr>
          <w:rFonts w:ascii="Arial" w:hAnsi="Arial" w:cs="Arial"/>
          <w:bCs/>
          <w:sz w:val="22"/>
          <w:szCs w:val="22"/>
        </w:rPr>
        <w:t>); rozmowy prowadzone są indywidualnie</w:t>
      </w:r>
      <w:r w:rsidR="009F42C6" w:rsidRPr="0048075A">
        <w:rPr>
          <w:rFonts w:ascii="Arial" w:hAnsi="Arial" w:cs="Arial"/>
          <w:bCs/>
          <w:sz w:val="22"/>
          <w:szCs w:val="22"/>
        </w:rPr>
        <w:t>;</w:t>
      </w:r>
    </w:p>
    <w:p w14:paraId="57EF86BF" w14:textId="77777777" w:rsidR="003A00A7" w:rsidRDefault="00B7058F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62558">
        <w:rPr>
          <w:rFonts w:ascii="Arial" w:hAnsi="Arial" w:cs="Arial"/>
          <w:bCs/>
          <w:sz w:val="22"/>
          <w:szCs w:val="22"/>
        </w:rPr>
        <w:t xml:space="preserve">jedną z sieci wymiany informacji między administracją a przedsiębiorstwami w województwie opolskim jest tzw. </w:t>
      </w:r>
      <w:r w:rsidRPr="003A00A7">
        <w:rPr>
          <w:rFonts w:ascii="Arial" w:hAnsi="Arial" w:cs="Arial"/>
          <w:bCs/>
          <w:sz w:val="22"/>
          <w:szCs w:val="22"/>
        </w:rPr>
        <w:t>„klub 150” (grupa przedsiębiorstw o strategicznym dla regionu znaczeniu), za pośrednictwem której przedstawiciele instytucji pośredniczącej docierają z informacjami do zainteresowanych podmiotów</w:t>
      </w:r>
      <w:r w:rsidR="003A00A7">
        <w:rPr>
          <w:rFonts w:ascii="Arial" w:hAnsi="Arial" w:cs="Arial"/>
          <w:bCs/>
          <w:sz w:val="22"/>
          <w:szCs w:val="22"/>
        </w:rPr>
        <w:t>;</w:t>
      </w:r>
    </w:p>
    <w:p w14:paraId="1B112FD8" w14:textId="77777777" w:rsidR="00B90086" w:rsidRDefault="00B7058F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62558">
        <w:rPr>
          <w:rFonts w:ascii="Arial" w:hAnsi="Arial" w:cs="Arial"/>
          <w:bCs/>
          <w:sz w:val="22"/>
          <w:szCs w:val="22"/>
        </w:rPr>
        <w:t xml:space="preserve">argumentowano, że </w:t>
      </w:r>
      <w:r w:rsidR="009B7E66" w:rsidRPr="00162558">
        <w:rPr>
          <w:rFonts w:ascii="Arial" w:hAnsi="Arial" w:cs="Arial"/>
          <w:bCs/>
          <w:sz w:val="22"/>
          <w:szCs w:val="22"/>
        </w:rPr>
        <w:t>współpraca</w:t>
      </w:r>
      <w:r w:rsidRPr="00162558">
        <w:rPr>
          <w:rFonts w:ascii="Arial" w:hAnsi="Arial" w:cs="Arial"/>
          <w:bCs/>
          <w:sz w:val="22"/>
          <w:szCs w:val="22"/>
        </w:rPr>
        <w:t xml:space="preserve"> na linii biznes-nauka </w:t>
      </w:r>
      <w:r w:rsidR="009B7E66" w:rsidRPr="00162558">
        <w:rPr>
          <w:rFonts w:ascii="Arial" w:hAnsi="Arial" w:cs="Arial"/>
          <w:bCs/>
          <w:sz w:val="22"/>
          <w:szCs w:val="22"/>
        </w:rPr>
        <w:t xml:space="preserve">często inicjowana jest w oparciu o </w:t>
      </w:r>
      <w:r w:rsidRPr="00B90086">
        <w:rPr>
          <w:rFonts w:ascii="Arial" w:hAnsi="Arial" w:cs="Arial"/>
          <w:bCs/>
          <w:sz w:val="22"/>
          <w:szCs w:val="22"/>
        </w:rPr>
        <w:t xml:space="preserve">kontakty bezpośrednie, </w:t>
      </w:r>
      <w:r w:rsidR="009B7E66" w:rsidRPr="00B90086">
        <w:rPr>
          <w:rFonts w:ascii="Arial" w:hAnsi="Arial" w:cs="Arial"/>
          <w:bCs/>
          <w:sz w:val="22"/>
          <w:szCs w:val="22"/>
        </w:rPr>
        <w:t xml:space="preserve">np. </w:t>
      </w:r>
      <w:r w:rsidRPr="00B90086">
        <w:rPr>
          <w:rFonts w:ascii="Arial" w:hAnsi="Arial" w:cs="Arial"/>
          <w:bCs/>
          <w:sz w:val="22"/>
          <w:szCs w:val="22"/>
        </w:rPr>
        <w:t xml:space="preserve">wypracowane </w:t>
      </w:r>
      <w:r w:rsidR="009B7E66" w:rsidRPr="00B90086">
        <w:rPr>
          <w:rFonts w:ascii="Arial" w:hAnsi="Arial" w:cs="Arial"/>
          <w:bCs/>
          <w:sz w:val="22"/>
          <w:szCs w:val="22"/>
        </w:rPr>
        <w:t>na warsztatach tematycznych i</w:t>
      </w:r>
      <w:r w:rsidR="00B90086" w:rsidRPr="00B90086">
        <w:rPr>
          <w:rFonts w:ascii="Arial" w:hAnsi="Arial" w:cs="Arial"/>
          <w:bCs/>
          <w:sz w:val="22"/>
          <w:szCs w:val="22"/>
        </w:rPr>
        <w:t xml:space="preserve"> konferencjach</w:t>
      </w:r>
      <w:r w:rsidR="00B90086">
        <w:rPr>
          <w:rFonts w:ascii="Arial" w:hAnsi="Arial" w:cs="Arial"/>
          <w:bCs/>
          <w:sz w:val="22"/>
          <w:szCs w:val="22"/>
        </w:rPr>
        <w:t>;</w:t>
      </w:r>
    </w:p>
    <w:p w14:paraId="7D653EDE" w14:textId="2A5EB0C4" w:rsidR="00B90086" w:rsidRPr="00361BFA" w:rsidRDefault="00B90086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61BFA">
        <w:rPr>
          <w:rFonts w:ascii="Arial" w:hAnsi="Arial" w:cs="Arial"/>
          <w:bCs/>
          <w:sz w:val="22"/>
          <w:szCs w:val="22"/>
        </w:rPr>
        <w:t xml:space="preserve">skuteczność udzielania </w:t>
      </w:r>
      <w:r w:rsidR="00BE75C1" w:rsidRPr="00361BFA">
        <w:rPr>
          <w:rFonts w:ascii="Arial" w:hAnsi="Arial" w:cs="Arial"/>
          <w:bCs/>
          <w:sz w:val="22"/>
          <w:szCs w:val="22"/>
        </w:rPr>
        <w:t xml:space="preserve">wsparcia </w:t>
      </w:r>
      <w:r w:rsidR="00BE75C1">
        <w:rPr>
          <w:rFonts w:ascii="Arial" w:hAnsi="Arial" w:cs="Arial"/>
          <w:bCs/>
          <w:sz w:val="22"/>
          <w:szCs w:val="22"/>
        </w:rPr>
        <w:t>w pewnych działaniach można</w:t>
      </w:r>
      <w:r w:rsidRPr="00361BFA">
        <w:rPr>
          <w:rFonts w:ascii="Arial" w:hAnsi="Arial" w:cs="Arial"/>
          <w:bCs/>
          <w:sz w:val="22"/>
          <w:szCs w:val="22"/>
        </w:rPr>
        <w:t xml:space="preserve"> </w:t>
      </w:r>
      <w:r w:rsidR="00BE75C1">
        <w:rPr>
          <w:rFonts w:ascii="Arial" w:hAnsi="Arial" w:cs="Arial"/>
          <w:bCs/>
          <w:sz w:val="22"/>
          <w:szCs w:val="22"/>
        </w:rPr>
        <w:t>podnosić poprzez etap</w:t>
      </w:r>
      <w:r w:rsidRPr="00361BFA">
        <w:rPr>
          <w:rFonts w:ascii="Arial" w:hAnsi="Arial" w:cs="Arial"/>
          <w:bCs/>
          <w:sz w:val="22"/>
          <w:szCs w:val="22"/>
        </w:rPr>
        <w:t xml:space="preserve"> „</w:t>
      </w:r>
      <w:proofErr w:type="spellStart"/>
      <w:r w:rsidRPr="00361BFA">
        <w:rPr>
          <w:rFonts w:ascii="Arial" w:hAnsi="Arial" w:cs="Arial"/>
          <w:bCs/>
          <w:sz w:val="22"/>
          <w:szCs w:val="22"/>
        </w:rPr>
        <w:t>preinkubowania</w:t>
      </w:r>
      <w:proofErr w:type="spellEnd"/>
      <w:r w:rsidRPr="00361BFA">
        <w:rPr>
          <w:rFonts w:ascii="Arial" w:hAnsi="Arial" w:cs="Arial"/>
          <w:bCs/>
          <w:sz w:val="22"/>
          <w:szCs w:val="22"/>
        </w:rPr>
        <w:t>” projektów. Przedstawicielka PARP podała przykład współpracy administracji z potencjalnymi beneficjentami konkursu</w:t>
      </w:r>
      <w:r w:rsidR="00CC2EB3">
        <w:rPr>
          <w:rFonts w:ascii="Arial" w:hAnsi="Arial" w:cs="Arial"/>
          <w:bCs/>
          <w:sz w:val="22"/>
          <w:szCs w:val="22"/>
        </w:rPr>
        <w:t xml:space="preserve"> „Rozwiązania </w:t>
      </w:r>
      <w:r w:rsidRPr="00361BFA">
        <w:rPr>
          <w:rFonts w:ascii="Arial" w:hAnsi="Arial" w:cs="Arial"/>
          <w:bCs/>
          <w:sz w:val="22"/>
          <w:szCs w:val="22"/>
        </w:rPr>
        <w:t xml:space="preserve"> </w:t>
      </w:r>
      <w:r w:rsidR="00CC2EB3">
        <w:rPr>
          <w:rFonts w:ascii="Arial" w:hAnsi="Arial" w:cs="Arial"/>
          <w:bCs/>
          <w:sz w:val="22"/>
          <w:szCs w:val="22"/>
        </w:rPr>
        <w:t>jutra w HR</w:t>
      </w:r>
      <w:r w:rsidRPr="00361BFA">
        <w:rPr>
          <w:rFonts w:ascii="Arial" w:hAnsi="Arial" w:cs="Arial"/>
          <w:bCs/>
          <w:sz w:val="22"/>
          <w:szCs w:val="22"/>
        </w:rPr>
        <w:t>” w ramach poddziałania 2.1.1 POKL, jeszcze przed jego uruchomieniem.</w:t>
      </w:r>
      <w:r w:rsidR="00361BFA">
        <w:rPr>
          <w:rFonts w:ascii="Arial" w:hAnsi="Arial" w:cs="Arial"/>
          <w:bCs/>
          <w:sz w:val="22"/>
          <w:szCs w:val="22"/>
        </w:rPr>
        <w:t xml:space="preserve"> P</w:t>
      </w:r>
      <w:r w:rsidRPr="00361BFA">
        <w:rPr>
          <w:rFonts w:ascii="Arial" w:hAnsi="Arial" w:cs="Arial"/>
          <w:bCs/>
          <w:sz w:val="22"/>
          <w:szCs w:val="22"/>
        </w:rPr>
        <w:t>odczas serii spotkań warsztatowych z zaproszonymi przedsiębiorcami</w:t>
      </w:r>
      <w:r w:rsidR="00361BFA" w:rsidRPr="00361BFA">
        <w:rPr>
          <w:rFonts w:ascii="Arial" w:hAnsi="Arial" w:cs="Arial"/>
          <w:bCs/>
          <w:sz w:val="22"/>
          <w:szCs w:val="22"/>
        </w:rPr>
        <w:t xml:space="preserve"> (których profil najbardziej pasował do wsparcia)</w:t>
      </w:r>
      <w:r w:rsidRPr="00361BFA">
        <w:rPr>
          <w:rFonts w:ascii="Arial" w:hAnsi="Arial" w:cs="Arial"/>
          <w:bCs/>
          <w:sz w:val="22"/>
          <w:szCs w:val="22"/>
        </w:rPr>
        <w:t xml:space="preserve">, </w:t>
      </w:r>
      <w:r w:rsidR="00BE75C1">
        <w:rPr>
          <w:rFonts w:ascii="Arial" w:hAnsi="Arial" w:cs="Arial"/>
          <w:bCs/>
          <w:sz w:val="22"/>
          <w:szCs w:val="22"/>
        </w:rPr>
        <w:t xml:space="preserve">wspólnie </w:t>
      </w:r>
      <w:r w:rsidR="00361BFA" w:rsidRPr="00361BFA">
        <w:rPr>
          <w:rFonts w:ascii="Arial" w:hAnsi="Arial" w:cs="Arial"/>
          <w:bCs/>
          <w:sz w:val="22"/>
          <w:szCs w:val="22"/>
        </w:rPr>
        <w:t>dopracowano instrumenty</w:t>
      </w:r>
      <w:r w:rsidRPr="00361BFA">
        <w:rPr>
          <w:rFonts w:ascii="Arial" w:hAnsi="Arial" w:cs="Arial"/>
          <w:bCs/>
          <w:sz w:val="22"/>
          <w:szCs w:val="22"/>
        </w:rPr>
        <w:t xml:space="preserve"> wsparcia</w:t>
      </w:r>
      <w:r w:rsidR="00361BFA" w:rsidRPr="00361BFA">
        <w:rPr>
          <w:rFonts w:ascii="Arial" w:hAnsi="Arial" w:cs="Arial"/>
          <w:bCs/>
          <w:sz w:val="22"/>
          <w:szCs w:val="22"/>
        </w:rPr>
        <w:t>, a</w:t>
      </w:r>
      <w:r w:rsidRPr="00361BFA">
        <w:rPr>
          <w:rFonts w:ascii="Arial" w:hAnsi="Arial" w:cs="Arial"/>
          <w:bCs/>
          <w:sz w:val="22"/>
          <w:szCs w:val="22"/>
        </w:rPr>
        <w:t xml:space="preserve"> firmy </w:t>
      </w:r>
      <w:r w:rsidR="00361BFA" w:rsidRPr="00361BFA">
        <w:rPr>
          <w:rFonts w:ascii="Arial" w:hAnsi="Arial" w:cs="Arial"/>
          <w:bCs/>
          <w:sz w:val="22"/>
          <w:szCs w:val="22"/>
        </w:rPr>
        <w:t>z większą świadomością</w:t>
      </w:r>
      <w:r w:rsidRPr="00361BFA">
        <w:rPr>
          <w:rFonts w:ascii="Arial" w:hAnsi="Arial" w:cs="Arial"/>
          <w:bCs/>
          <w:sz w:val="22"/>
          <w:szCs w:val="22"/>
        </w:rPr>
        <w:t xml:space="preserve"> </w:t>
      </w:r>
      <w:r w:rsidR="00361BFA" w:rsidRPr="00361BFA">
        <w:rPr>
          <w:rFonts w:ascii="Arial" w:hAnsi="Arial" w:cs="Arial"/>
          <w:bCs/>
          <w:sz w:val="22"/>
          <w:szCs w:val="22"/>
        </w:rPr>
        <w:t xml:space="preserve">mogły </w:t>
      </w:r>
      <w:r w:rsidRPr="00361BFA">
        <w:rPr>
          <w:rFonts w:ascii="Arial" w:hAnsi="Arial" w:cs="Arial"/>
          <w:bCs/>
          <w:sz w:val="22"/>
          <w:szCs w:val="22"/>
        </w:rPr>
        <w:t>podjąć decy</w:t>
      </w:r>
      <w:r w:rsidR="00361BFA" w:rsidRPr="00361BFA">
        <w:rPr>
          <w:rFonts w:ascii="Arial" w:hAnsi="Arial" w:cs="Arial"/>
          <w:bCs/>
          <w:sz w:val="22"/>
          <w:szCs w:val="22"/>
        </w:rPr>
        <w:t>zję o przystąpieniu do konkursu</w:t>
      </w:r>
      <w:r w:rsidR="00361BFA">
        <w:rPr>
          <w:rFonts w:ascii="Arial" w:hAnsi="Arial" w:cs="Arial"/>
          <w:bCs/>
          <w:sz w:val="22"/>
          <w:szCs w:val="22"/>
        </w:rPr>
        <w:t xml:space="preserve"> lub rezygnacji (podsumowanie całego procesu – w prezentacji załączonej w materiałach ze spotkania)</w:t>
      </w:r>
      <w:r w:rsidRPr="00361BFA">
        <w:rPr>
          <w:rFonts w:ascii="Arial" w:hAnsi="Arial" w:cs="Arial"/>
          <w:bCs/>
          <w:sz w:val="22"/>
          <w:szCs w:val="22"/>
        </w:rPr>
        <w:t>;</w:t>
      </w:r>
    </w:p>
    <w:p w14:paraId="3029BCD7" w14:textId="77777777" w:rsidR="00B7058F" w:rsidRPr="001A7281" w:rsidRDefault="003A00A7" w:rsidP="00621C68">
      <w:pPr>
        <w:spacing w:before="240" w:after="120" w:line="24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B7058F" w:rsidRPr="001A7281">
        <w:rPr>
          <w:rFonts w:ascii="Arial" w:hAnsi="Arial" w:cs="Arial"/>
          <w:i/>
          <w:sz w:val="22"/>
          <w:szCs w:val="22"/>
        </w:rPr>
        <w:t>kuteczne informowanie potencjalnych beneficjentów</w:t>
      </w:r>
    </w:p>
    <w:p w14:paraId="4C3E570D" w14:textId="77777777" w:rsidR="00450FEE" w:rsidRDefault="009E3931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zdaniem </w:t>
      </w:r>
      <w:r w:rsidR="009F42C6" w:rsidRPr="002135C8">
        <w:rPr>
          <w:rFonts w:ascii="Arial" w:hAnsi="Arial" w:cs="Arial"/>
          <w:bCs/>
          <w:sz w:val="22"/>
          <w:szCs w:val="22"/>
        </w:rPr>
        <w:t>przedstawiciel</w:t>
      </w:r>
      <w:r>
        <w:rPr>
          <w:rFonts w:ascii="Arial" w:hAnsi="Arial" w:cs="Arial"/>
          <w:bCs/>
          <w:sz w:val="22"/>
          <w:szCs w:val="22"/>
        </w:rPr>
        <w:t>a</w:t>
      </w:r>
      <w:r w:rsidR="009F42C6" w:rsidRPr="002135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IZ </w:t>
      </w:r>
      <w:r w:rsidR="009F42C6" w:rsidRPr="002135C8">
        <w:rPr>
          <w:rFonts w:ascii="Arial" w:hAnsi="Arial" w:cs="Arial"/>
          <w:bCs/>
          <w:sz w:val="22"/>
          <w:szCs w:val="22"/>
        </w:rPr>
        <w:t xml:space="preserve">RPO </w:t>
      </w:r>
      <w:r w:rsidR="002135C8" w:rsidRPr="002135C8">
        <w:rPr>
          <w:rFonts w:ascii="Arial" w:hAnsi="Arial" w:cs="Arial"/>
          <w:bCs/>
          <w:sz w:val="22"/>
          <w:szCs w:val="22"/>
        </w:rPr>
        <w:t xml:space="preserve">województwa </w:t>
      </w:r>
      <w:r w:rsidR="009F42C6" w:rsidRPr="002135C8">
        <w:rPr>
          <w:rFonts w:ascii="Arial" w:hAnsi="Arial" w:cs="Arial"/>
          <w:bCs/>
          <w:sz w:val="22"/>
          <w:szCs w:val="22"/>
        </w:rPr>
        <w:t>podlaskiego</w:t>
      </w:r>
      <w:r w:rsidR="009F42C6" w:rsidRPr="00450FEE">
        <w:rPr>
          <w:rFonts w:ascii="Arial" w:hAnsi="Arial" w:cs="Arial"/>
          <w:bCs/>
          <w:sz w:val="22"/>
          <w:szCs w:val="22"/>
        </w:rPr>
        <w:t xml:space="preserve"> wdrożenie 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na stronie 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internetowej </w:t>
      </w:r>
      <w:r w:rsidR="001D1FE8" w:rsidRPr="00450FEE">
        <w:rPr>
          <w:rFonts w:ascii="Arial" w:hAnsi="Arial" w:cs="Arial"/>
          <w:bCs/>
          <w:sz w:val="22"/>
          <w:szCs w:val="22"/>
        </w:rPr>
        <w:t xml:space="preserve">punktowego </w:t>
      </w:r>
      <w:r w:rsidR="00BF0028" w:rsidRPr="00450FEE">
        <w:rPr>
          <w:rFonts w:ascii="Arial" w:hAnsi="Arial" w:cs="Arial"/>
          <w:bCs/>
          <w:sz w:val="22"/>
          <w:szCs w:val="22"/>
        </w:rPr>
        <w:t>kwalifikatora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 kryteriów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, </w:t>
      </w:r>
      <w:r w:rsidR="001D1FE8" w:rsidRPr="00450FEE">
        <w:rPr>
          <w:rFonts w:ascii="Arial" w:hAnsi="Arial" w:cs="Arial"/>
          <w:bCs/>
          <w:sz w:val="22"/>
          <w:szCs w:val="22"/>
        </w:rPr>
        <w:t xml:space="preserve">dzięki któremu </w:t>
      </w:r>
      <w:r w:rsidR="00B7058F" w:rsidRPr="00450FEE">
        <w:rPr>
          <w:rFonts w:ascii="Arial" w:hAnsi="Arial" w:cs="Arial"/>
          <w:bCs/>
          <w:sz w:val="22"/>
          <w:szCs w:val="22"/>
        </w:rPr>
        <w:t>przedsi</w:t>
      </w:r>
      <w:r w:rsidR="00BF0028" w:rsidRPr="00450FEE">
        <w:rPr>
          <w:rFonts w:ascii="Arial" w:hAnsi="Arial" w:cs="Arial"/>
          <w:bCs/>
          <w:sz w:val="22"/>
          <w:szCs w:val="22"/>
        </w:rPr>
        <w:t>ę</w:t>
      </w:r>
      <w:r w:rsidR="00B7058F" w:rsidRPr="00450FEE">
        <w:rPr>
          <w:rFonts w:ascii="Arial" w:hAnsi="Arial" w:cs="Arial"/>
          <w:bCs/>
          <w:sz w:val="22"/>
          <w:szCs w:val="22"/>
        </w:rPr>
        <w:t>bio</w:t>
      </w:r>
      <w:r w:rsidR="00BF0028" w:rsidRPr="00450FEE">
        <w:rPr>
          <w:rFonts w:ascii="Arial" w:hAnsi="Arial" w:cs="Arial"/>
          <w:bCs/>
          <w:sz w:val="22"/>
          <w:szCs w:val="22"/>
        </w:rPr>
        <w:t>r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ca </w:t>
      </w:r>
      <w:r w:rsidR="00547420">
        <w:rPr>
          <w:rFonts w:ascii="Arial" w:hAnsi="Arial" w:cs="Arial"/>
          <w:bCs/>
          <w:sz w:val="22"/>
          <w:szCs w:val="22"/>
        </w:rPr>
        <w:t>sprawdza</w:t>
      </w:r>
      <w:r w:rsidR="001D1FE8" w:rsidRPr="00450FEE">
        <w:rPr>
          <w:rFonts w:ascii="Arial" w:hAnsi="Arial" w:cs="Arial"/>
          <w:bCs/>
          <w:sz w:val="22"/>
          <w:szCs w:val="22"/>
        </w:rPr>
        <w:t xml:space="preserve"> </w:t>
      </w:r>
      <w:r w:rsidR="00512F43">
        <w:rPr>
          <w:rFonts w:ascii="Arial" w:hAnsi="Arial" w:cs="Arial"/>
          <w:bCs/>
          <w:sz w:val="22"/>
          <w:szCs w:val="22"/>
        </w:rPr>
        <w:t xml:space="preserve">liczbę </w:t>
      </w:r>
      <w:r w:rsidR="00BF0028" w:rsidRPr="00450FEE">
        <w:rPr>
          <w:rFonts w:ascii="Arial" w:hAnsi="Arial" w:cs="Arial"/>
          <w:bCs/>
          <w:sz w:val="22"/>
          <w:szCs w:val="22"/>
        </w:rPr>
        <w:t>punktów</w:t>
      </w:r>
      <w:r w:rsidR="00512F43">
        <w:rPr>
          <w:rFonts w:ascii="Arial" w:hAnsi="Arial" w:cs="Arial"/>
          <w:bCs/>
          <w:sz w:val="22"/>
          <w:szCs w:val="22"/>
        </w:rPr>
        <w:t xml:space="preserve"> uzyskiwanych przez </w:t>
      </w:r>
      <w:r w:rsidR="009075EC" w:rsidRPr="00450FEE">
        <w:rPr>
          <w:rFonts w:ascii="Arial" w:hAnsi="Arial" w:cs="Arial"/>
          <w:bCs/>
          <w:sz w:val="22"/>
          <w:szCs w:val="22"/>
        </w:rPr>
        <w:t>projekt</w:t>
      </w:r>
      <w:r w:rsidR="00547420">
        <w:rPr>
          <w:rFonts w:ascii="Arial" w:hAnsi="Arial" w:cs="Arial"/>
          <w:bCs/>
          <w:sz w:val="22"/>
          <w:szCs w:val="22"/>
        </w:rPr>
        <w:t>,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 pomogło wyeliminować </w:t>
      </w:r>
      <w:r w:rsidR="00B7058F" w:rsidRPr="00450FEE">
        <w:rPr>
          <w:rFonts w:ascii="Arial" w:hAnsi="Arial" w:cs="Arial"/>
          <w:bCs/>
          <w:sz w:val="22"/>
          <w:szCs w:val="22"/>
        </w:rPr>
        <w:t>projekty z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upełnie nieprzygotowane do </w:t>
      </w:r>
      <w:r w:rsidR="00547420">
        <w:rPr>
          <w:rFonts w:ascii="Arial" w:hAnsi="Arial" w:cs="Arial"/>
          <w:bCs/>
          <w:sz w:val="22"/>
          <w:szCs w:val="22"/>
        </w:rPr>
        <w:t xml:space="preserve">wnioskowania </w:t>
      </w:r>
      <w:r w:rsidR="009075EC" w:rsidRPr="00450FEE">
        <w:rPr>
          <w:rFonts w:ascii="Arial" w:hAnsi="Arial" w:cs="Arial"/>
          <w:bCs/>
          <w:sz w:val="22"/>
          <w:szCs w:val="22"/>
        </w:rPr>
        <w:t>o wsparcie</w:t>
      </w:r>
      <w:r w:rsidR="00BF0028" w:rsidRPr="00450FEE">
        <w:rPr>
          <w:rFonts w:ascii="Arial" w:hAnsi="Arial" w:cs="Arial"/>
          <w:bCs/>
          <w:sz w:val="22"/>
          <w:szCs w:val="22"/>
        </w:rPr>
        <w:t>;</w:t>
      </w:r>
    </w:p>
    <w:p w14:paraId="0E9E6A7D" w14:textId="4A8F8213" w:rsidR="00450FEE" w:rsidRDefault="009075EC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50FEE">
        <w:rPr>
          <w:rFonts w:ascii="Arial" w:hAnsi="Arial" w:cs="Arial"/>
          <w:bCs/>
          <w:sz w:val="22"/>
          <w:szCs w:val="22"/>
        </w:rPr>
        <w:t xml:space="preserve">zwracano uwagę na </w:t>
      </w:r>
      <w:r w:rsidR="00BC052F">
        <w:rPr>
          <w:rFonts w:ascii="Arial" w:hAnsi="Arial" w:cs="Arial"/>
          <w:bCs/>
          <w:sz w:val="22"/>
          <w:szCs w:val="22"/>
        </w:rPr>
        <w:t xml:space="preserve">wciąż istniejącą </w:t>
      </w:r>
      <w:r w:rsidRPr="00450FEE">
        <w:rPr>
          <w:rFonts w:ascii="Arial" w:hAnsi="Arial" w:cs="Arial"/>
          <w:bCs/>
          <w:sz w:val="22"/>
          <w:szCs w:val="22"/>
        </w:rPr>
        <w:t xml:space="preserve">potrzebę szkolenia przedsiębiorstw </w:t>
      </w:r>
      <w:proofErr w:type="spellStart"/>
      <w:r w:rsidRPr="00450FEE">
        <w:rPr>
          <w:rFonts w:ascii="Arial" w:hAnsi="Arial" w:cs="Arial"/>
          <w:bCs/>
          <w:sz w:val="22"/>
          <w:szCs w:val="22"/>
        </w:rPr>
        <w:t>nt</w:t>
      </w:r>
      <w:proofErr w:type="spellEnd"/>
      <w:r w:rsidRPr="00450FEE">
        <w:rPr>
          <w:rFonts w:ascii="Arial" w:hAnsi="Arial" w:cs="Arial"/>
          <w:bCs/>
          <w:sz w:val="22"/>
          <w:szCs w:val="22"/>
        </w:rPr>
        <w:t xml:space="preserve"> </w:t>
      </w:r>
      <w:r w:rsidR="00BC052F">
        <w:rPr>
          <w:rFonts w:ascii="Arial" w:hAnsi="Arial" w:cs="Arial"/>
          <w:bCs/>
          <w:sz w:val="22"/>
          <w:szCs w:val="22"/>
        </w:rPr>
        <w:t xml:space="preserve">ubiegania się </w:t>
      </w:r>
      <w:r w:rsidR="00E72067">
        <w:rPr>
          <w:rFonts w:ascii="Arial" w:hAnsi="Arial" w:cs="Arial"/>
          <w:bCs/>
          <w:sz w:val="22"/>
          <w:szCs w:val="22"/>
        </w:rPr>
        <w:t>o dostępne</w:t>
      </w:r>
      <w:r w:rsidRPr="00450FEE">
        <w:rPr>
          <w:rFonts w:ascii="Arial" w:hAnsi="Arial" w:cs="Arial"/>
          <w:bCs/>
          <w:sz w:val="22"/>
          <w:szCs w:val="22"/>
        </w:rPr>
        <w:t xml:space="preserve"> wsparcia; tw</w:t>
      </w:r>
      <w:r w:rsidR="00E72067">
        <w:rPr>
          <w:rFonts w:ascii="Arial" w:hAnsi="Arial" w:cs="Arial"/>
          <w:bCs/>
          <w:sz w:val="22"/>
          <w:szCs w:val="22"/>
        </w:rPr>
        <w:t>ierdzono, że największą wartość</w:t>
      </w:r>
      <w:r w:rsidRPr="00450FEE">
        <w:rPr>
          <w:rFonts w:ascii="Arial" w:hAnsi="Arial" w:cs="Arial"/>
          <w:bCs/>
          <w:sz w:val="22"/>
          <w:szCs w:val="22"/>
        </w:rPr>
        <w:t xml:space="preserve"> oraz efekty wnoszą szkolenia </w:t>
      </w:r>
      <w:r w:rsidR="00BF0028" w:rsidRPr="00450FEE">
        <w:rPr>
          <w:rFonts w:ascii="Arial" w:hAnsi="Arial" w:cs="Arial"/>
          <w:bCs/>
          <w:sz w:val="22"/>
          <w:szCs w:val="22"/>
        </w:rPr>
        <w:t>profilowan</w:t>
      </w:r>
      <w:r w:rsidRPr="00450FEE">
        <w:rPr>
          <w:rFonts w:ascii="Arial" w:hAnsi="Arial" w:cs="Arial"/>
          <w:bCs/>
          <w:sz w:val="22"/>
          <w:szCs w:val="22"/>
        </w:rPr>
        <w:t xml:space="preserve">e, dla konkretnych </w:t>
      </w:r>
      <w:r w:rsidR="00C757FE">
        <w:rPr>
          <w:rFonts w:ascii="Arial" w:hAnsi="Arial" w:cs="Arial"/>
          <w:bCs/>
          <w:sz w:val="22"/>
          <w:szCs w:val="22"/>
        </w:rPr>
        <w:t xml:space="preserve">grup </w:t>
      </w:r>
      <w:r w:rsidRPr="00450FEE">
        <w:rPr>
          <w:rFonts w:ascii="Arial" w:hAnsi="Arial" w:cs="Arial"/>
          <w:bCs/>
          <w:sz w:val="22"/>
          <w:szCs w:val="22"/>
        </w:rPr>
        <w:t xml:space="preserve">przedsiębiorców, 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organizowane </w:t>
      </w:r>
      <w:r w:rsidRPr="00450FEE">
        <w:rPr>
          <w:rFonts w:ascii="Arial" w:hAnsi="Arial" w:cs="Arial"/>
          <w:bCs/>
          <w:sz w:val="22"/>
          <w:szCs w:val="22"/>
        </w:rPr>
        <w:t xml:space="preserve">np. </w:t>
      </w:r>
      <w:r w:rsidR="00E72067" w:rsidRPr="00450FEE">
        <w:rPr>
          <w:rFonts w:ascii="Arial" w:hAnsi="Arial" w:cs="Arial"/>
          <w:bCs/>
          <w:sz w:val="22"/>
          <w:szCs w:val="22"/>
        </w:rPr>
        <w:t xml:space="preserve">przez </w:t>
      </w:r>
      <w:r w:rsidR="00BF0028" w:rsidRPr="00450FEE">
        <w:rPr>
          <w:rFonts w:ascii="Arial" w:hAnsi="Arial" w:cs="Arial"/>
          <w:bCs/>
          <w:sz w:val="22"/>
          <w:szCs w:val="22"/>
        </w:rPr>
        <w:t>związk</w:t>
      </w:r>
      <w:r w:rsidR="00E72067">
        <w:rPr>
          <w:rFonts w:ascii="Arial" w:hAnsi="Arial" w:cs="Arial"/>
          <w:bCs/>
          <w:sz w:val="22"/>
          <w:szCs w:val="22"/>
        </w:rPr>
        <w:t>i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 p</w:t>
      </w:r>
      <w:r w:rsidRPr="00450FEE">
        <w:rPr>
          <w:rFonts w:ascii="Arial" w:hAnsi="Arial" w:cs="Arial"/>
          <w:bCs/>
          <w:sz w:val="22"/>
          <w:szCs w:val="22"/>
        </w:rPr>
        <w:t xml:space="preserve">racodawców lub </w:t>
      </w:r>
      <w:r w:rsidR="00BF0028" w:rsidRPr="00450FEE">
        <w:rPr>
          <w:rFonts w:ascii="Arial" w:hAnsi="Arial" w:cs="Arial"/>
          <w:bCs/>
          <w:sz w:val="22"/>
          <w:szCs w:val="22"/>
        </w:rPr>
        <w:t>przez banki</w:t>
      </w:r>
      <w:r w:rsidRPr="00450FEE">
        <w:rPr>
          <w:rFonts w:ascii="Arial" w:hAnsi="Arial" w:cs="Arial"/>
          <w:bCs/>
          <w:sz w:val="22"/>
          <w:szCs w:val="22"/>
        </w:rPr>
        <w:t xml:space="preserve"> –</w:t>
      </w:r>
      <w:r w:rsidR="00BF0028" w:rsidRPr="00450FEE">
        <w:rPr>
          <w:rFonts w:ascii="Arial" w:hAnsi="Arial" w:cs="Arial"/>
          <w:bCs/>
          <w:sz w:val="22"/>
          <w:szCs w:val="22"/>
        </w:rPr>
        <w:t xml:space="preserve"> </w:t>
      </w:r>
      <w:r w:rsidRPr="00450FEE">
        <w:rPr>
          <w:rFonts w:ascii="Arial" w:hAnsi="Arial" w:cs="Arial"/>
          <w:bCs/>
          <w:sz w:val="22"/>
          <w:szCs w:val="22"/>
        </w:rPr>
        <w:t>argumentowano, że takie spotkania przyciągały przedsiębiorców, w odróżnieniu od szkoleń prowadz</w:t>
      </w:r>
      <w:r w:rsidR="00E72067">
        <w:rPr>
          <w:rFonts w:ascii="Arial" w:hAnsi="Arial" w:cs="Arial"/>
          <w:bCs/>
          <w:sz w:val="22"/>
          <w:szCs w:val="22"/>
        </w:rPr>
        <w:t>o</w:t>
      </w:r>
      <w:r w:rsidRPr="00450FEE">
        <w:rPr>
          <w:rFonts w:ascii="Arial" w:hAnsi="Arial" w:cs="Arial"/>
          <w:bCs/>
          <w:sz w:val="22"/>
          <w:szCs w:val="22"/>
        </w:rPr>
        <w:t xml:space="preserve">nych przez administrację (często </w:t>
      </w:r>
      <w:r w:rsidR="00E72067">
        <w:rPr>
          <w:rFonts w:ascii="Arial" w:hAnsi="Arial" w:cs="Arial"/>
          <w:bCs/>
          <w:sz w:val="22"/>
          <w:szCs w:val="22"/>
        </w:rPr>
        <w:t>gromadziły</w:t>
      </w:r>
      <w:r w:rsidRPr="00450FEE">
        <w:rPr>
          <w:rFonts w:ascii="Arial" w:hAnsi="Arial" w:cs="Arial"/>
          <w:bCs/>
          <w:sz w:val="22"/>
          <w:szCs w:val="22"/>
        </w:rPr>
        <w:t xml:space="preserve"> gł</w:t>
      </w:r>
      <w:r w:rsidR="00E72067">
        <w:rPr>
          <w:rFonts w:ascii="Arial" w:hAnsi="Arial" w:cs="Arial"/>
          <w:bCs/>
          <w:sz w:val="22"/>
          <w:szCs w:val="22"/>
        </w:rPr>
        <w:t>ó</w:t>
      </w:r>
      <w:r w:rsidRPr="00450FEE">
        <w:rPr>
          <w:rFonts w:ascii="Arial" w:hAnsi="Arial" w:cs="Arial"/>
          <w:bCs/>
          <w:sz w:val="22"/>
          <w:szCs w:val="22"/>
        </w:rPr>
        <w:t>wnie przedstawicieli firm konsultingowych)</w:t>
      </w:r>
      <w:r w:rsidR="00450FEE">
        <w:rPr>
          <w:rFonts w:ascii="Arial" w:hAnsi="Arial" w:cs="Arial"/>
          <w:bCs/>
          <w:sz w:val="22"/>
          <w:szCs w:val="22"/>
        </w:rPr>
        <w:t>;</w:t>
      </w:r>
    </w:p>
    <w:p w14:paraId="6E67EBF0" w14:textId="77777777" w:rsidR="00B7058F" w:rsidRPr="00450FEE" w:rsidRDefault="00B73CAB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50FEE">
        <w:rPr>
          <w:rFonts w:ascii="Arial" w:hAnsi="Arial" w:cs="Arial"/>
          <w:bCs/>
          <w:sz w:val="22"/>
          <w:szCs w:val="22"/>
        </w:rPr>
        <w:lastRenderedPageBreak/>
        <w:t>w opinii uczestników spotkania wnioski zbyt często przygotowywane są przez firmy doradcze, w oderwaniu od rzeczywistości biznesowej danego przedsiębiorstwa;</w:t>
      </w:r>
      <w:r>
        <w:rPr>
          <w:rFonts w:ascii="Arial" w:hAnsi="Arial" w:cs="Arial"/>
          <w:bCs/>
          <w:sz w:val="22"/>
          <w:szCs w:val="22"/>
        </w:rPr>
        <w:t xml:space="preserve"> wskazywano na </w:t>
      </w:r>
      <w:r w:rsidR="00450FEE" w:rsidRPr="00450FEE">
        <w:rPr>
          <w:rFonts w:ascii="Arial" w:hAnsi="Arial" w:cs="Arial"/>
          <w:bCs/>
          <w:sz w:val="22"/>
          <w:szCs w:val="22"/>
        </w:rPr>
        <w:t xml:space="preserve">potrzebę ściślejszej współpracy </w:t>
      </w:r>
      <w:r>
        <w:rPr>
          <w:rFonts w:ascii="Arial" w:hAnsi="Arial" w:cs="Arial"/>
          <w:bCs/>
          <w:sz w:val="22"/>
          <w:szCs w:val="22"/>
        </w:rPr>
        <w:t xml:space="preserve">IOB </w:t>
      </w:r>
      <w:r w:rsidR="00450FEE" w:rsidRPr="00450FEE">
        <w:rPr>
          <w:rFonts w:ascii="Arial" w:hAnsi="Arial" w:cs="Arial"/>
          <w:bCs/>
          <w:sz w:val="22"/>
          <w:szCs w:val="22"/>
        </w:rPr>
        <w:t xml:space="preserve">z przedsiębiorcami nad przygotowywaniem wniosków, tak by </w:t>
      </w:r>
      <w:r>
        <w:rPr>
          <w:rFonts w:ascii="Arial" w:hAnsi="Arial" w:cs="Arial"/>
          <w:bCs/>
          <w:sz w:val="22"/>
          <w:szCs w:val="22"/>
        </w:rPr>
        <w:t>mogły w większym stopniu same sporządzać wnioski;</w:t>
      </w:r>
    </w:p>
    <w:p w14:paraId="23D34EAD" w14:textId="77777777" w:rsidR="00B7058F" w:rsidRPr="009F7863" w:rsidRDefault="009F7863" w:rsidP="00621C68">
      <w:pPr>
        <w:spacing w:before="240" w:after="120" w:line="24" w:lineRule="atLeas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FE5DB0" w:rsidRPr="009F7863">
        <w:rPr>
          <w:rFonts w:ascii="Arial" w:hAnsi="Arial" w:cs="Arial"/>
          <w:i/>
          <w:sz w:val="22"/>
          <w:szCs w:val="22"/>
        </w:rPr>
        <w:t xml:space="preserve">ozostałe </w:t>
      </w:r>
      <w:r>
        <w:rPr>
          <w:rFonts w:ascii="Arial" w:hAnsi="Arial" w:cs="Arial"/>
          <w:i/>
          <w:sz w:val="22"/>
          <w:szCs w:val="22"/>
        </w:rPr>
        <w:t>uwagi</w:t>
      </w:r>
    </w:p>
    <w:p w14:paraId="7C7DF951" w14:textId="77777777" w:rsidR="00B7058F" w:rsidRPr="001A7281" w:rsidRDefault="00B73CAB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duże zainteresowanie konkursami przeznaczonymi</w:t>
      </w:r>
      <w:r w:rsidR="009F7863">
        <w:rPr>
          <w:rFonts w:ascii="Arial" w:hAnsi="Arial" w:cs="Arial"/>
          <w:bCs/>
          <w:sz w:val="22"/>
          <w:szCs w:val="22"/>
        </w:rPr>
        <w:t xml:space="preserve"> dla sektora rolnictwa pokazuj</w:t>
      </w:r>
      <w:r>
        <w:rPr>
          <w:rFonts w:ascii="Arial" w:hAnsi="Arial" w:cs="Arial"/>
          <w:bCs/>
          <w:sz w:val="22"/>
          <w:szCs w:val="22"/>
        </w:rPr>
        <w:t>e</w:t>
      </w:r>
      <w:r w:rsidR="009F7863">
        <w:rPr>
          <w:rFonts w:ascii="Arial" w:hAnsi="Arial" w:cs="Arial"/>
          <w:bCs/>
          <w:sz w:val="22"/>
          <w:szCs w:val="22"/>
        </w:rPr>
        <w:t xml:space="preserve">, że </w:t>
      </w:r>
      <w:r>
        <w:rPr>
          <w:rFonts w:ascii="Arial" w:hAnsi="Arial" w:cs="Arial"/>
          <w:bCs/>
          <w:sz w:val="22"/>
          <w:szCs w:val="22"/>
        </w:rPr>
        <w:t xml:space="preserve">działania </w:t>
      </w:r>
      <w:r w:rsidR="009F7863">
        <w:rPr>
          <w:rFonts w:ascii="Arial" w:hAnsi="Arial" w:cs="Arial"/>
          <w:bCs/>
          <w:sz w:val="22"/>
          <w:szCs w:val="22"/>
        </w:rPr>
        <w:t>„</w:t>
      </w:r>
      <w:r w:rsidR="00B7058F" w:rsidRPr="009F7863">
        <w:rPr>
          <w:rFonts w:ascii="Arial" w:hAnsi="Arial" w:cs="Arial"/>
          <w:bCs/>
          <w:sz w:val="22"/>
          <w:szCs w:val="22"/>
        </w:rPr>
        <w:t>szyte na miarę</w:t>
      </w:r>
      <w:r w:rsidR="009F7863">
        <w:rPr>
          <w:rFonts w:ascii="Arial" w:hAnsi="Arial" w:cs="Arial"/>
          <w:bCs/>
          <w:sz w:val="22"/>
          <w:szCs w:val="22"/>
        </w:rPr>
        <w:t>” dla konkretnych branż</w:t>
      </w:r>
      <w:r w:rsidR="00B7058F" w:rsidRPr="009F7863">
        <w:rPr>
          <w:rFonts w:ascii="Arial" w:hAnsi="Arial" w:cs="Arial"/>
          <w:bCs/>
          <w:sz w:val="22"/>
          <w:szCs w:val="22"/>
        </w:rPr>
        <w:t xml:space="preserve"> </w:t>
      </w:r>
      <w:r w:rsidR="009F7863">
        <w:rPr>
          <w:rFonts w:ascii="Arial" w:hAnsi="Arial" w:cs="Arial"/>
          <w:bCs/>
          <w:sz w:val="22"/>
          <w:szCs w:val="22"/>
        </w:rPr>
        <w:t>mogą zwiększa</w:t>
      </w:r>
      <w:r w:rsidR="00B7058F" w:rsidRPr="001A7281">
        <w:rPr>
          <w:rFonts w:ascii="Arial" w:hAnsi="Arial" w:cs="Arial"/>
          <w:bCs/>
          <w:sz w:val="22"/>
          <w:szCs w:val="22"/>
        </w:rPr>
        <w:t xml:space="preserve">ć aktywność </w:t>
      </w:r>
      <w:r w:rsidR="009F7863">
        <w:rPr>
          <w:rFonts w:ascii="Arial" w:hAnsi="Arial" w:cs="Arial"/>
          <w:bCs/>
          <w:sz w:val="22"/>
          <w:szCs w:val="22"/>
        </w:rPr>
        <w:t>firm w aplikowaniu o wsparcie</w:t>
      </w:r>
      <w:r w:rsidR="00B7058F" w:rsidRPr="001A7281">
        <w:rPr>
          <w:rFonts w:ascii="Arial" w:hAnsi="Arial" w:cs="Arial"/>
          <w:bCs/>
          <w:sz w:val="22"/>
          <w:szCs w:val="22"/>
        </w:rPr>
        <w:t>;</w:t>
      </w:r>
      <w:r w:rsidR="00717543">
        <w:rPr>
          <w:rFonts w:ascii="Arial" w:hAnsi="Arial" w:cs="Arial"/>
          <w:bCs/>
          <w:sz w:val="22"/>
          <w:szCs w:val="22"/>
        </w:rPr>
        <w:t xml:space="preserve"> takie dopasowywanie konkursów do wybranych grup firm/branż jest rozważane zarówno na poziomie regionalnym, jak i krajowym;</w:t>
      </w:r>
    </w:p>
    <w:p w14:paraId="07D29AA8" w14:textId="77777777" w:rsidR="00450FEE" w:rsidRDefault="00B7058F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A7281">
        <w:rPr>
          <w:rFonts w:ascii="Arial" w:hAnsi="Arial" w:cs="Arial"/>
          <w:bCs/>
          <w:sz w:val="22"/>
          <w:szCs w:val="22"/>
        </w:rPr>
        <w:t xml:space="preserve">większe zaangażowanie </w:t>
      </w:r>
      <w:r w:rsidRPr="00935D6F">
        <w:rPr>
          <w:rFonts w:ascii="Arial" w:hAnsi="Arial" w:cs="Arial"/>
          <w:bCs/>
          <w:sz w:val="22"/>
          <w:szCs w:val="22"/>
        </w:rPr>
        <w:t xml:space="preserve">instrumentów finansowych wymaga </w:t>
      </w:r>
      <w:r w:rsidR="008B6370">
        <w:rPr>
          <w:rFonts w:ascii="Arial" w:hAnsi="Arial" w:cs="Arial"/>
          <w:bCs/>
          <w:sz w:val="22"/>
          <w:szCs w:val="22"/>
        </w:rPr>
        <w:t>uświadamiania przedsiębiorc</w:t>
      </w:r>
      <w:r w:rsidR="00B73CAB">
        <w:rPr>
          <w:rFonts w:ascii="Arial" w:hAnsi="Arial" w:cs="Arial"/>
          <w:bCs/>
          <w:sz w:val="22"/>
          <w:szCs w:val="22"/>
        </w:rPr>
        <w:t>om</w:t>
      </w:r>
      <w:r w:rsidRPr="00935D6F">
        <w:rPr>
          <w:rFonts w:ascii="Arial" w:hAnsi="Arial" w:cs="Arial"/>
          <w:bCs/>
          <w:sz w:val="22"/>
          <w:szCs w:val="22"/>
        </w:rPr>
        <w:t>, że wsparcie wyłącznie dotacyjne ogranicza liczbę potencjalnych beneficjentów pomocy</w:t>
      </w:r>
      <w:r w:rsidR="008B6370">
        <w:rPr>
          <w:rFonts w:ascii="Arial" w:hAnsi="Arial" w:cs="Arial"/>
          <w:bCs/>
          <w:sz w:val="22"/>
          <w:szCs w:val="22"/>
        </w:rPr>
        <w:t xml:space="preserve"> (</w:t>
      </w:r>
      <w:r w:rsidRPr="00935D6F">
        <w:rPr>
          <w:rFonts w:ascii="Arial" w:hAnsi="Arial" w:cs="Arial"/>
          <w:bCs/>
          <w:sz w:val="22"/>
          <w:szCs w:val="22"/>
        </w:rPr>
        <w:t>instrumenty zwrotne mogą trafić do większej liczby firm</w:t>
      </w:r>
      <w:r w:rsidR="008B6370">
        <w:rPr>
          <w:rFonts w:ascii="Arial" w:hAnsi="Arial" w:cs="Arial"/>
          <w:bCs/>
          <w:sz w:val="22"/>
          <w:szCs w:val="22"/>
        </w:rPr>
        <w:t>)</w:t>
      </w:r>
      <w:r w:rsidRPr="00935D6F">
        <w:rPr>
          <w:rFonts w:ascii="Arial" w:hAnsi="Arial" w:cs="Arial"/>
          <w:bCs/>
          <w:sz w:val="22"/>
          <w:szCs w:val="22"/>
        </w:rPr>
        <w:t>;</w:t>
      </w:r>
    </w:p>
    <w:p w14:paraId="3583C6D2" w14:textId="77777777" w:rsidR="00B7058F" w:rsidRPr="00450FEE" w:rsidRDefault="008B6370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należy dążyć do skrócenia </w:t>
      </w:r>
      <w:r w:rsidR="00B73CAB">
        <w:rPr>
          <w:rFonts w:ascii="Arial" w:hAnsi="Arial" w:cs="Arial"/>
          <w:bCs/>
          <w:sz w:val="22"/>
          <w:szCs w:val="22"/>
        </w:rPr>
        <w:t>czasu selekcji projektów,</w:t>
      </w:r>
      <w:r w:rsidR="00450FEE">
        <w:rPr>
          <w:rFonts w:ascii="Arial" w:hAnsi="Arial" w:cs="Arial"/>
          <w:bCs/>
          <w:sz w:val="22"/>
          <w:szCs w:val="22"/>
        </w:rPr>
        <w:t xml:space="preserve"> 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od złożenia </w:t>
      </w:r>
      <w:r w:rsidR="00450FEE">
        <w:rPr>
          <w:rFonts w:ascii="Arial" w:hAnsi="Arial" w:cs="Arial"/>
          <w:bCs/>
          <w:sz w:val="22"/>
          <w:szCs w:val="22"/>
        </w:rPr>
        <w:t>wn</w:t>
      </w:r>
      <w:r w:rsidR="00B73CAB">
        <w:rPr>
          <w:rFonts w:ascii="Arial" w:hAnsi="Arial" w:cs="Arial"/>
          <w:bCs/>
          <w:sz w:val="22"/>
          <w:szCs w:val="22"/>
        </w:rPr>
        <w:t>iosku do rozliczenia wydatków,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 oraz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="00B7058F" w:rsidRPr="00450FEE">
        <w:rPr>
          <w:rFonts w:ascii="Arial" w:hAnsi="Arial" w:cs="Arial"/>
          <w:bCs/>
          <w:sz w:val="22"/>
          <w:szCs w:val="22"/>
        </w:rPr>
        <w:t>ogra</w:t>
      </w:r>
      <w:r>
        <w:rPr>
          <w:rFonts w:ascii="Arial" w:hAnsi="Arial" w:cs="Arial"/>
          <w:bCs/>
          <w:sz w:val="22"/>
          <w:szCs w:val="22"/>
        </w:rPr>
        <w:t>niczenia</w:t>
      </w:r>
      <w:r w:rsidR="009F7863">
        <w:rPr>
          <w:rFonts w:ascii="Arial" w:hAnsi="Arial" w:cs="Arial"/>
          <w:bCs/>
          <w:sz w:val="22"/>
          <w:szCs w:val="22"/>
        </w:rPr>
        <w:t xml:space="preserve"> </w:t>
      </w:r>
      <w:r w:rsidR="00B73CAB">
        <w:rPr>
          <w:rFonts w:ascii="Arial" w:hAnsi="Arial" w:cs="Arial"/>
          <w:bCs/>
          <w:sz w:val="22"/>
          <w:szCs w:val="22"/>
        </w:rPr>
        <w:t xml:space="preserve">biurokracji </w:t>
      </w:r>
      <w:r w:rsidR="009F7863">
        <w:rPr>
          <w:rFonts w:ascii="Arial" w:hAnsi="Arial" w:cs="Arial"/>
          <w:bCs/>
          <w:sz w:val="22"/>
          <w:szCs w:val="22"/>
        </w:rPr>
        <w:t>do minimum, m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.in. </w:t>
      </w:r>
      <w:r w:rsidR="009F7863">
        <w:rPr>
          <w:rFonts w:ascii="Arial" w:hAnsi="Arial" w:cs="Arial"/>
          <w:bCs/>
          <w:sz w:val="22"/>
          <w:szCs w:val="22"/>
        </w:rPr>
        <w:t>poprzez zmniejszenie liczby</w:t>
      </w:r>
      <w:r w:rsidR="00B7058F" w:rsidRPr="00450FEE">
        <w:rPr>
          <w:rFonts w:ascii="Arial" w:hAnsi="Arial" w:cs="Arial"/>
          <w:bCs/>
          <w:sz w:val="22"/>
          <w:szCs w:val="22"/>
        </w:rPr>
        <w:t xml:space="preserve"> wymaganych od </w:t>
      </w:r>
      <w:r w:rsidR="009F7863">
        <w:rPr>
          <w:rFonts w:ascii="Arial" w:hAnsi="Arial" w:cs="Arial"/>
          <w:bCs/>
          <w:sz w:val="22"/>
          <w:szCs w:val="22"/>
        </w:rPr>
        <w:t xml:space="preserve">wnioskodawcy </w:t>
      </w:r>
      <w:r w:rsidR="00B7058F" w:rsidRPr="00450FEE">
        <w:rPr>
          <w:rFonts w:ascii="Arial" w:hAnsi="Arial" w:cs="Arial"/>
          <w:bCs/>
          <w:sz w:val="22"/>
          <w:szCs w:val="22"/>
        </w:rPr>
        <w:t>zaświadczeń, opinii, ekspert</w:t>
      </w:r>
      <w:r w:rsidR="00B7058F" w:rsidRPr="00EE07A2">
        <w:rPr>
          <w:rFonts w:ascii="Arial" w:hAnsi="Arial" w:cs="Arial"/>
          <w:bCs/>
          <w:sz w:val="22"/>
          <w:szCs w:val="22"/>
        </w:rPr>
        <w:t>yz itp.</w:t>
      </w:r>
      <w:r w:rsidR="00450FEE" w:rsidRPr="00EE07A2">
        <w:rPr>
          <w:rFonts w:ascii="Arial" w:hAnsi="Arial" w:cs="Arial"/>
          <w:bCs/>
          <w:sz w:val="22"/>
          <w:szCs w:val="22"/>
        </w:rPr>
        <w:t xml:space="preserve">; przedstawiciel </w:t>
      </w:r>
      <w:r w:rsidR="00B73CAB">
        <w:rPr>
          <w:rFonts w:ascii="Arial" w:hAnsi="Arial" w:cs="Arial"/>
          <w:bCs/>
          <w:sz w:val="22"/>
          <w:szCs w:val="22"/>
        </w:rPr>
        <w:t xml:space="preserve">IZ </w:t>
      </w:r>
      <w:r w:rsidR="009F7863" w:rsidRPr="00EE07A2">
        <w:rPr>
          <w:rFonts w:ascii="Arial" w:hAnsi="Arial" w:cs="Arial"/>
          <w:bCs/>
          <w:sz w:val="22"/>
          <w:szCs w:val="22"/>
        </w:rPr>
        <w:t xml:space="preserve">RPO </w:t>
      </w:r>
      <w:r w:rsidR="00EE07A2" w:rsidRPr="00EE07A2">
        <w:rPr>
          <w:rFonts w:ascii="Arial" w:hAnsi="Arial" w:cs="Arial"/>
          <w:bCs/>
          <w:sz w:val="22"/>
          <w:szCs w:val="22"/>
        </w:rPr>
        <w:t xml:space="preserve">województwa </w:t>
      </w:r>
      <w:r w:rsidR="009F7863" w:rsidRPr="00EE07A2">
        <w:rPr>
          <w:rFonts w:ascii="Arial" w:hAnsi="Arial" w:cs="Arial"/>
          <w:bCs/>
          <w:sz w:val="22"/>
          <w:szCs w:val="22"/>
        </w:rPr>
        <w:t>mazowieckiego</w:t>
      </w:r>
      <w:r w:rsidR="009F7863">
        <w:rPr>
          <w:rFonts w:ascii="Arial" w:hAnsi="Arial" w:cs="Arial"/>
          <w:bCs/>
          <w:sz w:val="22"/>
          <w:szCs w:val="22"/>
        </w:rPr>
        <w:t xml:space="preserve"> </w:t>
      </w:r>
      <w:r w:rsidR="00450FEE">
        <w:rPr>
          <w:rFonts w:ascii="Arial" w:hAnsi="Arial" w:cs="Arial"/>
          <w:bCs/>
          <w:sz w:val="22"/>
          <w:szCs w:val="22"/>
        </w:rPr>
        <w:t xml:space="preserve">poinformował o </w:t>
      </w:r>
      <w:r>
        <w:rPr>
          <w:rFonts w:ascii="Arial" w:hAnsi="Arial" w:cs="Arial"/>
          <w:bCs/>
          <w:sz w:val="22"/>
          <w:szCs w:val="22"/>
        </w:rPr>
        <w:t xml:space="preserve">idących w takim kierunku </w:t>
      </w:r>
      <w:r w:rsidR="00450FEE">
        <w:rPr>
          <w:rFonts w:ascii="Arial" w:hAnsi="Arial" w:cs="Arial"/>
          <w:bCs/>
          <w:sz w:val="22"/>
          <w:szCs w:val="22"/>
        </w:rPr>
        <w:t xml:space="preserve">planowanych działaniach </w:t>
      </w:r>
      <w:r>
        <w:rPr>
          <w:rFonts w:ascii="Arial" w:hAnsi="Arial" w:cs="Arial"/>
          <w:bCs/>
          <w:sz w:val="22"/>
          <w:szCs w:val="22"/>
        </w:rPr>
        <w:t>w jego regionie</w:t>
      </w:r>
      <w:r w:rsidR="009F7863">
        <w:rPr>
          <w:rFonts w:ascii="Arial" w:hAnsi="Arial" w:cs="Arial"/>
          <w:bCs/>
          <w:sz w:val="22"/>
          <w:szCs w:val="22"/>
        </w:rPr>
        <w:t>;</w:t>
      </w:r>
    </w:p>
    <w:p w14:paraId="1B6F2B13" w14:textId="77777777" w:rsidR="00B7058F" w:rsidRDefault="00B7058F" w:rsidP="0064148E">
      <w:pPr>
        <w:spacing w:line="24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12D44801" w14:textId="31C77DD6" w:rsidR="00BB1787" w:rsidRPr="0053619A" w:rsidRDefault="00C757FE" w:rsidP="00162558">
      <w:pPr>
        <w:spacing w:after="120" w:line="24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Przedstawicielka </w:t>
      </w:r>
      <w:r w:rsidR="002A3119" w:rsidRPr="0053619A">
        <w:rPr>
          <w:rFonts w:ascii="Arial" w:hAnsi="Arial" w:cs="Arial"/>
          <w:bCs/>
          <w:sz w:val="22"/>
          <w:szCs w:val="22"/>
        </w:rPr>
        <w:t>PARP</w:t>
      </w:r>
      <w:r w:rsidR="00FF5E1C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FF5E1C" w:rsidRPr="0053619A">
        <w:rPr>
          <w:rFonts w:ascii="Arial" w:hAnsi="Arial" w:cs="Arial"/>
          <w:sz w:val="22"/>
          <w:szCs w:val="22"/>
        </w:rPr>
        <w:t>przypomniała</w:t>
      </w:r>
      <w:r w:rsidR="00BB1787" w:rsidRPr="0053619A">
        <w:rPr>
          <w:rFonts w:ascii="Arial" w:hAnsi="Arial" w:cs="Arial"/>
          <w:sz w:val="22"/>
          <w:szCs w:val="22"/>
        </w:rPr>
        <w:t xml:space="preserve">, że </w:t>
      </w:r>
      <w:r w:rsidR="00B80BEE" w:rsidRPr="0053619A">
        <w:rPr>
          <w:rFonts w:ascii="Arial" w:hAnsi="Arial" w:cs="Arial"/>
          <w:bCs/>
          <w:sz w:val="22"/>
          <w:szCs w:val="22"/>
        </w:rPr>
        <w:t xml:space="preserve">programowaniu wsparcia 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powinno towarzyszyć pytanie </w:t>
      </w:r>
      <w:r w:rsidR="00B80BEE" w:rsidRPr="0053619A">
        <w:rPr>
          <w:rFonts w:ascii="Arial" w:hAnsi="Arial" w:cs="Arial"/>
          <w:bCs/>
          <w:sz w:val="22"/>
          <w:szCs w:val="22"/>
        </w:rPr>
        <w:t xml:space="preserve">o pożądane </w:t>
      </w:r>
      <w:r w:rsidR="00B80BEE" w:rsidRPr="0053619A">
        <w:rPr>
          <w:rFonts w:ascii="Arial" w:hAnsi="Arial" w:cs="Arial"/>
          <w:bCs/>
          <w:i/>
          <w:sz w:val="22"/>
          <w:szCs w:val="22"/>
        </w:rPr>
        <w:t>portfolio</w:t>
      </w:r>
      <w:r w:rsidR="00B80BEE" w:rsidRPr="0053619A">
        <w:rPr>
          <w:rFonts w:ascii="Arial" w:hAnsi="Arial" w:cs="Arial"/>
          <w:bCs/>
          <w:sz w:val="22"/>
          <w:szCs w:val="22"/>
        </w:rPr>
        <w:t xml:space="preserve"> przedsiębiorstw</w:t>
      </w:r>
      <w:r w:rsidR="00BB1787" w:rsidRPr="0053619A">
        <w:rPr>
          <w:rFonts w:ascii="Arial" w:hAnsi="Arial" w:cs="Arial"/>
          <w:bCs/>
          <w:sz w:val="22"/>
          <w:szCs w:val="22"/>
        </w:rPr>
        <w:t>,</w:t>
      </w:r>
      <w:r w:rsidR="00B80BEE" w:rsidRPr="0053619A">
        <w:rPr>
          <w:rFonts w:ascii="Arial" w:hAnsi="Arial" w:cs="Arial"/>
          <w:bCs/>
          <w:sz w:val="22"/>
          <w:szCs w:val="22"/>
        </w:rPr>
        <w:t xml:space="preserve"> jakie</w:t>
      </w:r>
      <w:r w:rsidR="00070654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miałyby być objęte </w:t>
      </w:r>
      <w:r w:rsidR="00B80BEE" w:rsidRPr="0053619A">
        <w:rPr>
          <w:rFonts w:ascii="Arial" w:hAnsi="Arial" w:cs="Arial"/>
          <w:bCs/>
          <w:sz w:val="22"/>
          <w:szCs w:val="22"/>
        </w:rPr>
        <w:t xml:space="preserve">wsparciem 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w nowej perspektywie. </w:t>
      </w:r>
      <w:r w:rsidR="00CE65FA" w:rsidRPr="0053619A">
        <w:rPr>
          <w:rFonts w:ascii="Arial" w:hAnsi="Arial" w:cs="Arial"/>
          <w:bCs/>
          <w:sz w:val="22"/>
          <w:szCs w:val="22"/>
        </w:rPr>
        <w:t>W</w:t>
      </w:r>
      <w:r w:rsidR="00A121C9" w:rsidRPr="0053619A">
        <w:rPr>
          <w:rFonts w:ascii="Arial" w:hAnsi="Arial" w:cs="Arial"/>
          <w:bCs/>
          <w:sz w:val="22"/>
          <w:szCs w:val="22"/>
        </w:rPr>
        <w:t xml:space="preserve"> procesie selekcji 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w pierwszej kolejności </w:t>
      </w:r>
      <w:r w:rsidR="00A121C9" w:rsidRPr="0053619A">
        <w:rPr>
          <w:rFonts w:ascii="Arial" w:hAnsi="Arial" w:cs="Arial"/>
          <w:bCs/>
          <w:sz w:val="22"/>
          <w:szCs w:val="22"/>
        </w:rPr>
        <w:t xml:space="preserve">powinny być 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wybierane </w:t>
      </w:r>
      <w:r w:rsidR="00A121C9" w:rsidRPr="0053619A">
        <w:rPr>
          <w:rFonts w:ascii="Arial" w:hAnsi="Arial" w:cs="Arial"/>
          <w:bCs/>
          <w:sz w:val="22"/>
          <w:szCs w:val="22"/>
        </w:rPr>
        <w:t xml:space="preserve">projekty dynamicznie rozwijających się </w:t>
      </w:r>
      <w:r w:rsidR="0053619A" w:rsidRPr="0053619A">
        <w:rPr>
          <w:rFonts w:ascii="Arial" w:hAnsi="Arial" w:cs="Arial"/>
          <w:bCs/>
          <w:sz w:val="22"/>
          <w:szCs w:val="22"/>
        </w:rPr>
        <w:t>innowacyjnych</w:t>
      </w:r>
      <w:r w:rsidR="00717543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A121C9" w:rsidRPr="0053619A">
        <w:rPr>
          <w:rFonts w:ascii="Arial" w:hAnsi="Arial" w:cs="Arial"/>
          <w:bCs/>
          <w:sz w:val="22"/>
          <w:szCs w:val="22"/>
        </w:rPr>
        <w:t>przedsiębiorstw</w:t>
      </w:r>
      <w:r w:rsidR="001A15FF">
        <w:rPr>
          <w:rFonts w:ascii="Arial" w:hAnsi="Arial" w:cs="Arial"/>
          <w:bCs/>
          <w:sz w:val="22"/>
          <w:szCs w:val="22"/>
        </w:rPr>
        <w:t>.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1A15FF">
        <w:rPr>
          <w:rFonts w:ascii="Arial" w:hAnsi="Arial" w:cs="Arial"/>
          <w:bCs/>
          <w:sz w:val="22"/>
          <w:szCs w:val="22"/>
        </w:rPr>
        <w:t>Wg różnych międzynarodowych badań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takie firmy </w:t>
      </w:r>
      <w:r w:rsidR="00BB1787" w:rsidRPr="0053619A">
        <w:rPr>
          <w:rFonts w:ascii="Arial" w:hAnsi="Arial" w:cs="Arial"/>
          <w:bCs/>
          <w:sz w:val="22"/>
          <w:szCs w:val="22"/>
        </w:rPr>
        <w:t>stanowią</w:t>
      </w:r>
      <w:r w:rsidR="00A121C9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średnio </w:t>
      </w:r>
      <w:r w:rsidR="00A121C9" w:rsidRPr="0053619A">
        <w:rPr>
          <w:rFonts w:ascii="Arial" w:hAnsi="Arial" w:cs="Arial"/>
          <w:bCs/>
          <w:sz w:val="22"/>
          <w:szCs w:val="22"/>
        </w:rPr>
        <w:t xml:space="preserve">kilka procent 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(2-5%) przedsiębiorstw </w:t>
      </w:r>
      <w:r w:rsidR="00A121C9" w:rsidRPr="0053619A">
        <w:rPr>
          <w:rFonts w:ascii="Arial" w:hAnsi="Arial" w:cs="Arial"/>
          <w:bCs/>
          <w:sz w:val="22"/>
          <w:szCs w:val="22"/>
        </w:rPr>
        <w:t>w gospodarce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 (</w:t>
      </w:r>
      <w:r w:rsidR="00BB1787" w:rsidRPr="0053619A">
        <w:rPr>
          <w:rFonts w:ascii="Arial" w:hAnsi="Arial" w:cs="Arial"/>
          <w:bCs/>
          <w:sz w:val="22"/>
          <w:szCs w:val="22"/>
        </w:rPr>
        <w:t>jednym z badań doty</w:t>
      </w:r>
      <w:r w:rsidR="0053619A" w:rsidRPr="0053619A">
        <w:rPr>
          <w:rFonts w:ascii="Arial" w:hAnsi="Arial" w:cs="Arial"/>
          <w:bCs/>
          <w:sz w:val="22"/>
          <w:szCs w:val="22"/>
        </w:rPr>
        <w:t>czących firm wysokiego wzrostu, uwzględniających Polskę,</w:t>
      </w:r>
      <w:r w:rsidR="00BB1787" w:rsidRPr="0053619A">
        <w:rPr>
          <w:rFonts w:ascii="Arial" w:hAnsi="Arial" w:cs="Arial"/>
          <w:bCs/>
          <w:sz w:val="22"/>
          <w:szCs w:val="22"/>
        </w:rPr>
        <w:t xml:space="preserve"> jest </w:t>
      </w:r>
      <w:r w:rsidR="00BB1787" w:rsidRPr="0053619A">
        <w:rPr>
          <w:rFonts w:ascii="Arial" w:hAnsi="Arial" w:cs="Arial"/>
          <w:sz w:val="22"/>
          <w:szCs w:val="22"/>
        </w:rPr>
        <w:t>„</w:t>
      </w:r>
      <w:proofErr w:type="spellStart"/>
      <w:r w:rsidR="00BB1787" w:rsidRPr="0053619A">
        <w:rPr>
          <w:rFonts w:ascii="Arial" w:hAnsi="Arial" w:cs="Arial"/>
          <w:sz w:val="22"/>
          <w:szCs w:val="22"/>
        </w:rPr>
        <w:t>Policies</w:t>
      </w:r>
      <w:proofErr w:type="spellEnd"/>
      <w:r w:rsidR="00BB1787" w:rsidRPr="0053619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B1787" w:rsidRPr="0053619A">
        <w:rPr>
          <w:rFonts w:ascii="Arial" w:hAnsi="Arial" w:cs="Arial"/>
          <w:sz w:val="22"/>
          <w:szCs w:val="22"/>
        </w:rPr>
        <w:t>support</w:t>
      </w:r>
      <w:proofErr w:type="spellEnd"/>
      <w:r w:rsidR="00BB1787" w:rsidRPr="0053619A">
        <w:rPr>
          <w:rFonts w:ascii="Arial" w:hAnsi="Arial" w:cs="Arial"/>
          <w:sz w:val="22"/>
          <w:szCs w:val="22"/>
        </w:rPr>
        <w:t xml:space="preserve"> of high-</w:t>
      </w:r>
      <w:proofErr w:type="spellStart"/>
      <w:r w:rsidR="00BB1787" w:rsidRPr="0053619A">
        <w:rPr>
          <w:rFonts w:ascii="Arial" w:hAnsi="Arial" w:cs="Arial"/>
          <w:sz w:val="22"/>
          <w:szCs w:val="22"/>
        </w:rPr>
        <w:t>growth</w:t>
      </w:r>
      <w:proofErr w:type="spellEnd"/>
      <w:r w:rsidR="00BB1787" w:rsidRPr="005361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1787" w:rsidRPr="0053619A">
        <w:rPr>
          <w:rFonts w:ascii="Arial" w:hAnsi="Arial" w:cs="Arial"/>
          <w:sz w:val="22"/>
          <w:szCs w:val="22"/>
        </w:rPr>
        <w:t>innovative</w:t>
      </w:r>
      <w:proofErr w:type="spellEnd"/>
      <w:r w:rsidR="00BB1787" w:rsidRPr="0053619A">
        <w:rPr>
          <w:rFonts w:ascii="Arial" w:hAnsi="Arial" w:cs="Arial"/>
          <w:sz w:val="22"/>
          <w:szCs w:val="22"/>
        </w:rPr>
        <w:t xml:space="preserve"> enterprises” przeprowadzone w 2013 r. na zlecenie Komisji Europ</w:t>
      </w:r>
      <w:r w:rsidR="0053619A" w:rsidRPr="0053619A">
        <w:rPr>
          <w:rFonts w:ascii="Arial" w:hAnsi="Arial" w:cs="Arial"/>
          <w:sz w:val="22"/>
          <w:szCs w:val="22"/>
        </w:rPr>
        <w:t xml:space="preserve">ejskiej, DG </w:t>
      </w:r>
      <w:proofErr w:type="spellStart"/>
      <w:r w:rsidR="0053619A" w:rsidRPr="0053619A">
        <w:rPr>
          <w:rFonts w:ascii="Arial" w:hAnsi="Arial" w:cs="Arial"/>
          <w:sz w:val="22"/>
          <w:szCs w:val="22"/>
        </w:rPr>
        <w:t>Research&amp;Innovation</w:t>
      </w:r>
      <w:proofErr w:type="spellEnd"/>
      <w:r w:rsidR="0053619A" w:rsidRPr="0053619A">
        <w:rPr>
          <w:rFonts w:ascii="Arial" w:hAnsi="Arial" w:cs="Arial"/>
          <w:sz w:val="22"/>
          <w:szCs w:val="22"/>
        </w:rPr>
        <w:t xml:space="preserve">; </w:t>
      </w:r>
      <w:r w:rsidR="00BB1787" w:rsidRPr="0053619A">
        <w:rPr>
          <w:rFonts w:ascii="Arial" w:hAnsi="Arial" w:cs="Arial"/>
          <w:sz w:val="22"/>
          <w:szCs w:val="22"/>
        </w:rPr>
        <w:t xml:space="preserve">wyniki badania: </w:t>
      </w:r>
      <w:hyperlink r:id="rId8" w:tgtFrame="_blank" w:history="1">
        <w:r w:rsidR="00BB1787" w:rsidRPr="0053619A">
          <w:rPr>
            <w:rStyle w:val="Hipercze"/>
            <w:rFonts w:ascii="Arial" w:hAnsi="Arial" w:cs="Arial"/>
            <w:sz w:val="22"/>
            <w:szCs w:val="22"/>
          </w:rPr>
          <w:t>http://www.hgie-policies.eu/home/</w:t>
        </w:r>
      </w:hyperlink>
      <w:r w:rsidR="00BB1787" w:rsidRPr="0053619A">
        <w:rPr>
          <w:rFonts w:ascii="Arial" w:hAnsi="Arial" w:cs="Arial"/>
          <w:sz w:val="22"/>
          <w:szCs w:val="22"/>
        </w:rPr>
        <w:t>)</w:t>
      </w:r>
      <w:r w:rsidR="00CE65FA" w:rsidRPr="0053619A">
        <w:rPr>
          <w:rFonts w:ascii="Arial" w:hAnsi="Arial" w:cs="Arial"/>
          <w:sz w:val="22"/>
          <w:szCs w:val="22"/>
        </w:rPr>
        <w:t>.</w:t>
      </w:r>
      <w:r w:rsidR="00CE65FA" w:rsidRPr="0053619A">
        <w:rPr>
          <w:rFonts w:ascii="Arial" w:hAnsi="Arial" w:cs="Arial"/>
          <w:bCs/>
          <w:sz w:val="22"/>
          <w:szCs w:val="22"/>
        </w:rPr>
        <w:t xml:space="preserve"> Zwróciła przy tym uwagę</w:t>
      </w:r>
      <w:r w:rsidR="0064148E">
        <w:rPr>
          <w:rFonts w:ascii="Arial" w:hAnsi="Arial" w:cs="Arial"/>
          <w:bCs/>
          <w:sz w:val="22"/>
          <w:szCs w:val="22"/>
        </w:rPr>
        <w:t xml:space="preserve">, </w:t>
      </w:r>
      <w:r w:rsidR="00CE65FA" w:rsidRPr="0053619A">
        <w:rPr>
          <w:rFonts w:ascii="Arial" w:hAnsi="Arial" w:cs="Arial"/>
          <w:bCs/>
          <w:sz w:val="22"/>
          <w:szCs w:val="22"/>
        </w:rPr>
        <w:t xml:space="preserve">że </w:t>
      </w:r>
      <w:r w:rsidR="0064148E">
        <w:rPr>
          <w:rFonts w:ascii="Arial" w:hAnsi="Arial" w:cs="Arial"/>
          <w:bCs/>
          <w:sz w:val="22"/>
          <w:szCs w:val="22"/>
        </w:rPr>
        <w:t xml:space="preserve">odpowiedniemu </w:t>
      </w:r>
      <w:r w:rsidR="00CE65FA" w:rsidRPr="0053619A">
        <w:rPr>
          <w:rFonts w:ascii="Arial" w:hAnsi="Arial" w:cs="Arial"/>
          <w:bCs/>
          <w:sz w:val="22"/>
          <w:szCs w:val="22"/>
        </w:rPr>
        <w:t xml:space="preserve">doborowi </w:t>
      </w:r>
      <w:r w:rsidR="0064148E">
        <w:rPr>
          <w:rFonts w:ascii="Arial" w:hAnsi="Arial" w:cs="Arial"/>
          <w:bCs/>
          <w:sz w:val="22"/>
          <w:szCs w:val="22"/>
        </w:rPr>
        <w:t xml:space="preserve">projektów </w:t>
      </w:r>
      <w:r w:rsidR="00CE65FA" w:rsidRPr="0053619A">
        <w:rPr>
          <w:rFonts w:ascii="Arial" w:hAnsi="Arial" w:cs="Arial"/>
          <w:bCs/>
          <w:sz w:val="22"/>
          <w:szCs w:val="22"/>
        </w:rPr>
        <w:t>może służyć:</w:t>
      </w:r>
    </w:p>
    <w:p w14:paraId="74DB0881" w14:textId="463D9E6C" w:rsidR="0064148E" w:rsidRDefault="00CE65FA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3619A">
        <w:rPr>
          <w:rFonts w:ascii="Arial" w:hAnsi="Arial" w:cs="Arial"/>
          <w:bCs/>
          <w:sz w:val="22"/>
          <w:szCs w:val="22"/>
        </w:rPr>
        <w:t xml:space="preserve">odpowiednie rankingowanie projektów – wspieranie w pierwszej kolejności projektów najwyżej </w:t>
      </w:r>
      <w:r w:rsidR="001A15FF">
        <w:rPr>
          <w:rFonts w:ascii="Arial" w:hAnsi="Arial" w:cs="Arial"/>
          <w:bCs/>
          <w:sz w:val="22"/>
          <w:szCs w:val="22"/>
        </w:rPr>
        <w:t>ocenianych, najbardziej zbliżonych</w:t>
      </w:r>
      <w:r w:rsidRPr="0053619A">
        <w:rPr>
          <w:rFonts w:ascii="Arial" w:hAnsi="Arial" w:cs="Arial"/>
          <w:bCs/>
          <w:sz w:val="22"/>
          <w:szCs w:val="22"/>
        </w:rPr>
        <w:t xml:space="preserve"> do założonego portfolio (np. w ramach wcześniej określonej puli środków w danym konkursie), a pozostałą część alokacji – </w:t>
      </w:r>
      <w:r w:rsidR="001A15FF">
        <w:rPr>
          <w:rFonts w:ascii="Arial" w:hAnsi="Arial" w:cs="Arial"/>
          <w:bCs/>
          <w:sz w:val="22"/>
          <w:szCs w:val="22"/>
        </w:rPr>
        <w:t>na pozostałe projekty</w:t>
      </w:r>
      <w:r w:rsidRPr="0053619A">
        <w:rPr>
          <w:rFonts w:ascii="Arial" w:hAnsi="Arial" w:cs="Arial"/>
          <w:bCs/>
          <w:sz w:val="22"/>
          <w:szCs w:val="22"/>
        </w:rPr>
        <w:t>.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 Przywołan</w:t>
      </w:r>
      <w:r w:rsidR="00C757FE">
        <w:rPr>
          <w:rFonts w:ascii="Arial" w:hAnsi="Arial" w:cs="Arial"/>
          <w:bCs/>
          <w:sz w:val="22"/>
          <w:szCs w:val="22"/>
        </w:rPr>
        <w:t>y został</w:t>
      </w:r>
      <w:r w:rsidR="00195EC3" w:rsidRPr="0053619A">
        <w:rPr>
          <w:rFonts w:ascii="Arial" w:hAnsi="Arial" w:cs="Arial"/>
          <w:bCs/>
          <w:sz w:val="22"/>
          <w:szCs w:val="22"/>
        </w:rPr>
        <w:t xml:space="preserve"> przykład systemu selekcji projektów B+R+I w norweskiej rządowej agencji badawczej (</w:t>
      </w:r>
      <w:proofErr w:type="spellStart"/>
      <w:r w:rsidR="00195EC3" w:rsidRPr="0053619A">
        <w:rPr>
          <w:rFonts w:ascii="Arial" w:hAnsi="Arial" w:cs="Arial"/>
          <w:bCs/>
          <w:sz w:val="22"/>
          <w:szCs w:val="22"/>
        </w:rPr>
        <w:t>Research</w:t>
      </w:r>
      <w:proofErr w:type="spellEnd"/>
      <w:r w:rsidR="00195EC3" w:rsidRPr="0053619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95EC3" w:rsidRPr="0053619A">
        <w:rPr>
          <w:rFonts w:ascii="Arial" w:hAnsi="Arial" w:cs="Arial"/>
          <w:bCs/>
          <w:sz w:val="22"/>
          <w:szCs w:val="22"/>
        </w:rPr>
        <w:t>Council</w:t>
      </w:r>
      <w:proofErr w:type="spellEnd"/>
      <w:r w:rsidR="00195EC3" w:rsidRPr="0053619A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="00195EC3" w:rsidRPr="0053619A">
        <w:rPr>
          <w:rFonts w:ascii="Arial" w:hAnsi="Arial" w:cs="Arial"/>
          <w:bCs/>
          <w:sz w:val="22"/>
          <w:szCs w:val="22"/>
        </w:rPr>
        <w:t>Norway</w:t>
      </w:r>
      <w:proofErr w:type="spellEnd"/>
      <w:r w:rsidR="00195EC3" w:rsidRPr="0053619A">
        <w:rPr>
          <w:rFonts w:ascii="Arial" w:hAnsi="Arial" w:cs="Arial"/>
          <w:bCs/>
          <w:sz w:val="22"/>
          <w:szCs w:val="22"/>
        </w:rPr>
        <w:t xml:space="preserve">), gdzie </w:t>
      </w:r>
      <w:r w:rsidR="009F4EE4" w:rsidRPr="0053619A">
        <w:rPr>
          <w:rFonts w:ascii="Arial" w:hAnsi="Arial" w:cs="Arial"/>
          <w:bCs/>
          <w:sz w:val="22"/>
          <w:szCs w:val="22"/>
        </w:rPr>
        <w:t>rankingowanie zgłoszonych projektów</w:t>
      </w:r>
      <w:r w:rsidR="00A46743" w:rsidRPr="0053619A">
        <w:rPr>
          <w:rFonts w:ascii="Arial" w:hAnsi="Arial" w:cs="Arial"/>
          <w:bCs/>
          <w:sz w:val="22"/>
          <w:szCs w:val="22"/>
        </w:rPr>
        <w:t xml:space="preserve"> pod kątem </w:t>
      </w:r>
      <w:r w:rsidR="00225267" w:rsidRPr="0053619A">
        <w:rPr>
          <w:rFonts w:ascii="Arial" w:hAnsi="Arial" w:cs="Arial"/>
          <w:bCs/>
          <w:sz w:val="22"/>
          <w:szCs w:val="22"/>
        </w:rPr>
        <w:t>p</w:t>
      </w:r>
      <w:r w:rsidR="00A46743" w:rsidRPr="0053619A">
        <w:rPr>
          <w:rFonts w:ascii="Arial" w:hAnsi="Arial" w:cs="Arial"/>
          <w:bCs/>
          <w:sz w:val="22"/>
          <w:szCs w:val="22"/>
        </w:rPr>
        <w:t xml:space="preserve">oszukiwanego </w:t>
      </w:r>
      <w:r w:rsidR="00A46743" w:rsidRPr="001A15FF">
        <w:rPr>
          <w:rFonts w:ascii="Arial" w:hAnsi="Arial" w:cs="Arial"/>
          <w:bCs/>
          <w:i/>
          <w:sz w:val="22"/>
          <w:szCs w:val="22"/>
        </w:rPr>
        <w:t>portfolio</w:t>
      </w:r>
      <w:r w:rsidR="00A46743" w:rsidRPr="0053619A">
        <w:rPr>
          <w:rFonts w:ascii="Arial" w:hAnsi="Arial" w:cs="Arial"/>
          <w:bCs/>
          <w:sz w:val="22"/>
          <w:szCs w:val="22"/>
        </w:rPr>
        <w:t xml:space="preserve"> </w:t>
      </w:r>
      <w:r w:rsidR="0053619A" w:rsidRPr="0053619A">
        <w:rPr>
          <w:rFonts w:ascii="Arial" w:hAnsi="Arial" w:cs="Arial"/>
          <w:bCs/>
          <w:sz w:val="22"/>
          <w:szCs w:val="22"/>
        </w:rPr>
        <w:t>odgrywa istotną rolę. Przedstawicielka PARP argumentowała</w:t>
      </w:r>
      <w:r w:rsidR="00A46743" w:rsidRPr="0053619A">
        <w:rPr>
          <w:rFonts w:ascii="Arial" w:hAnsi="Arial" w:cs="Arial"/>
          <w:bCs/>
          <w:sz w:val="22"/>
          <w:szCs w:val="22"/>
        </w:rPr>
        <w:t xml:space="preserve">, że </w:t>
      </w:r>
      <w:r w:rsidR="00225267" w:rsidRPr="0053619A">
        <w:rPr>
          <w:rFonts w:ascii="Arial" w:hAnsi="Arial" w:cs="Arial"/>
          <w:bCs/>
          <w:sz w:val="22"/>
          <w:szCs w:val="22"/>
        </w:rPr>
        <w:t xml:space="preserve">mimo ograniczeń </w:t>
      </w:r>
      <w:r w:rsidR="0053619A" w:rsidRPr="0053619A">
        <w:rPr>
          <w:rFonts w:ascii="Arial" w:hAnsi="Arial" w:cs="Arial"/>
          <w:bCs/>
          <w:sz w:val="22"/>
          <w:szCs w:val="22"/>
        </w:rPr>
        <w:t xml:space="preserve">związanych z </w:t>
      </w:r>
      <w:r w:rsidR="00225267" w:rsidRPr="0053619A">
        <w:rPr>
          <w:rFonts w:ascii="Arial" w:hAnsi="Arial" w:cs="Arial"/>
          <w:bCs/>
          <w:sz w:val="22"/>
          <w:szCs w:val="22"/>
        </w:rPr>
        <w:t>współfinansowanie</w:t>
      </w:r>
      <w:r w:rsidR="0053619A" w:rsidRPr="0053619A">
        <w:rPr>
          <w:rFonts w:ascii="Arial" w:hAnsi="Arial" w:cs="Arial"/>
          <w:bCs/>
          <w:sz w:val="22"/>
          <w:szCs w:val="22"/>
        </w:rPr>
        <w:t>m</w:t>
      </w:r>
      <w:r w:rsidR="00225267" w:rsidRPr="0053619A">
        <w:rPr>
          <w:rFonts w:ascii="Arial" w:hAnsi="Arial" w:cs="Arial"/>
          <w:bCs/>
          <w:sz w:val="22"/>
          <w:szCs w:val="22"/>
        </w:rPr>
        <w:t xml:space="preserve"> projektów z unijnych funduszy, </w:t>
      </w:r>
      <w:r w:rsidR="00A46743" w:rsidRPr="0053619A">
        <w:rPr>
          <w:rFonts w:ascii="Arial" w:hAnsi="Arial" w:cs="Arial"/>
          <w:bCs/>
          <w:sz w:val="22"/>
          <w:szCs w:val="22"/>
        </w:rPr>
        <w:t xml:space="preserve">w nowej perspektywie </w:t>
      </w:r>
      <w:r w:rsidR="00225267" w:rsidRPr="0053619A">
        <w:rPr>
          <w:rFonts w:ascii="Arial" w:hAnsi="Arial" w:cs="Arial"/>
          <w:bCs/>
          <w:sz w:val="22"/>
          <w:szCs w:val="22"/>
        </w:rPr>
        <w:t xml:space="preserve">należałoby </w:t>
      </w:r>
      <w:r w:rsidR="00C757FE">
        <w:rPr>
          <w:rFonts w:ascii="Arial" w:hAnsi="Arial" w:cs="Arial"/>
          <w:bCs/>
          <w:sz w:val="22"/>
          <w:szCs w:val="22"/>
        </w:rPr>
        <w:t xml:space="preserve">rozważyć zastosowanie </w:t>
      </w:r>
      <w:r w:rsidR="00225267" w:rsidRPr="0053619A">
        <w:rPr>
          <w:rFonts w:ascii="Arial" w:hAnsi="Arial" w:cs="Arial"/>
          <w:bCs/>
          <w:sz w:val="22"/>
          <w:szCs w:val="22"/>
        </w:rPr>
        <w:t>podobnego rozwiązania</w:t>
      </w:r>
      <w:r w:rsidR="0064148E">
        <w:rPr>
          <w:rFonts w:ascii="Arial" w:hAnsi="Arial" w:cs="Arial"/>
          <w:bCs/>
          <w:sz w:val="22"/>
          <w:szCs w:val="22"/>
        </w:rPr>
        <w:t>;</w:t>
      </w:r>
      <w:r w:rsidR="0064148E" w:rsidRPr="0064148E">
        <w:rPr>
          <w:rFonts w:ascii="Arial" w:hAnsi="Arial" w:cs="Arial"/>
          <w:bCs/>
          <w:sz w:val="22"/>
          <w:szCs w:val="22"/>
        </w:rPr>
        <w:t xml:space="preserve"> </w:t>
      </w:r>
    </w:p>
    <w:p w14:paraId="11E23B45" w14:textId="2563078E" w:rsidR="0064148E" w:rsidRPr="0053619A" w:rsidRDefault="0064148E" w:rsidP="00162558">
      <w:pPr>
        <w:pStyle w:val="Akapitzlist"/>
        <w:numPr>
          <w:ilvl w:val="0"/>
          <w:numId w:val="40"/>
        </w:numPr>
        <w:spacing w:after="60" w:line="24" w:lineRule="atLeas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3619A">
        <w:rPr>
          <w:rFonts w:ascii="Arial" w:hAnsi="Arial" w:cs="Arial"/>
          <w:bCs/>
          <w:sz w:val="22"/>
          <w:szCs w:val="22"/>
        </w:rPr>
        <w:t xml:space="preserve">przywołana </w:t>
      </w:r>
      <w:r w:rsidR="00C757FE">
        <w:rPr>
          <w:rFonts w:ascii="Arial" w:hAnsi="Arial" w:cs="Arial"/>
          <w:bCs/>
          <w:sz w:val="22"/>
          <w:szCs w:val="22"/>
        </w:rPr>
        <w:t xml:space="preserve">została </w:t>
      </w:r>
      <w:r w:rsidRPr="0053619A">
        <w:rPr>
          <w:rFonts w:ascii="Arial" w:hAnsi="Arial" w:cs="Arial"/>
          <w:bCs/>
          <w:sz w:val="22"/>
          <w:szCs w:val="22"/>
        </w:rPr>
        <w:t xml:space="preserve">wcześniej </w:t>
      </w:r>
      <w:r w:rsidR="00C757FE">
        <w:rPr>
          <w:rFonts w:ascii="Arial" w:hAnsi="Arial" w:cs="Arial"/>
          <w:bCs/>
          <w:sz w:val="22"/>
          <w:szCs w:val="22"/>
        </w:rPr>
        <w:t>w</w:t>
      </w:r>
      <w:r w:rsidR="00BA1E7A">
        <w:rPr>
          <w:rFonts w:ascii="Arial" w:hAnsi="Arial" w:cs="Arial"/>
          <w:bCs/>
          <w:sz w:val="22"/>
          <w:szCs w:val="22"/>
        </w:rPr>
        <w:t>s</w:t>
      </w:r>
      <w:r w:rsidR="00C757FE">
        <w:rPr>
          <w:rFonts w:ascii="Arial" w:hAnsi="Arial" w:cs="Arial"/>
          <w:bCs/>
          <w:sz w:val="22"/>
          <w:szCs w:val="22"/>
        </w:rPr>
        <w:t xml:space="preserve">pomniana </w:t>
      </w:r>
      <w:r w:rsidRPr="0053619A">
        <w:rPr>
          <w:rFonts w:ascii="Arial" w:hAnsi="Arial" w:cs="Arial"/>
          <w:bCs/>
          <w:sz w:val="22"/>
          <w:szCs w:val="22"/>
        </w:rPr>
        <w:t>prekwalifikacja (przykład konkursu „</w:t>
      </w:r>
      <w:proofErr w:type="spellStart"/>
      <w:r w:rsidRPr="0053619A">
        <w:rPr>
          <w:rFonts w:ascii="Arial" w:hAnsi="Arial" w:cs="Arial"/>
          <w:bCs/>
          <w:sz w:val="22"/>
          <w:szCs w:val="22"/>
        </w:rPr>
        <w:t>HeRosi</w:t>
      </w:r>
      <w:proofErr w:type="spellEnd"/>
      <w:r w:rsidRPr="0053619A">
        <w:rPr>
          <w:rFonts w:ascii="Arial" w:hAnsi="Arial" w:cs="Arial"/>
          <w:bCs/>
          <w:sz w:val="22"/>
          <w:szCs w:val="22"/>
        </w:rPr>
        <w:t xml:space="preserve"> organizacji”)</w:t>
      </w:r>
      <w:r>
        <w:rPr>
          <w:rFonts w:ascii="Arial" w:hAnsi="Arial" w:cs="Arial"/>
          <w:bCs/>
          <w:sz w:val="22"/>
          <w:szCs w:val="22"/>
        </w:rPr>
        <w:t>.</w:t>
      </w:r>
    </w:p>
    <w:p w14:paraId="2F088A07" w14:textId="77777777" w:rsidR="0064148E" w:rsidRDefault="0064148E" w:rsidP="0064148E">
      <w:pPr>
        <w:pStyle w:val="Akapitzlist"/>
        <w:spacing w:line="24" w:lineRule="atLeast"/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75A3FEB7" w14:textId="77777777" w:rsidR="0064148E" w:rsidRDefault="0064148E" w:rsidP="0064148E">
      <w:pPr>
        <w:pStyle w:val="Akapitzlist"/>
        <w:spacing w:line="24" w:lineRule="atLeast"/>
        <w:ind w:left="426"/>
        <w:jc w:val="both"/>
        <w:rPr>
          <w:rFonts w:ascii="Arial" w:hAnsi="Arial" w:cs="Arial"/>
          <w:color w:val="808080"/>
          <w:sz w:val="22"/>
          <w:szCs w:val="22"/>
        </w:rPr>
      </w:pPr>
    </w:p>
    <w:p w14:paraId="2F6F99F5" w14:textId="77777777" w:rsidR="0064148E" w:rsidRPr="0064148E" w:rsidRDefault="0064148E" w:rsidP="0064148E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24" w:lineRule="atLeast"/>
        <w:ind w:left="426" w:hanging="426"/>
        <w:jc w:val="both"/>
        <w:rPr>
          <w:rFonts w:ascii="Arial" w:hAnsi="Arial" w:cs="Arial"/>
          <w:color w:val="808080"/>
          <w:sz w:val="22"/>
          <w:szCs w:val="22"/>
        </w:rPr>
      </w:pPr>
      <w:r w:rsidRPr="0064148E">
        <w:rPr>
          <w:rFonts w:ascii="Arial" w:hAnsi="Arial" w:cs="Arial"/>
          <w:b/>
          <w:sz w:val="22"/>
          <w:szCs w:val="22"/>
        </w:rPr>
        <w:t xml:space="preserve">Monitoring wdrażania programów wsparcia MŚP na poziomie centralnym i regionalnym </w:t>
      </w:r>
    </w:p>
    <w:p w14:paraId="67721FFF" w14:textId="77777777" w:rsidR="00C520C8" w:rsidRDefault="00C520C8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2F1877FF" w14:textId="77777777" w:rsidR="00C520C8" w:rsidRDefault="00C520C8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58C04900" w14:textId="77777777" w:rsidR="001A15FF" w:rsidRDefault="001A15FF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p w14:paraId="2F985E0C" w14:textId="11324630" w:rsidR="00BA1E7A" w:rsidRPr="001A7281" w:rsidRDefault="00BA1E7A" w:rsidP="00BA1E7A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19 listopada 2014 r.</w:t>
      </w:r>
    </w:p>
    <w:p w14:paraId="751BE35C" w14:textId="3CC0DF51" w:rsidR="00BA1E7A" w:rsidRDefault="00BA1E7A" w:rsidP="0064148E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color w:val="808080"/>
          <w:sz w:val="22"/>
          <w:szCs w:val="22"/>
        </w:rPr>
        <w:t>Akceptowała: Małgorzata Starczewska-Krzysztoszek</w:t>
      </w:r>
    </w:p>
    <w:p w14:paraId="142B10C1" w14:textId="77777777" w:rsidR="00BA1E7A" w:rsidRPr="001A7281" w:rsidRDefault="00BA1E7A">
      <w:pPr>
        <w:spacing w:line="24" w:lineRule="atLeast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BA1E7A" w:rsidRPr="001A7281" w:rsidSect="004C10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78D0" w14:textId="77777777" w:rsidR="00EA6F2A" w:rsidRDefault="00EA6F2A" w:rsidP="00F832AA">
      <w:r>
        <w:separator/>
      </w:r>
    </w:p>
  </w:endnote>
  <w:endnote w:type="continuationSeparator" w:id="0">
    <w:p w14:paraId="6496FC44" w14:textId="77777777" w:rsidR="00EA6F2A" w:rsidRDefault="00EA6F2A" w:rsidP="00F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8329"/>
      <w:docPartObj>
        <w:docPartGallery w:val="Page Numbers (Bottom of Page)"/>
        <w:docPartUnique/>
      </w:docPartObj>
    </w:sdtPr>
    <w:sdtEndPr/>
    <w:sdtContent>
      <w:p w14:paraId="7CE6E579" w14:textId="77777777" w:rsidR="001E3538" w:rsidRDefault="005D36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3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FE4C6B" w14:textId="77777777" w:rsidR="001E3538" w:rsidRDefault="001E3538" w:rsidP="009D1DFA">
    <w:pPr>
      <w:pStyle w:val="Stopka"/>
      <w:jc w:val="center"/>
    </w:pPr>
    <w:r w:rsidRPr="009D1DFA">
      <w:rPr>
        <w:noProof/>
      </w:rPr>
      <w:drawing>
        <wp:inline distT="0" distB="0" distL="0" distR="0" wp14:anchorId="085A1B0C" wp14:editId="03CC4B2B">
          <wp:extent cx="4684395" cy="629920"/>
          <wp:effectExtent l="1905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43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6BDB" w14:textId="77777777" w:rsidR="00EA6F2A" w:rsidRDefault="00EA6F2A" w:rsidP="00F832AA">
      <w:r>
        <w:separator/>
      </w:r>
    </w:p>
  </w:footnote>
  <w:footnote w:type="continuationSeparator" w:id="0">
    <w:p w14:paraId="1FEC03D3" w14:textId="77777777" w:rsidR="00EA6F2A" w:rsidRDefault="00EA6F2A" w:rsidP="00F8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4836"/>
    <w:multiLevelType w:val="hybridMultilevel"/>
    <w:tmpl w:val="7CC87DB4"/>
    <w:lvl w:ilvl="0" w:tplc="532065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98B"/>
    <w:multiLevelType w:val="hybridMultilevel"/>
    <w:tmpl w:val="A4CCB50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1A10"/>
    <w:multiLevelType w:val="hybridMultilevel"/>
    <w:tmpl w:val="0194D07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8A9"/>
    <w:multiLevelType w:val="hybridMultilevel"/>
    <w:tmpl w:val="37B234A2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06356"/>
    <w:multiLevelType w:val="hybridMultilevel"/>
    <w:tmpl w:val="537EA0F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C5867"/>
    <w:multiLevelType w:val="hybridMultilevel"/>
    <w:tmpl w:val="4A62FF80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B404B7"/>
    <w:multiLevelType w:val="hybridMultilevel"/>
    <w:tmpl w:val="360E47EE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57EB"/>
    <w:multiLevelType w:val="hybridMultilevel"/>
    <w:tmpl w:val="3B660A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796574"/>
    <w:multiLevelType w:val="hybridMultilevel"/>
    <w:tmpl w:val="B2E80460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82409"/>
    <w:multiLevelType w:val="hybridMultilevel"/>
    <w:tmpl w:val="69DCB64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D1838"/>
    <w:multiLevelType w:val="hybridMultilevel"/>
    <w:tmpl w:val="9AB0D834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164AA"/>
    <w:multiLevelType w:val="hybridMultilevel"/>
    <w:tmpl w:val="2B9A37AE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977F5"/>
    <w:multiLevelType w:val="hybridMultilevel"/>
    <w:tmpl w:val="A98625D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70FBF"/>
    <w:multiLevelType w:val="hybridMultilevel"/>
    <w:tmpl w:val="433CA4C4"/>
    <w:lvl w:ilvl="0" w:tplc="B010C9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617A0"/>
    <w:multiLevelType w:val="hybridMultilevel"/>
    <w:tmpl w:val="219E278E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735CB"/>
    <w:multiLevelType w:val="hybridMultilevel"/>
    <w:tmpl w:val="C240C206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B10BDB"/>
    <w:multiLevelType w:val="hybridMultilevel"/>
    <w:tmpl w:val="F7DA11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E12F7"/>
    <w:multiLevelType w:val="hybridMultilevel"/>
    <w:tmpl w:val="85E06B8E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52263"/>
    <w:multiLevelType w:val="hybridMultilevel"/>
    <w:tmpl w:val="DC424FA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2660"/>
    <w:multiLevelType w:val="hybridMultilevel"/>
    <w:tmpl w:val="DB82950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1311F"/>
    <w:multiLevelType w:val="hybridMultilevel"/>
    <w:tmpl w:val="70CA6E06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ED2E2B"/>
    <w:multiLevelType w:val="hybridMultilevel"/>
    <w:tmpl w:val="BFA008D0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605AB"/>
    <w:multiLevelType w:val="hybridMultilevel"/>
    <w:tmpl w:val="BECAFD78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1228AB"/>
    <w:multiLevelType w:val="hybridMultilevel"/>
    <w:tmpl w:val="9F7C06CC"/>
    <w:lvl w:ilvl="0" w:tplc="16C83E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0528B9"/>
    <w:multiLevelType w:val="hybridMultilevel"/>
    <w:tmpl w:val="B6C8C6F4"/>
    <w:lvl w:ilvl="0" w:tplc="A1F6FAA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5137E"/>
    <w:multiLevelType w:val="hybridMultilevel"/>
    <w:tmpl w:val="FCA4D12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9C44C0"/>
    <w:multiLevelType w:val="hybridMultilevel"/>
    <w:tmpl w:val="53985BF0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D37A66"/>
    <w:multiLevelType w:val="hybridMultilevel"/>
    <w:tmpl w:val="C00E59C0"/>
    <w:lvl w:ilvl="0" w:tplc="87F0AD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41C8C"/>
    <w:multiLevelType w:val="hybridMultilevel"/>
    <w:tmpl w:val="9E08105E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F13C00"/>
    <w:multiLevelType w:val="hybridMultilevel"/>
    <w:tmpl w:val="FE76894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73F0D"/>
    <w:multiLevelType w:val="hybridMultilevel"/>
    <w:tmpl w:val="467C7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65B60"/>
    <w:multiLevelType w:val="hybridMultilevel"/>
    <w:tmpl w:val="BC6E6222"/>
    <w:lvl w:ilvl="0" w:tplc="0E0A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32104F"/>
    <w:multiLevelType w:val="hybridMultilevel"/>
    <w:tmpl w:val="D2A46FC0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786B1B"/>
    <w:multiLevelType w:val="hybridMultilevel"/>
    <w:tmpl w:val="65B2FA64"/>
    <w:lvl w:ilvl="0" w:tplc="8BF003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F2E8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550341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EBE034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FCCBECC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0000E5A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2F482EE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470DB8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1FA8862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76B6043"/>
    <w:multiLevelType w:val="hybridMultilevel"/>
    <w:tmpl w:val="45B80D1C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324799"/>
    <w:multiLevelType w:val="hybridMultilevel"/>
    <w:tmpl w:val="EF88FE9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B7C79"/>
    <w:multiLevelType w:val="hybridMultilevel"/>
    <w:tmpl w:val="1DC8C2B8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B7208B"/>
    <w:multiLevelType w:val="hybridMultilevel"/>
    <w:tmpl w:val="4F5E3964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459D1"/>
    <w:multiLevelType w:val="hybridMultilevel"/>
    <w:tmpl w:val="0644A39E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8B56DE"/>
    <w:multiLevelType w:val="hybridMultilevel"/>
    <w:tmpl w:val="A6942F5C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E126D"/>
    <w:multiLevelType w:val="hybridMultilevel"/>
    <w:tmpl w:val="6DCCCD8A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05D07"/>
    <w:multiLevelType w:val="hybridMultilevel"/>
    <w:tmpl w:val="5D4CC428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92551"/>
    <w:multiLevelType w:val="hybridMultilevel"/>
    <w:tmpl w:val="BD0050B8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8D3B74"/>
    <w:multiLevelType w:val="hybridMultilevel"/>
    <w:tmpl w:val="09D459B0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72B6E"/>
    <w:multiLevelType w:val="hybridMultilevel"/>
    <w:tmpl w:val="658884A0"/>
    <w:lvl w:ilvl="0" w:tplc="73F6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93C3E"/>
    <w:multiLevelType w:val="hybridMultilevel"/>
    <w:tmpl w:val="A106ECB8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25E66"/>
    <w:multiLevelType w:val="hybridMultilevel"/>
    <w:tmpl w:val="87821F04"/>
    <w:lvl w:ilvl="0" w:tplc="5A6684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CB2AE0"/>
    <w:multiLevelType w:val="hybridMultilevel"/>
    <w:tmpl w:val="F7D8BAF6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D42DE"/>
    <w:multiLevelType w:val="hybridMultilevel"/>
    <w:tmpl w:val="6E505B4E"/>
    <w:lvl w:ilvl="0" w:tplc="16C8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4"/>
  </w:num>
  <w:num w:numId="4">
    <w:abstractNumId w:val="26"/>
  </w:num>
  <w:num w:numId="5">
    <w:abstractNumId w:val="25"/>
  </w:num>
  <w:num w:numId="6">
    <w:abstractNumId w:val="29"/>
  </w:num>
  <w:num w:numId="7">
    <w:abstractNumId w:val="23"/>
  </w:num>
  <w:num w:numId="8">
    <w:abstractNumId w:val="34"/>
  </w:num>
  <w:num w:numId="9">
    <w:abstractNumId w:val="15"/>
  </w:num>
  <w:num w:numId="10">
    <w:abstractNumId w:val="28"/>
  </w:num>
  <w:num w:numId="11">
    <w:abstractNumId w:val="47"/>
  </w:num>
  <w:num w:numId="12">
    <w:abstractNumId w:val="32"/>
  </w:num>
  <w:num w:numId="13">
    <w:abstractNumId w:val="42"/>
  </w:num>
  <w:num w:numId="14">
    <w:abstractNumId w:val="22"/>
  </w:num>
  <w:num w:numId="15">
    <w:abstractNumId w:val="36"/>
  </w:num>
  <w:num w:numId="16">
    <w:abstractNumId w:val="46"/>
  </w:num>
  <w:num w:numId="17">
    <w:abstractNumId w:val="38"/>
  </w:num>
  <w:num w:numId="18">
    <w:abstractNumId w:val="18"/>
  </w:num>
  <w:num w:numId="19">
    <w:abstractNumId w:val="45"/>
  </w:num>
  <w:num w:numId="20">
    <w:abstractNumId w:val="3"/>
  </w:num>
  <w:num w:numId="21">
    <w:abstractNumId w:val="35"/>
  </w:num>
  <w:num w:numId="22">
    <w:abstractNumId w:val="31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12"/>
  </w:num>
  <w:num w:numId="27">
    <w:abstractNumId w:val="9"/>
  </w:num>
  <w:num w:numId="28">
    <w:abstractNumId w:val="19"/>
  </w:num>
  <w:num w:numId="29">
    <w:abstractNumId w:val="27"/>
  </w:num>
  <w:num w:numId="30">
    <w:abstractNumId w:val="24"/>
  </w:num>
  <w:num w:numId="31">
    <w:abstractNumId w:val="0"/>
  </w:num>
  <w:num w:numId="32">
    <w:abstractNumId w:val="37"/>
  </w:num>
  <w:num w:numId="33">
    <w:abstractNumId w:val="41"/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7"/>
  </w:num>
  <w:num w:numId="39">
    <w:abstractNumId w:val="1"/>
  </w:num>
  <w:num w:numId="40">
    <w:abstractNumId w:val="14"/>
  </w:num>
  <w:num w:numId="41">
    <w:abstractNumId w:val="11"/>
  </w:num>
  <w:num w:numId="42">
    <w:abstractNumId w:val="43"/>
  </w:num>
  <w:num w:numId="43">
    <w:abstractNumId w:val="40"/>
  </w:num>
  <w:num w:numId="44">
    <w:abstractNumId w:val="17"/>
  </w:num>
  <w:num w:numId="45">
    <w:abstractNumId w:val="6"/>
  </w:num>
  <w:num w:numId="46">
    <w:abstractNumId w:val="2"/>
  </w:num>
  <w:num w:numId="47">
    <w:abstractNumId w:val="5"/>
  </w:num>
  <w:num w:numId="48">
    <w:abstractNumId w:val="39"/>
  </w:num>
  <w:num w:numId="49">
    <w:abstractNumId w:val="4"/>
  </w:num>
  <w:num w:numId="5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1F"/>
    <w:rsid w:val="00000781"/>
    <w:rsid w:val="00000E3D"/>
    <w:rsid w:val="00001B35"/>
    <w:rsid w:val="000025E0"/>
    <w:rsid w:val="00002F6B"/>
    <w:rsid w:val="0000498B"/>
    <w:rsid w:val="00007404"/>
    <w:rsid w:val="00007A47"/>
    <w:rsid w:val="000165B9"/>
    <w:rsid w:val="00021F02"/>
    <w:rsid w:val="00026BC7"/>
    <w:rsid w:val="000329E2"/>
    <w:rsid w:val="000352A0"/>
    <w:rsid w:val="000362E6"/>
    <w:rsid w:val="00036E7D"/>
    <w:rsid w:val="00056256"/>
    <w:rsid w:val="0006732E"/>
    <w:rsid w:val="00070654"/>
    <w:rsid w:val="00073D3E"/>
    <w:rsid w:val="00087F9E"/>
    <w:rsid w:val="00096FB2"/>
    <w:rsid w:val="000A39AF"/>
    <w:rsid w:val="000A46A2"/>
    <w:rsid w:val="000B2956"/>
    <w:rsid w:val="000B77D7"/>
    <w:rsid w:val="000E0052"/>
    <w:rsid w:val="000E1F02"/>
    <w:rsid w:val="000E6ABC"/>
    <w:rsid w:val="000F0432"/>
    <w:rsid w:val="001008C8"/>
    <w:rsid w:val="00100A10"/>
    <w:rsid w:val="00103CBF"/>
    <w:rsid w:val="00106334"/>
    <w:rsid w:val="0011506B"/>
    <w:rsid w:val="001239BC"/>
    <w:rsid w:val="0013225F"/>
    <w:rsid w:val="00142B6A"/>
    <w:rsid w:val="00144B6B"/>
    <w:rsid w:val="00144D5F"/>
    <w:rsid w:val="00145DA9"/>
    <w:rsid w:val="00156314"/>
    <w:rsid w:val="00162558"/>
    <w:rsid w:val="00171204"/>
    <w:rsid w:val="00177B11"/>
    <w:rsid w:val="001921EE"/>
    <w:rsid w:val="00192727"/>
    <w:rsid w:val="001949A8"/>
    <w:rsid w:val="00195EC3"/>
    <w:rsid w:val="001A15FF"/>
    <w:rsid w:val="001A7281"/>
    <w:rsid w:val="001B2104"/>
    <w:rsid w:val="001B5BB4"/>
    <w:rsid w:val="001B7727"/>
    <w:rsid w:val="001C2750"/>
    <w:rsid w:val="001C51F3"/>
    <w:rsid w:val="001D1FE8"/>
    <w:rsid w:val="001D58D9"/>
    <w:rsid w:val="001E175A"/>
    <w:rsid w:val="001E3538"/>
    <w:rsid w:val="001F49A6"/>
    <w:rsid w:val="00200E51"/>
    <w:rsid w:val="0020107C"/>
    <w:rsid w:val="00207F78"/>
    <w:rsid w:val="002100BE"/>
    <w:rsid w:val="002135C8"/>
    <w:rsid w:val="00213683"/>
    <w:rsid w:val="002156BF"/>
    <w:rsid w:val="00217D41"/>
    <w:rsid w:val="00225267"/>
    <w:rsid w:val="002265FD"/>
    <w:rsid w:val="00236DB5"/>
    <w:rsid w:val="002372FE"/>
    <w:rsid w:val="002375A5"/>
    <w:rsid w:val="00253FFA"/>
    <w:rsid w:val="00264DBA"/>
    <w:rsid w:val="0026621C"/>
    <w:rsid w:val="00275C60"/>
    <w:rsid w:val="00282E9B"/>
    <w:rsid w:val="002838B4"/>
    <w:rsid w:val="0028799A"/>
    <w:rsid w:val="002A25D7"/>
    <w:rsid w:val="002A3119"/>
    <w:rsid w:val="002A68B1"/>
    <w:rsid w:val="002A6FBE"/>
    <w:rsid w:val="002C027F"/>
    <w:rsid w:val="002C1DBB"/>
    <w:rsid w:val="002C69ED"/>
    <w:rsid w:val="002D5057"/>
    <w:rsid w:val="002E16FB"/>
    <w:rsid w:val="002E6D0F"/>
    <w:rsid w:val="00307D00"/>
    <w:rsid w:val="00316602"/>
    <w:rsid w:val="00316C21"/>
    <w:rsid w:val="00317C2E"/>
    <w:rsid w:val="003212E4"/>
    <w:rsid w:val="0032164D"/>
    <w:rsid w:val="0032289D"/>
    <w:rsid w:val="00324BD1"/>
    <w:rsid w:val="00326837"/>
    <w:rsid w:val="00336790"/>
    <w:rsid w:val="00361BFA"/>
    <w:rsid w:val="00362275"/>
    <w:rsid w:val="00364B5B"/>
    <w:rsid w:val="00365963"/>
    <w:rsid w:val="0038100C"/>
    <w:rsid w:val="00384918"/>
    <w:rsid w:val="003A00A7"/>
    <w:rsid w:val="003A0296"/>
    <w:rsid w:val="003A4742"/>
    <w:rsid w:val="003A706A"/>
    <w:rsid w:val="003C7D0F"/>
    <w:rsid w:val="003D16AB"/>
    <w:rsid w:val="003D1C3D"/>
    <w:rsid w:val="003F3881"/>
    <w:rsid w:val="00407695"/>
    <w:rsid w:val="004078B1"/>
    <w:rsid w:val="00411B39"/>
    <w:rsid w:val="00427E9E"/>
    <w:rsid w:val="00433305"/>
    <w:rsid w:val="0044034A"/>
    <w:rsid w:val="00445173"/>
    <w:rsid w:val="004477EC"/>
    <w:rsid w:val="00450FEE"/>
    <w:rsid w:val="0045209D"/>
    <w:rsid w:val="004542B8"/>
    <w:rsid w:val="00463569"/>
    <w:rsid w:val="0046490A"/>
    <w:rsid w:val="004650E6"/>
    <w:rsid w:val="00466CC6"/>
    <w:rsid w:val="0048075A"/>
    <w:rsid w:val="00480E7D"/>
    <w:rsid w:val="0049412F"/>
    <w:rsid w:val="004946F1"/>
    <w:rsid w:val="004953C8"/>
    <w:rsid w:val="004A1C92"/>
    <w:rsid w:val="004A42E7"/>
    <w:rsid w:val="004B6F75"/>
    <w:rsid w:val="004C037E"/>
    <w:rsid w:val="004C1086"/>
    <w:rsid w:val="004D2693"/>
    <w:rsid w:val="004D383E"/>
    <w:rsid w:val="004D6E10"/>
    <w:rsid w:val="004D7626"/>
    <w:rsid w:val="004E0F2E"/>
    <w:rsid w:val="004E4968"/>
    <w:rsid w:val="004E575A"/>
    <w:rsid w:val="004E5FCF"/>
    <w:rsid w:val="004E7CB2"/>
    <w:rsid w:val="004F76BE"/>
    <w:rsid w:val="005050BC"/>
    <w:rsid w:val="0050612B"/>
    <w:rsid w:val="00506216"/>
    <w:rsid w:val="00507262"/>
    <w:rsid w:val="005113CC"/>
    <w:rsid w:val="00512F43"/>
    <w:rsid w:val="005176F4"/>
    <w:rsid w:val="005203E2"/>
    <w:rsid w:val="00522DA6"/>
    <w:rsid w:val="00523260"/>
    <w:rsid w:val="0053619A"/>
    <w:rsid w:val="00540794"/>
    <w:rsid w:val="00545162"/>
    <w:rsid w:val="005466B5"/>
    <w:rsid w:val="00547420"/>
    <w:rsid w:val="00551FB4"/>
    <w:rsid w:val="0055288C"/>
    <w:rsid w:val="005564B8"/>
    <w:rsid w:val="00563782"/>
    <w:rsid w:val="00566EF8"/>
    <w:rsid w:val="00567721"/>
    <w:rsid w:val="00573359"/>
    <w:rsid w:val="005767AA"/>
    <w:rsid w:val="00576A9B"/>
    <w:rsid w:val="00580743"/>
    <w:rsid w:val="00582B6E"/>
    <w:rsid w:val="00595156"/>
    <w:rsid w:val="005A0316"/>
    <w:rsid w:val="005A564A"/>
    <w:rsid w:val="005B1E00"/>
    <w:rsid w:val="005B54E8"/>
    <w:rsid w:val="005C61CD"/>
    <w:rsid w:val="005C6E4F"/>
    <w:rsid w:val="005D04DE"/>
    <w:rsid w:val="005D32F6"/>
    <w:rsid w:val="005D36B1"/>
    <w:rsid w:val="005D52A1"/>
    <w:rsid w:val="005D738F"/>
    <w:rsid w:val="005E09FC"/>
    <w:rsid w:val="005E2426"/>
    <w:rsid w:val="005E4E76"/>
    <w:rsid w:val="005E5F38"/>
    <w:rsid w:val="00616516"/>
    <w:rsid w:val="00621C68"/>
    <w:rsid w:val="0062283B"/>
    <w:rsid w:val="00633248"/>
    <w:rsid w:val="006379BE"/>
    <w:rsid w:val="0064148E"/>
    <w:rsid w:val="00645806"/>
    <w:rsid w:val="006465F0"/>
    <w:rsid w:val="00656E3D"/>
    <w:rsid w:val="00660D48"/>
    <w:rsid w:val="006641F8"/>
    <w:rsid w:val="006662E1"/>
    <w:rsid w:val="00677E6B"/>
    <w:rsid w:val="006827BF"/>
    <w:rsid w:val="00685130"/>
    <w:rsid w:val="00685433"/>
    <w:rsid w:val="00687ECA"/>
    <w:rsid w:val="0069502C"/>
    <w:rsid w:val="006958E7"/>
    <w:rsid w:val="0069725D"/>
    <w:rsid w:val="006B0BD6"/>
    <w:rsid w:val="006C1E6A"/>
    <w:rsid w:val="006D539E"/>
    <w:rsid w:val="006D730E"/>
    <w:rsid w:val="006E3C62"/>
    <w:rsid w:val="006F4DAE"/>
    <w:rsid w:val="007059FB"/>
    <w:rsid w:val="00714BDC"/>
    <w:rsid w:val="00717543"/>
    <w:rsid w:val="0072180B"/>
    <w:rsid w:val="00740570"/>
    <w:rsid w:val="0074231E"/>
    <w:rsid w:val="00765CA0"/>
    <w:rsid w:val="0076703A"/>
    <w:rsid w:val="00773F09"/>
    <w:rsid w:val="0079304A"/>
    <w:rsid w:val="0079375E"/>
    <w:rsid w:val="007940AB"/>
    <w:rsid w:val="007A4124"/>
    <w:rsid w:val="007B4F81"/>
    <w:rsid w:val="007B6919"/>
    <w:rsid w:val="007C2911"/>
    <w:rsid w:val="007C2AAC"/>
    <w:rsid w:val="007D0F82"/>
    <w:rsid w:val="007D4F3C"/>
    <w:rsid w:val="007F49A7"/>
    <w:rsid w:val="007F622E"/>
    <w:rsid w:val="007F7273"/>
    <w:rsid w:val="007F75F3"/>
    <w:rsid w:val="0080037C"/>
    <w:rsid w:val="00806081"/>
    <w:rsid w:val="00814A14"/>
    <w:rsid w:val="00821271"/>
    <w:rsid w:val="008236F0"/>
    <w:rsid w:val="00824BA6"/>
    <w:rsid w:val="00831FA9"/>
    <w:rsid w:val="00832D41"/>
    <w:rsid w:val="008349EE"/>
    <w:rsid w:val="00834DE4"/>
    <w:rsid w:val="00837966"/>
    <w:rsid w:val="0084135B"/>
    <w:rsid w:val="008416C2"/>
    <w:rsid w:val="00841849"/>
    <w:rsid w:val="00844789"/>
    <w:rsid w:val="008455C1"/>
    <w:rsid w:val="00845D5F"/>
    <w:rsid w:val="008503D1"/>
    <w:rsid w:val="00851D00"/>
    <w:rsid w:val="00856639"/>
    <w:rsid w:val="00862F30"/>
    <w:rsid w:val="00866073"/>
    <w:rsid w:val="0086651E"/>
    <w:rsid w:val="00866967"/>
    <w:rsid w:val="00877204"/>
    <w:rsid w:val="008822BD"/>
    <w:rsid w:val="0088715C"/>
    <w:rsid w:val="0089080B"/>
    <w:rsid w:val="00890F62"/>
    <w:rsid w:val="0089695A"/>
    <w:rsid w:val="0089734F"/>
    <w:rsid w:val="008A3E43"/>
    <w:rsid w:val="008A467A"/>
    <w:rsid w:val="008A5219"/>
    <w:rsid w:val="008B6370"/>
    <w:rsid w:val="008C5F73"/>
    <w:rsid w:val="008C7918"/>
    <w:rsid w:val="008D6F27"/>
    <w:rsid w:val="008D722B"/>
    <w:rsid w:val="008D7794"/>
    <w:rsid w:val="008E3CB2"/>
    <w:rsid w:val="008E4167"/>
    <w:rsid w:val="008E6E74"/>
    <w:rsid w:val="008E7E6C"/>
    <w:rsid w:val="00900FE3"/>
    <w:rsid w:val="009014ED"/>
    <w:rsid w:val="00904D79"/>
    <w:rsid w:val="009075EC"/>
    <w:rsid w:val="0091343E"/>
    <w:rsid w:val="00913B3B"/>
    <w:rsid w:val="00915F7C"/>
    <w:rsid w:val="00916045"/>
    <w:rsid w:val="00923030"/>
    <w:rsid w:val="0092678A"/>
    <w:rsid w:val="00930508"/>
    <w:rsid w:val="00930536"/>
    <w:rsid w:val="00933304"/>
    <w:rsid w:val="009346DF"/>
    <w:rsid w:val="00935D6F"/>
    <w:rsid w:val="00937669"/>
    <w:rsid w:val="00937EAA"/>
    <w:rsid w:val="00945278"/>
    <w:rsid w:val="00955B83"/>
    <w:rsid w:val="00961DCA"/>
    <w:rsid w:val="00970EEC"/>
    <w:rsid w:val="0097501F"/>
    <w:rsid w:val="00975D9C"/>
    <w:rsid w:val="00982BB0"/>
    <w:rsid w:val="00985577"/>
    <w:rsid w:val="00987E17"/>
    <w:rsid w:val="00991EF6"/>
    <w:rsid w:val="009A2A69"/>
    <w:rsid w:val="009A45CE"/>
    <w:rsid w:val="009A760E"/>
    <w:rsid w:val="009B3685"/>
    <w:rsid w:val="009B7C17"/>
    <w:rsid w:val="009B7E66"/>
    <w:rsid w:val="009C1AC5"/>
    <w:rsid w:val="009C7E0E"/>
    <w:rsid w:val="009D1DFA"/>
    <w:rsid w:val="009D4777"/>
    <w:rsid w:val="009D5338"/>
    <w:rsid w:val="009E3931"/>
    <w:rsid w:val="009E4CF5"/>
    <w:rsid w:val="009E52AC"/>
    <w:rsid w:val="009F0C48"/>
    <w:rsid w:val="009F42C6"/>
    <w:rsid w:val="009F4EE4"/>
    <w:rsid w:val="009F7863"/>
    <w:rsid w:val="00A00EE7"/>
    <w:rsid w:val="00A062CF"/>
    <w:rsid w:val="00A1005E"/>
    <w:rsid w:val="00A121C9"/>
    <w:rsid w:val="00A26E60"/>
    <w:rsid w:val="00A42169"/>
    <w:rsid w:val="00A44E5D"/>
    <w:rsid w:val="00A46743"/>
    <w:rsid w:val="00A66D9B"/>
    <w:rsid w:val="00A67E0C"/>
    <w:rsid w:val="00A71BE9"/>
    <w:rsid w:val="00A85638"/>
    <w:rsid w:val="00A85EAB"/>
    <w:rsid w:val="00AA27E4"/>
    <w:rsid w:val="00AC1C8A"/>
    <w:rsid w:val="00AC1F0B"/>
    <w:rsid w:val="00AC4D9C"/>
    <w:rsid w:val="00AC51A5"/>
    <w:rsid w:val="00AC6392"/>
    <w:rsid w:val="00AC66A8"/>
    <w:rsid w:val="00AE18B4"/>
    <w:rsid w:val="00AE4074"/>
    <w:rsid w:val="00AF13E8"/>
    <w:rsid w:val="00AF3624"/>
    <w:rsid w:val="00B0118B"/>
    <w:rsid w:val="00B103EE"/>
    <w:rsid w:val="00B25CBB"/>
    <w:rsid w:val="00B3719E"/>
    <w:rsid w:val="00B449E0"/>
    <w:rsid w:val="00B45D05"/>
    <w:rsid w:val="00B46D7A"/>
    <w:rsid w:val="00B523C0"/>
    <w:rsid w:val="00B6496B"/>
    <w:rsid w:val="00B7058F"/>
    <w:rsid w:val="00B70D71"/>
    <w:rsid w:val="00B71C9E"/>
    <w:rsid w:val="00B73CAB"/>
    <w:rsid w:val="00B80BEE"/>
    <w:rsid w:val="00B81906"/>
    <w:rsid w:val="00B81A55"/>
    <w:rsid w:val="00B8352E"/>
    <w:rsid w:val="00B84750"/>
    <w:rsid w:val="00B85625"/>
    <w:rsid w:val="00B90086"/>
    <w:rsid w:val="00B947E7"/>
    <w:rsid w:val="00BA1BDC"/>
    <w:rsid w:val="00BA1E7A"/>
    <w:rsid w:val="00BB1787"/>
    <w:rsid w:val="00BB25DD"/>
    <w:rsid w:val="00BB7599"/>
    <w:rsid w:val="00BC052F"/>
    <w:rsid w:val="00BC5CC7"/>
    <w:rsid w:val="00BC6D43"/>
    <w:rsid w:val="00BC7B90"/>
    <w:rsid w:val="00BD41BD"/>
    <w:rsid w:val="00BD5F6E"/>
    <w:rsid w:val="00BD6F42"/>
    <w:rsid w:val="00BE0E26"/>
    <w:rsid w:val="00BE75C1"/>
    <w:rsid w:val="00BF0028"/>
    <w:rsid w:val="00BF27CE"/>
    <w:rsid w:val="00BF6115"/>
    <w:rsid w:val="00C110D0"/>
    <w:rsid w:val="00C154AA"/>
    <w:rsid w:val="00C17C00"/>
    <w:rsid w:val="00C419E2"/>
    <w:rsid w:val="00C4309A"/>
    <w:rsid w:val="00C433AE"/>
    <w:rsid w:val="00C4708A"/>
    <w:rsid w:val="00C520C8"/>
    <w:rsid w:val="00C541FF"/>
    <w:rsid w:val="00C57F1E"/>
    <w:rsid w:val="00C757FE"/>
    <w:rsid w:val="00C816A5"/>
    <w:rsid w:val="00C828C6"/>
    <w:rsid w:val="00C86B16"/>
    <w:rsid w:val="00C86C8A"/>
    <w:rsid w:val="00C86E13"/>
    <w:rsid w:val="00C9219B"/>
    <w:rsid w:val="00C965DB"/>
    <w:rsid w:val="00CA09BE"/>
    <w:rsid w:val="00CC000B"/>
    <w:rsid w:val="00CC2EB3"/>
    <w:rsid w:val="00CC363A"/>
    <w:rsid w:val="00CC4C55"/>
    <w:rsid w:val="00CC6170"/>
    <w:rsid w:val="00CD1E97"/>
    <w:rsid w:val="00CD2D36"/>
    <w:rsid w:val="00CE65FA"/>
    <w:rsid w:val="00D0318B"/>
    <w:rsid w:val="00D1230B"/>
    <w:rsid w:val="00D15638"/>
    <w:rsid w:val="00D22113"/>
    <w:rsid w:val="00D31F25"/>
    <w:rsid w:val="00D32355"/>
    <w:rsid w:val="00D32AD6"/>
    <w:rsid w:val="00D36494"/>
    <w:rsid w:val="00D3728F"/>
    <w:rsid w:val="00D406F8"/>
    <w:rsid w:val="00D43E98"/>
    <w:rsid w:val="00D4695C"/>
    <w:rsid w:val="00D476F4"/>
    <w:rsid w:val="00D5091F"/>
    <w:rsid w:val="00D51CC1"/>
    <w:rsid w:val="00D53085"/>
    <w:rsid w:val="00D62344"/>
    <w:rsid w:val="00D63FEB"/>
    <w:rsid w:val="00D64D3B"/>
    <w:rsid w:val="00D65A95"/>
    <w:rsid w:val="00D66EB3"/>
    <w:rsid w:val="00D876E4"/>
    <w:rsid w:val="00D87F14"/>
    <w:rsid w:val="00D95A22"/>
    <w:rsid w:val="00D97F9D"/>
    <w:rsid w:val="00DB0A6F"/>
    <w:rsid w:val="00DB37FB"/>
    <w:rsid w:val="00DB4EE6"/>
    <w:rsid w:val="00DB55C1"/>
    <w:rsid w:val="00DB6227"/>
    <w:rsid w:val="00DB6FFA"/>
    <w:rsid w:val="00DC22FD"/>
    <w:rsid w:val="00DD5C40"/>
    <w:rsid w:val="00DE12E4"/>
    <w:rsid w:val="00DF29D3"/>
    <w:rsid w:val="00DF4588"/>
    <w:rsid w:val="00DF52FF"/>
    <w:rsid w:val="00E02631"/>
    <w:rsid w:val="00E05B04"/>
    <w:rsid w:val="00E070CB"/>
    <w:rsid w:val="00E170FF"/>
    <w:rsid w:val="00E17C38"/>
    <w:rsid w:val="00E25511"/>
    <w:rsid w:val="00E31693"/>
    <w:rsid w:val="00E34305"/>
    <w:rsid w:val="00E34989"/>
    <w:rsid w:val="00E36AA2"/>
    <w:rsid w:val="00E40B30"/>
    <w:rsid w:val="00E41B2A"/>
    <w:rsid w:val="00E471DF"/>
    <w:rsid w:val="00E5190D"/>
    <w:rsid w:val="00E51F88"/>
    <w:rsid w:val="00E53678"/>
    <w:rsid w:val="00E5451B"/>
    <w:rsid w:val="00E54B5F"/>
    <w:rsid w:val="00E56E0E"/>
    <w:rsid w:val="00E64101"/>
    <w:rsid w:val="00E72067"/>
    <w:rsid w:val="00E724FE"/>
    <w:rsid w:val="00E726E4"/>
    <w:rsid w:val="00E77439"/>
    <w:rsid w:val="00E863F6"/>
    <w:rsid w:val="00E931AD"/>
    <w:rsid w:val="00EA047B"/>
    <w:rsid w:val="00EA06A3"/>
    <w:rsid w:val="00EA0D69"/>
    <w:rsid w:val="00EA2F36"/>
    <w:rsid w:val="00EA3D06"/>
    <w:rsid w:val="00EA3DD0"/>
    <w:rsid w:val="00EA65AE"/>
    <w:rsid w:val="00EA6F2A"/>
    <w:rsid w:val="00EB18D0"/>
    <w:rsid w:val="00EB2E76"/>
    <w:rsid w:val="00EB5F97"/>
    <w:rsid w:val="00EC5298"/>
    <w:rsid w:val="00EC6AA1"/>
    <w:rsid w:val="00ED0543"/>
    <w:rsid w:val="00ED75D1"/>
    <w:rsid w:val="00EE07A2"/>
    <w:rsid w:val="00EE08E0"/>
    <w:rsid w:val="00EE69C5"/>
    <w:rsid w:val="00EE6A44"/>
    <w:rsid w:val="00EF08DF"/>
    <w:rsid w:val="00EF77F2"/>
    <w:rsid w:val="00F10B92"/>
    <w:rsid w:val="00F1744A"/>
    <w:rsid w:val="00F3311E"/>
    <w:rsid w:val="00F407E5"/>
    <w:rsid w:val="00F428FB"/>
    <w:rsid w:val="00F538B3"/>
    <w:rsid w:val="00F752B1"/>
    <w:rsid w:val="00F756B7"/>
    <w:rsid w:val="00F82D06"/>
    <w:rsid w:val="00F832AA"/>
    <w:rsid w:val="00F92AD4"/>
    <w:rsid w:val="00F94E99"/>
    <w:rsid w:val="00FA27C0"/>
    <w:rsid w:val="00FA3FCC"/>
    <w:rsid w:val="00FA7E5C"/>
    <w:rsid w:val="00FB47BE"/>
    <w:rsid w:val="00FC08A7"/>
    <w:rsid w:val="00FC22DC"/>
    <w:rsid w:val="00FC24C5"/>
    <w:rsid w:val="00FD25FC"/>
    <w:rsid w:val="00FD6967"/>
    <w:rsid w:val="00FE5DB0"/>
    <w:rsid w:val="00FE74AA"/>
    <w:rsid w:val="00FF1A8C"/>
    <w:rsid w:val="00FF370E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522C"/>
  <w15:docId w15:val="{A2CA2067-D845-4A99-BE90-91153B6D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501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83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F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D75D1"/>
    <w:rPr>
      <w:color w:val="0000FF"/>
      <w:u w:val="single"/>
    </w:rPr>
  </w:style>
  <w:style w:type="paragraph" w:customStyle="1" w:styleId="Tre">
    <w:name w:val="Treść"/>
    <w:rsid w:val="00CC000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character" w:customStyle="1" w:styleId="st">
    <w:name w:val="st"/>
    <w:basedOn w:val="Domylnaczcionkaakapitu"/>
    <w:rsid w:val="00171204"/>
  </w:style>
  <w:style w:type="character" w:styleId="Pogrubienie">
    <w:name w:val="Strong"/>
    <w:basedOn w:val="Domylnaczcionkaakapitu"/>
    <w:uiPriority w:val="22"/>
    <w:qFormat/>
    <w:rsid w:val="00E77439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4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8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D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D0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65DB"/>
    <w:rPr>
      <w:color w:val="800080" w:themeColor="followedHyperlink"/>
      <w:u w:val="single"/>
    </w:rPr>
  </w:style>
  <w:style w:type="character" w:customStyle="1" w:styleId="highlight">
    <w:name w:val="highlight"/>
    <w:basedOn w:val="Domylnaczcionkaakapitu"/>
    <w:rsid w:val="00C965DB"/>
  </w:style>
  <w:style w:type="paragraph" w:customStyle="1" w:styleId="Default">
    <w:name w:val="Default"/>
    <w:rsid w:val="0069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16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52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7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78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914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945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7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0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3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ie-policies.eu/ho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49E3-D2B3-4C7F-89D8-D0E2FC83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ldyba</dc:creator>
  <cp:lastModifiedBy>Łukasz Dyba</cp:lastModifiedBy>
  <cp:revision>5</cp:revision>
  <cp:lastPrinted>2014-11-18T09:24:00Z</cp:lastPrinted>
  <dcterms:created xsi:type="dcterms:W3CDTF">2014-11-19T16:37:00Z</dcterms:created>
  <dcterms:modified xsi:type="dcterms:W3CDTF">2014-11-19T17:16:00Z</dcterms:modified>
</cp:coreProperties>
</file>