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47CD" w14:textId="3F10B945" w:rsidR="008455C1" w:rsidRPr="004542B8" w:rsidRDefault="008455C1" w:rsidP="002D5057">
      <w:pPr>
        <w:spacing w:before="100" w:beforeAutospacing="1" w:after="100" w:afterAutospacing="1" w:line="24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4542B8">
        <w:rPr>
          <w:rFonts w:ascii="Arial" w:hAnsi="Arial" w:cs="Arial"/>
          <w:b/>
          <w:i/>
          <w:sz w:val="22"/>
          <w:szCs w:val="22"/>
        </w:rPr>
        <w:t>XVI posiedzenie Grupy roboczej ds. MŚP przy KK NSRO</w:t>
      </w:r>
    </w:p>
    <w:p w14:paraId="379B56CB" w14:textId="77777777" w:rsidR="008455C1" w:rsidRPr="004542B8" w:rsidRDefault="008455C1" w:rsidP="00AF13E8">
      <w:pPr>
        <w:pStyle w:val="Akapitzlist"/>
        <w:numPr>
          <w:ilvl w:val="0"/>
          <w:numId w:val="2"/>
        </w:numPr>
        <w:spacing w:line="24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4542B8">
        <w:rPr>
          <w:rFonts w:ascii="Arial" w:hAnsi="Arial" w:cs="Arial"/>
          <w:b/>
          <w:i/>
          <w:sz w:val="22"/>
          <w:szCs w:val="22"/>
        </w:rPr>
        <w:t>czerwca 2014 r.</w:t>
      </w:r>
    </w:p>
    <w:p w14:paraId="5D5D82FC" w14:textId="77777777" w:rsidR="00740570" w:rsidRDefault="00740570" w:rsidP="00CC000B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6776E432" w14:textId="77777777" w:rsidR="004542B8" w:rsidRPr="004542B8" w:rsidRDefault="004542B8" w:rsidP="00CC000B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571D4C85" w14:textId="77777777" w:rsidR="00FB47BE" w:rsidRPr="004542B8" w:rsidRDefault="00FB47BE" w:rsidP="00AF13E8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  <w:color w:val="808080"/>
          <w:sz w:val="22"/>
          <w:szCs w:val="22"/>
        </w:rPr>
      </w:pPr>
      <w:r w:rsidRPr="004542B8">
        <w:rPr>
          <w:rFonts w:ascii="Arial" w:hAnsi="Arial" w:cs="Arial"/>
          <w:b/>
          <w:sz w:val="22"/>
          <w:szCs w:val="22"/>
        </w:rPr>
        <w:t>Ocena wsparcia dla MŚP w horyzontalnych programach operacyjnych 2007-2013 – podsumowanie instrumentów i działań skierowanych do MŚP, kluczowe wnioski i rekomendacja z badań ewaluacyjnych</w:t>
      </w:r>
    </w:p>
    <w:p w14:paraId="1A0D7BE9" w14:textId="77777777" w:rsidR="009E52AC" w:rsidRPr="004542B8" w:rsidRDefault="009E52AC" w:rsidP="00CC000B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3C52D79F" w14:textId="6C5B9424" w:rsidR="00CC000B" w:rsidRPr="004542B8" w:rsidRDefault="00CC000B" w:rsidP="00CC00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b/>
          <w:sz w:val="22"/>
          <w:szCs w:val="22"/>
        </w:rPr>
        <w:t>Marcin Łata, Dyrektor Departamentu Konkurencyjności i Innowacyjności w Ministerstwie Infrastruktury i Rozwoju</w:t>
      </w:r>
      <w:r w:rsidRPr="004542B8">
        <w:rPr>
          <w:rFonts w:ascii="Arial" w:hAnsi="Arial" w:cs="Arial"/>
          <w:sz w:val="22"/>
          <w:szCs w:val="22"/>
        </w:rPr>
        <w:t>, poinformował</w:t>
      </w:r>
      <w:r w:rsidR="0079304A">
        <w:rPr>
          <w:rFonts w:ascii="Arial" w:hAnsi="Arial" w:cs="Arial"/>
          <w:sz w:val="22"/>
          <w:szCs w:val="22"/>
        </w:rPr>
        <w:t xml:space="preserve"> o </w:t>
      </w:r>
      <w:r w:rsidRPr="004542B8">
        <w:rPr>
          <w:rFonts w:ascii="Arial" w:hAnsi="Arial" w:cs="Arial"/>
          <w:sz w:val="22"/>
          <w:szCs w:val="22"/>
        </w:rPr>
        <w:t>dostępn</w:t>
      </w:r>
      <w:r w:rsidR="0079304A">
        <w:rPr>
          <w:rFonts w:ascii="Arial" w:hAnsi="Arial" w:cs="Arial"/>
          <w:sz w:val="22"/>
          <w:szCs w:val="22"/>
        </w:rPr>
        <w:t>ych</w:t>
      </w:r>
      <w:r w:rsidRPr="004542B8">
        <w:rPr>
          <w:rFonts w:ascii="Arial" w:hAnsi="Arial" w:cs="Arial"/>
          <w:sz w:val="22"/>
          <w:szCs w:val="22"/>
        </w:rPr>
        <w:t xml:space="preserve"> analiz</w:t>
      </w:r>
      <w:r w:rsidR="0079304A">
        <w:rPr>
          <w:rFonts w:ascii="Arial" w:hAnsi="Arial" w:cs="Arial"/>
          <w:sz w:val="22"/>
          <w:szCs w:val="22"/>
        </w:rPr>
        <w:t>ach</w:t>
      </w:r>
      <w:r w:rsidRPr="004542B8">
        <w:rPr>
          <w:rFonts w:ascii="Arial" w:hAnsi="Arial" w:cs="Arial"/>
          <w:sz w:val="22"/>
          <w:szCs w:val="22"/>
        </w:rPr>
        <w:t xml:space="preserve"> dot</w:t>
      </w:r>
      <w:r w:rsidR="0079304A">
        <w:rPr>
          <w:rFonts w:ascii="Arial" w:hAnsi="Arial" w:cs="Arial"/>
          <w:sz w:val="22"/>
          <w:szCs w:val="22"/>
        </w:rPr>
        <w:t>.</w:t>
      </w:r>
      <w:r w:rsidRPr="004542B8">
        <w:rPr>
          <w:rFonts w:ascii="Arial" w:hAnsi="Arial" w:cs="Arial"/>
          <w:sz w:val="22"/>
          <w:szCs w:val="22"/>
        </w:rPr>
        <w:t xml:space="preserve"> Programu Operacyjnego </w:t>
      </w:r>
      <w:r w:rsidR="009E52AC" w:rsidRPr="004542B8">
        <w:rPr>
          <w:rFonts w:ascii="Arial" w:hAnsi="Arial" w:cs="Arial"/>
          <w:sz w:val="22"/>
          <w:szCs w:val="22"/>
        </w:rPr>
        <w:t xml:space="preserve">Innowacyjna </w:t>
      </w:r>
      <w:r w:rsidRPr="004542B8">
        <w:rPr>
          <w:rFonts w:ascii="Arial" w:hAnsi="Arial" w:cs="Arial"/>
          <w:sz w:val="22"/>
          <w:szCs w:val="22"/>
        </w:rPr>
        <w:t>Gospodarka</w:t>
      </w:r>
      <w:r w:rsidR="0079304A">
        <w:rPr>
          <w:rFonts w:ascii="Arial" w:hAnsi="Arial" w:cs="Arial"/>
          <w:sz w:val="22"/>
          <w:szCs w:val="22"/>
        </w:rPr>
        <w:t>,</w:t>
      </w:r>
      <w:r w:rsidRPr="004542B8">
        <w:rPr>
          <w:rFonts w:ascii="Arial" w:hAnsi="Arial" w:cs="Arial"/>
          <w:sz w:val="22"/>
          <w:szCs w:val="22"/>
        </w:rPr>
        <w:t xml:space="preserve"> wykonan</w:t>
      </w:r>
      <w:r w:rsidR="0079304A">
        <w:rPr>
          <w:rFonts w:ascii="Arial" w:hAnsi="Arial" w:cs="Arial"/>
          <w:sz w:val="22"/>
          <w:szCs w:val="22"/>
        </w:rPr>
        <w:t>ych</w:t>
      </w:r>
      <w:r w:rsidRPr="004542B8">
        <w:rPr>
          <w:rFonts w:ascii="Arial" w:hAnsi="Arial" w:cs="Arial"/>
          <w:sz w:val="22"/>
          <w:szCs w:val="22"/>
        </w:rPr>
        <w:t xml:space="preserve"> w latach 2011-2012</w:t>
      </w:r>
      <w:r w:rsidR="0079304A">
        <w:rPr>
          <w:rFonts w:ascii="Arial" w:hAnsi="Arial" w:cs="Arial"/>
          <w:sz w:val="22"/>
          <w:szCs w:val="22"/>
        </w:rPr>
        <w:t xml:space="preserve"> oraz</w:t>
      </w:r>
      <w:r w:rsidRPr="004542B8">
        <w:rPr>
          <w:rFonts w:ascii="Arial" w:hAnsi="Arial" w:cs="Arial"/>
          <w:sz w:val="22"/>
          <w:szCs w:val="22"/>
        </w:rPr>
        <w:t xml:space="preserve"> kompleksow</w:t>
      </w:r>
      <w:r w:rsidR="0079304A">
        <w:rPr>
          <w:rFonts w:ascii="Arial" w:hAnsi="Arial" w:cs="Arial"/>
          <w:sz w:val="22"/>
          <w:szCs w:val="22"/>
        </w:rPr>
        <w:t>ej</w:t>
      </w:r>
      <w:r w:rsidRPr="004542B8">
        <w:rPr>
          <w:rFonts w:ascii="Arial" w:hAnsi="Arial" w:cs="Arial"/>
          <w:sz w:val="22"/>
          <w:szCs w:val="22"/>
        </w:rPr>
        <w:t xml:space="preserve"> analiz</w:t>
      </w:r>
      <w:r w:rsidR="0079304A">
        <w:rPr>
          <w:rFonts w:ascii="Arial" w:hAnsi="Arial" w:cs="Arial"/>
          <w:sz w:val="22"/>
          <w:szCs w:val="22"/>
        </w:rPr>
        <w:t>ie</w:t>
      </w:r>
      <w:r w:rsidRPr="004542B8">
        <w:rPr>
          <w:rFonts w:ascii="Arial" w:hAnsi="Arial" w:cs="Arial"/>
          <w:sz w:val="22"/>
          <w:szCs w:val="22"/>
        </w:rPr>
        <w:t xml:space="preserve"> wsparcia </w:t>
      </w:r>
      <w:r w:rsidR="0079304A">
        <w:rPr>
          <w:rFonts w:ascii="Arial" w:hAnsi="Arial" w:cs="Arial"/>
          <w:sz w:val="22"/>
          <w:szCs w:val="22"/>
        </w:rPr>
        <w:t xml:space="preserve">z Programu, jaka </w:t>
      </w:r>
      <w:r w:rsidRPr="004542B8">
        <w:rPr>
          <w:rFonts w:ascii="Arial" w:hAnsi="Arial" w:cs="Arial"/>
          <w:sz w:val="22"/>
          <w:szCs w:val="22"/>
        </w:rPr>
        <w:t xml:space="preserve">będzie wykonana po </w:t>
      </w:r>
      <w:r w:rsidR="0079304A">
        <w:rPr>
          <w:rFonts w:ascii="Arial" w:hAnsi="Arial" w:cs="Arial"/>
          <w:sz w:val="22"/>
          <w:szCs w:val="22"/>
        </w:rPr>
        <w:t xml:space="preserve">jego </w:t>
      </w:r>
      <w:r w:rsidRPr="004542B8">
        <w:rPr>
          <w:rFonts w:ascii="Arial" w:hAnsi="Arial" w:cs="Arial"/>
          <w:sz w:val="22"/>
          <w:szCs w:val="22"/>
        </w:rPr>
        <w:t>za</w:t>
      </w:r>
      <w:r w:rsidR="0079304A">
        <w:rPr>
          <w:rFonts w:ascii="Arial" w:hAnsi="Arial" w:cs="Arial"/>
          <w:sz w:val="22"/>
          <w:szCs w:val="22"/>
        </w:rPr>
        <w:t>kończeniu (</w:t>
      </w:r>
      <w:r w:rsidRPr="004542B8">
        <w:rPr>
          <w:rFonts w:ascii="Arial" w:hAnsi="Arial" w:cs="Arial"/>
          <w:sz w:val="22"/>
          <w:szCs w:val="22"/>
        </w:rPr>
        <w:t>projekty realizowane przez MSP, szczególnie najmniejsze, są już zakończone</w:t>
      </w:r>
      <w:r w:rsidR="0079304A">
        <w:rPr>
          <w:rFonts w:ascii="Arial" w:hAnsi="Arial" w:cs="Arial"/>
          <w:sz w:val="22"/>
          <w:szCs w:val="22"/>
        </w:rPr>
        <w:t xml:space="preserve">, natomiast część większych jest </w:t>
      </w:r>
      <w:r w:rsidR="0079304A" w:rsidRPr="004542B8">
        <w:rPr>
          <w:rFonts w:ascii="Arial" w:hAnsi="Arial" w:cs="Arial"/>
          <w:sz w:val="22"/>
          <w:szCs w:val="22"/>
        </w:rPr>
        <w:t>w fazie realizacji</w:t>
      </w:r>
      <w:r w:rsidR="0079304A">
        <w:rPr>
          <w:rFonts w:ascii="Arial" w:hAnsi="Arial" w:cs="Arial"/>
          <w:sz w:val="22"/>
          <w:szCs w:val="22"/>
        </w:rPr>
        <w:t>).</w:t>
      </w:r>
      <w:r w:rsidR="00103CBF">
        <w:rPr>
          <w:rFonts w:ascii="Arial" w:hAnsi="Arial" w:cs="Arial"/>
          <w:sz w:val="22"/>
          <w:szCs w:val="22"/>
        </w:rPr>
        <w:t xml:space="preserve"> </w:t>
      </w:r>
      <w:r w:rsidRPr="004542B8">
        <w:rPr>
          <w:rFonts w:ascii="Arial" w:hAnsi="Arial" w:cs="Arial"/>
          <w:sz w:val="22"/>
          <w:szCs w:val="22"/>
        </w:rPr>
        <w:t>Przedstawiciel Ministerstwa Infrastruktury i Rozwoju (MIR)</w:t>
      </w:r>
      <w:r w:rsidR="00103CBF">
        <w:rPr>
          <w:rFonts w:ascii="Arial" w:hAnsi="Arial" w:cs="Arial"/>
          <w:sz w:val="22"/>
          <w:szCs w:val="22"/>
        </w:rPr>
        <w:t xml:space="preserve"> przedstawił</w:t>
      </w:r>
      <w:r w:rsidRPr="004542B8">
        <w:rPr>
          <w:rFonts w:ascii="Arial" w:hAnsi="Arial" w:cs="Arial"/>
          <w:sz w:val="22"/>
          <w:szCs w:val="22"/>
        </w:rPr>
        <w:t xml:space="preserve"> informacje nt stanu wdrażania POIG:</w:t>
      </w:r>
    </w:p>
    <w:p w14:paraId="5126C0A8" w14:textId="6BDA68BC" w:rsidR="00CC000B" w:rsidRPr="004542B8" w:rsidRDefault="00CC000B" w:rsidP="00AF13E8">
      <w:pPr>
        <w:pStyle w:val="Tre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zawarto prawie 14 tys. umów z MŚP (</w:t>
      </w:r>
      <w:r w:rsidR="0079304A">
        <w:rPr>
          <w:rFonts w:ascii="Arial" w:hAnsi="Arial" w:cs="Arial"/>
        </w:rPr>
        <w:t xml:space="preserve">jest to </w:t>
      </w:r>
      <w:r w:rsidRPr="004542B8">
        <w:rPr>
          <w:rFonts w:ascii="Arial" w:hAnsi="Arial" w:cs="Arial"/>
        </w:rPr>
        <w:t xml:space="preserve">główna kategoria beneficjentów POIG) na kwotę prawie 17 mld PLN; łącznie zawarto ok. 16,6 tys. </w:t>
      </w:r>
      <w:r w:rsidR="0079304A">
        <w:rPr>
          <w:rFonts w:ascii="Arial" w:hAnsi="Arial" w:cs="Arial"/>
        </w:rPr>
        <w:t xml:space="preserve">umów </w:t>
      </w:r>
      <w:r w:rsidRPr="004542B8">
        <w:rPr>
          <w:rFonts w:ascii="Arial" w:hAnsi="Arial" w:cs="Arial"/>
        </w:rPr>
        <w:t xml:space="preserve">na </w:t>
      </w:r>
      <w:r w:rsidR="0079304A">
        <w:rPr>
          <w:rFonts w:ascii="Arial" w:hAnsi="Arial" w:cs="Arial"/>
        </w:rPr>
        <w:t xml:space="preserve">kwotę </w:t>
      </w:r>
      <w:r w:rsidRPr="004542B8">
        <w:rPr>
          <w:rFonts w:ascii="Arial" w:hAnsi="Arial" w:cs="Arial"/>
        </w:rPr>
        <w:t>42 mld</w:t>
      </w:r>
      <w:r w:rsidR="00021F02">
        <w:rPr>
          <w:rFonts w:ascii="Arial" w:hAnsi="Arial" w:cs="Arial"/>
        </w:rPr>
        <w:t xml:space="preserve"> PLN;</w:t>
      </w:r>
      <w:r w:rsidRPr="004542B8">
        <w:rPr>
          <w:rFonts w:ascii="Arial" w:hAnsi="Arial" w:cs="Arial"/>
        </w:rPr>
        <w:t xml:space="preserve"> statystycznie </w:t>
      </w:r>
      <w:r w:rsidR="00021F02">
        <w:rPr>
          <w:rFonts w:ascii="Arial" w:hAnsi="Arial" w:cs="Arial"/>
        </w:rPr>
        <w:t xml:space="preserve">więc </w:t>
      </w:r>
      <w:r w:rsidRPr="004542B8">
        <w:rPr>
          <w:rFonts w:ascii="Arial" w:hAnsi="Arial" w:cs="Arial"/>
        </w:rPr>
        <w:t xml:space="preserve">udział MSP </w:t>
      </w:r>
      <w:r w:rsidR="00021F02">
        <w:rPr>
          <w:rFonts w:ascii="Arial" w:hAnsi="Arial" w:cs="Arial"/>
        </w:rPr>
        <w:t xml:space="preserve">w Programie </w:t>
      </w:r>
      <w:r w:rsidRPr="004542B8">
        <w:rPr>
          <w:rFonts w:ascii="Arial" w:hAnsi="Arial" w:cs="Arial"/>
        </w:rPr>
        <w:t xml:space="preserve">jest </w:t>
      </w:r>
      <w:r w:rsidR="00021F02">
        <w:rPr>
          <w:rFonts w:ascii="Arial" w:hAnsi="Arial" w:cs="Arial"/>
        </w:rPr>
        <w:t xml:space="preserve">znacznie </w:t>
      </w:r>
      <w:r w:rsidRPr="004542B8">
        <w:rPr>
          <w:rFonts w:ascii="Arial" w:hAnsi="Arial" w:cs="Arial"/>
        </w:rPr>
        <w:t xml:space="preserve">większy pod względem liczby </w:t>
      </w:r>
      <w:r w:rsidR="00021F02">
        <w:rPr>
          <w:rFonts w:ascii="Arial" w:hAnsi="Arial" w:cs="Arial"/>
        </w:rPr>
        <w:t xml:space="preserve">projektów niż </w:t>
      </w:r>
      <w:r w:rsidR="00837966">
        <w:rPr>
          <w:rFonts w:ascii="Arial" w:hAnsi="Arial" w:cs="Arial"/>
        </w:rPr>
        <w:t>wartości wykorzystanej</w:t>
      </w:r>
      <w:r w:rsidR="00021F02">
        <w:rPr>
          <w:rFonts w:ascii="Arial" w:hAnsi="Arial" w:cs="Arial"/>
        </w:rPr>
        <w:t xml:space="preserve"> alokacji;</w:t>
      </w:r>
    </w:p>
    <w:p w14:paraId="56B9DB53" w14:textId="77777777" w:rsidR="00CC000B" w:rsidRPr="004542B8" w:rsidRDefault="00CC000B" w:rsidP="00AF13E8">
      <w:pPr>
        <w:pStyle w:val="Tre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zgodnie z porozumieniem z K</w:t>
      </w:r>
      <w:r w:rsidR="00021F02">
        <w:rPr>
          <w:rFonts w:ascii="Arial" w:hAnsi="Arial" w:cs="Arial"/>
        </w:rPr>
        <w:t xml:space="preserve">omisją </w:t>
      </w:r>
      <w:r w:rsidRPr="004542B8">
        <w:rPr>
          <w:rFonts w:ascii="Arial" w:hAnsi="Arial" w:cs="Arial"/>
        </w:rPr>
        <w:t>E</w:t>
      </w:r>
      <w:r w:rsidR="00021F02">
        <w:rPr>
          <w:rFonts w:ascii="Arial" w:hAnsi="Arial" w:cs="Arial"/>
        </w:rPr>
        <w:t>uropejską</w:t>
      </w:r>
      <w:r w:rsidRPr="004542B8">
        <w:rPr>
          <w:rFonts w:ascii="Arial" w:hAnsi="Arial" w:cs="Arial"/>
        </w:rPr>
        <w:t xml:space="preserve"> minimum 65% środków przeznaczonych na wsparcie przedsiębiorców </w:t>
      </w:r>
      <w:r w:rsidR="00021F02">
        <w:rPr>
          <w:rFonts w:ascii="Arial" w:hAnsi="Arial" w:cs="Arial"/>
        </w:rPr>
        <w:t>w ramach PO</w:t>
      </w:r>
      <w:r w:rsidR="00021F02" w:rsidRPr="004542B8">
        <w:rPr>
          <w:rFonts w:ascii="Arial" w:hAnsi="Arial" w:cs="Arial"/>
        </w:rPr>
        <w:t xml:space="preserve">IG </w:t>
      </w:r>
      <w:r w:rsidRPr="004542B8">
        <w:rPr>
          <w:rFonts w:ascii="Arial" w:hAnsi="Arial" w:cs="Arial"/>
        </w:rPr>
        <w:t xml:space="preserve">musi być udzielona MSP; próg ten został przekroczony i </w:t>
      </w:r>
      <w:r w:rsidR="00021F02">
        <w:rPr>
          <w:rFonts w:ascii="Arial" w:hAnsi="Arial" w:cs="Arial"/>
        </w:rPr>
        <w:t xml:space="preserve">obecnie </w:t>
      </w:r>
      <w:r w:rsidRPr="004542B8">
        <w:rPr>
          <w:rFonts w:ascii="Arial" w:hAnsi="Arial" w:cs="Arial"/>
        </w:rPr>
        <w:t>wynosi 72%;</w:t>
      </w:r>
    </w:p>
    <w:p w14:paraId="331FE761" w14:textId="77777777" w:rsidR="00CC000B" w:rsidRPr="00021F02" w:rsidRDefault="00CC000B" w:rsidP="00021F02">
      <w:pPr>
        <w:pStyle w:val="Tre"/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021F02">
        <w:rPr>
          <w:rFonts w:ascii="Arial" w:hAnsi="Arial" w:cs="Arial"/>
        </w:rPr>
        <w:t xml:space="preserve">w podziale na osie priorytetowe najwięcej MŚP otrzymało </w:t>
      </w:r>
      <w:r w:rsidR="00021F02" w:rsidRPr="00021F02">
        <w:rPr>
          <w:rFonts w:ascii="Arial" w:hAnsi="Arial" w:cs="Arial"/>
        </w:rPr>
        <w:t xml:space="preserve">wsparcie </w:t>
      </w:r>
      <w:r w:rsidRPr="00021F02">
        <w:rPr>
          <w:rFonts w:ascii="Arial" w:hAnsi="Arial" w:cs="Arial"/>
        </w:rPr>
        <w:t xml:space="preserve">w </w:t>
      </w:r>
      <w:r w:rsidR="00021F02" w:rsidRPr="00021F02">
        <w:rPr>
          <w:rFonts w:ascii="Arial" w:hAnsi="Arial" w:cs="Arial"/>
        </w:rPr>
        <w:t xml:space="preserve">ramach osi </w:t>
      </w:r>
      <w:r w:rsidRPr="00021F02">
        <w:rPr>
          <w:rFonts w:ascii="Arial" w:hAnsi="Arial" w:cs="Arial"/>
        </w:rPr>
        <w:t xml:space="preserve">8 </w:t>
      </w:r>
      <w:r w:rsidR="00021F02" w:rsidRPr="00021F02">
        <w:rPr>
          <w:rFonts w:ascii="Arial" w:hAnsi="Arial" w:cs="Arial"/>
        </w:rPr>
        <w:t xml:space="preserve">„Społeczeństwo informacyjne – zwiększanie innowacyjności gospodarki” </w:t>
      </w:r>
      <w:r w:rsidRPr="00021F02">
        <w:rPr>
          <w:rFonts w:ascii="Arial" w:hAnsi="Arial" w:cs="Arial"/>
        </w:rPr>
        <w:t xml:space="preserve">(wsparcie e-gospodarki, najmniejsze projekty) oraz w osi 6 </w:t>
      </w:r>
      <w:r w:rsidR="00021F02" w:rsidRPr="00021F02">
        <w:rPr>
          <w:rFonts w:ascii="Arial" w:hAnsi="Arial" w:cs="Arial"/>
        </w:rPr>
        <w:t xml:space="preserve">„Polska gospodarka na rynku międzynarodowym” </w:t>
      </w:r>
      <w:r w:rsidRPr="00021F02">
        <w:rPr>
          <w:rFonts w:ascii="Arial" w:hAnsi="Arial" w:cs="Arial"/>
        </w:rPr>
        <w:t xml:space="preserve">(wsparcie eksportu firm; głównie </w:t>
      </w:r>
      <w:r w:rsidR="00021F02" w:rsidRPr="00021F02">
        <w:rPr>
          <w:rFonts w:ascii="Arial" w:hAnsi="Arial" w:cs="Arial"/>
        </w:rPr>
        <w:t xml:space="preserve">działanie </w:t>
      </w:r>
      <w:r w:rsidRPr="00021F02">
        <w:rPr>
          <w:rFonts w:ascii="Arial" w:hAnsi="Arial" w:cs="Arial"/>
        </w:rPr>
        <w:t xml:space="preserve">6.1 </w:t>
      </w:r>
      <w:r w:rsidR="00021F02" w:rsidRPr="00021F02">
        <w:rPr>
          <w:rFonts w:ascii="Arial" w:hAnsi="Arial" w:cs="Arial"/>
        </w:rPr>
        <w:t>„</w:t>
      </w:r>
      <w:r w:rsidRPr="00021F02">
        <w:rPr>
          <w:rFonts w:ascii="Arial" w:hAnsi="Arial" w:cs="Arial"/>
        </w:rPr>
        <w:t>Paszport do eksportu</w:t>
      </w:r>
      <w:r w:rsidR="00021F02" w:rsidRPr="00021F02">
        <w:rPr>
          <w:rFonts w:ascii="Arial" w:hAnsi="Arial" w:cs="Arial"/>
        </w:rPr>
        <w:t>”</w:t>
      </w:r>
      <w:r w:rsidRPr="00021F02">
        <w:rPr>
          <w:rFonts w:ascii="Arial" w:hAnsi="Arial" w:cs="Arial"/>
        </w:rPr>
        <w:t xml:space="preserve">, i </w:t>
      </w:r>
      <w:r w:rsidR="00021F02" w:rsidRPr="00021F02">
        <w:rPr>
          <w:rFonts w:ascii="Arial" w:hAnsi="Arial" w:cs="Arial"/>
        </w:rPr>
        <w:t xml:space="preserve">poddziałanie 6.5.2 </w:t>
      </w:r>
      <w:r w:rsidRPr="00021F02">
        <w:rPr>
          <w:rFonts w:ascii="Arial" w:hAnsi="Arial" w:cs="Arial"/>
        </w:rPr>
        <w:t>dot. internacjonalizacji),</w:t>
      </w:r>
      <w:r w:rsidR="00021F02" w:rsidRPr="00021F02">
        <w:rPr>
          <w:rFonts w:ascii="Arial" w:hAnsi="Arial" w:cs="Arial"/>
        </w:rPr>
        <w:t xml:space="preserve"> a w dalszej kolejności w osi 4 „Inwestycje w innowacyjne przedsięwzięcia”</w:t>
      </w:r>
      <w:r w:rsidRPr="00021F02">
        <w:rPr>
          <w:rFonts w:ascii="Arial" w:hAnsi="Arial" w:cs="Arial"/>
        </w:rPr>
        <w:t>, gdzie wspierano projekty o większej skali;</w:t>
      </w:r>
    </w:p>
    <w:p w14:paraId="69FC411D" w14:textId="64313C23" w:rsidR="00CC000B" w:rsidRPr="004542B8" w:rsidRDefault="00966ECF" w:rsidP="00AF13E8">
      <w:pPr>
        <w:pStyle w:val="Tre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zakłada się, że </w:t>
      </w:r>
      <w:r w:rsidR="00CC000B" w:rsidRPr="004542B8">
        <w:rPr>
          <w:rFonts w:ascii="Arial" w:hAnsi="Arial" w:cs="Arial"/>
        </w:rPr>
        <w:t>najpopularniejsze rodzaje wsparcia</w:t>
      </w:r>
      <w:r w:rsidR="008E7E6C">
        <w:rPr>
          <w:rFonts w:ascii="Arial" w:hAnsi="Arial" w:cs="Arial"/>
        </w:rPr>
        <w:t xml:space="preserve"> MSP</w:t>
      </w:r>
      <w:r w:rsidR="00CC000B" w:rsidRPr="004542B8">
        <w:rPr>
          <w:rFonts w:ascii="Arial" w:hAnsi="Arial" w:cs="Arial"/>
        </w:rPr>
        <w:t xml:space="preserve">, dot. ICT i eksportu, </w:t>
      </w:r>
      <w:r w:rsidR="008E7E6C" w:rsidRPr="004542B8">
        <w:rPr>
          <w:rFonts w:ascii="Arial" w:hAnsi="Arial" w:cs="Arial"/>
        </w:rPr>
        <w:t xml:space="preserve">będą </w:t>
      </w:r>
      <w:r w:rsidR="00CC000B" w:rsidRPr="004542B8">
        <w:rPr>
          <w:rFonts w:ascii="Arial" w:hAnsi="Arial" w:cs="Arial"/>
        </w:rPr>
        <w:t xml:space="preserve">w latach 2014-2020 praktycznie w całości zdecentralizowane. Krajowa interwencja dotyczącą internacjonalizacji przedsiębiorstw </w:t>
      </w:r>
      <w:r>
        <w:rPr>
          <w:rFonts w:ascii="Arial" w:hAnsi="Arial" w:cs="Arial"/>
        </w:rPr>
        <w:t xml:space="preserve">zasadniczo </w:t>
      </w:r>
      <w:r w:rsidR="00CC000B" w:rsidRPr="004542B8">
        <w:rPr>
          <w:rFonts w:ascii="Arial" w:hAnsi="Arial" w:cs="Arial"/>
        </w:rPr>
        <w:t>będzie ograniczona do działań systemowych.</w:t>
      </w:r>
    </w:p>
    <w:p w14:paraId="0D5ADD50" w14:textId="2F5FDB6B" w:rsidR="00CC000B" w:rsidRPr="004542B8" w:rsidRDefault="00CC000B" w:rsidP="00CC000B">
      <w:pPr>
        <w:pStyle w:val="Tre"/>
        <w:spacing w:after="12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Odpowiadając na pytanie </w:t>
      </w:r>
      <w:r w:rsidR="0086651E">
        <w:rPr>
          <w:rFonts w:ascii="Arial" w:hAnsi="Arial" w:cs="Arial"/>
        </w:rPr>
        <w:t xml:space="preserve">o wspólne projekty firm dużych i firm z sektora MŚP </w:t>
      </w:r>
      <w:r w:rsidR="008E7E6C">
        <w:rPr>
          <w:rFonts w:ascii="Arial" w:hAnsi="Arial" w:cs="Arial"/>
        </w:rPr>
        <w:t xml:space="preserve">Przedstawiciel MIR </w:t>
      </w:r>
      <w:r w:rsidRPr="004542B8">
        <w:rPr>
          <w:rFonts w:ascii="Arial" w:hAnsi="Arial" w:cs="Arial"/>
        </w:rPr>
        <w:t>wyjaśnił, że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</w:rPr>
        <w:t>wsparcia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</w:rPr>
        <w:t xml:space="preserve">POIG nie analizowano dotychczas pod </w:t>
      </w:r>
      <w:r w:rsidR="00851D00">
        <w:rPr>
          <w:rFonts w:ascii="Arial" w:hAnsi="Arial" w:cs="Arial"/>
        </w:rPr>
        <w:t xml:space="preserve">tym </w:t>
      </w:r>
      <w:r w:rsidRPr="004542B8">
        <w:rPr>
          <w:rFonts w:ascii="Arial" w:hAnsi="Arial" w:cs="Arial"/>
        </w:rPr>
        <w:t xml:space="preserve">kątem. Można się spodziewać, że takie </w:t>
      </w:r>
      <w:r w:rsidR="00851D00">
        <w:rPr>
          <w:rFonts w:ascii="Arial" w:hAnsi="Arial" w:cs="Arial"/>
        </w:rPr>
        <w:t xml:space="preserve">wspólne </w:t>
      </w:r>
      <w:r w:rsidRPr="004542B8">
        <w:rPr>
          <w:rFonts w:ascii="Arial" w:hAnsi="Arial" w:cs="Arial"/>
        </w:rPr>
        <w:t xml:space="preserve">projekty, </w:t>
      </w:r>
      <w:r w:rsidR="008E7E6C">
        <w:rPr>
          <w:rFonts w:ascii="Arial" w:hAnsi="Arial" w:cs="Arial"/>
        </w:rPr>
        <w:t xml:space="preserve">zgłaszane </w:t>
      </w:r>
      <w:r w:rsidRPr="004542B8">
        <w:rPr>
          <w:rFonts w:ascii="Arial" w:hAnsi="Arial" w:cs="Arial"/>
        </w:rPr>
        <w:t xml:space="preserve">głównie w sektorowych programach badawczych przez NCBiR (np. INNOLOT), należały do wyjątków. Zwrócono uwagę, że </w:t>
      </w:r>
      <w:r w:rsidR="008E7E6C">
        <w:rPr>
          <w:rFonts w:ascii="Arial" w:hAnsi="Arial" w:cs="Arial"/>
        </w:rPr>
        <w:t xml:space="preserve">wspólna </w:t>
      </w:r>
      <w:r w:rsidRPr="004542B8">
        <w:rPr>
          <w:rFonts w:ascii="Arial" w:hAnsi="Arial" w:cs="Arial"/>
        </w:rPr>
        <w:t>realiz</w:t>
      </w:r>
      <w:r w:rsidR="008E7E6C">
        <w:rPr>
          <w:rFonts w:ascii="Arial" w:hAnsi="Arial" w:cs="Arial"/>
        </w:rPr>
        <w:t>acja przedsięwzięć</w:t>
      </w:r>
      <w:r w:rsidRPr="004542B8">
        <w:rPr>
          <w:rFonts w:ascii="Arial" w:hAnsi="Arial" w:cs="Arial"/>
        </w:rPr>
        <w:t xml:space="preserve"> mo</w:t>
      </w:r>
      <w:r w:rsidR="008E7E6C">
        <w:rPr>
          <w:rFonts w:ascii="Arial" w:hAnsi="Arial" w:cs="Arial"/>
        </w:rPr>
        <w:t>że</w:t>
      </w:r>
      <w:r w:rsidRPr="004542B8">
        <w:rPr>
          <w:rFonts w:ascii="Arial" w:hAnsi="Arial" w:cs="Arial"/>
        </w:rPr>
        <w:t xml:space="preserve"> wnosić istotną wartość dodaną dla MŚP dzięki transferowi wiedzy z większych podmiotów do mniejszych,</w:t>
      </w:r>
      <w:r w:rsidR="0086651E">
        <w:rPr>
          <w:rFonts w:ascii="Arial" w:hAnsi="Arial" w:cs="Arial"/>
        </w:rPr>
        <w:t xml:space="preserve"> w tym także wiedzy dotyczącej zarządzania projektami</w:t>
      </w:r>
      <w:r w:rsidRPr="004542B8">
        <w:rPr>
          <w:rFonts w:ascii="Arial" w:hAnsi="Arial" w:cs="Arial"/>
        </w:rPr>
        <w:t xml:space="preserve">. Przyznano, że warto spojrzeć na tego typu doświadczenia z POIG, tak by w nowym programie Inteligentny Rozwój zaplanować wsparcie dla dużych firm </w:t>
      </w:r>
      <w:r w:rsidR="0086651E">
        <w:rPr>
          <w:rFonts w:ascii="Arial" w:hAnsi="Arial" w:cs="Arial"/>
        </w:rPr>
        <w:t xml:space="preserve">współpracujących przy realizacji projektów finansowanych ze środków europejskich z firmami z sektora MŚP. </w:t>
      </w:r>
    </w:p>
    <w:p w14:paraId="71E90F7D" w14:textId="2CF0B922" w:rsidR="00CC000B" w:rsidRPr="004542B8" w:rsidRDefault="00CC000B" w:rsidP="00CC000B">
      <w:pPr>
        <w:pStyle w:val="Tre"/>
        <w:spacing w:after="12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Uczestnicy posiedzenia rozmawiali na temat wsparcia internacjonalizacji MSP w nowej perspektywie, zwracając uwagę m.in. na</w:t>
      </w:r>
      <w:r w:rsidR="00851D00">
        <w:rPr>
          <w:rFonts w:ascii="Arial" w:hAnsi="Arial" w:cs="Arial"/>
        </w:rPr>
        <w:t>:</w:t>
      </w:r>
      <w:r w:rsidRPr="004542B8">
        <w:rPr>
          <w:rFonts w:ascii="Arial" w:hAnsi="Arial" w:cs="Arial"/>
        </w:rPr>
        <w:t xml:space="preserve"> potrzebę większej koordynacji działań krajowych i regionalnych</w:t>
      </w:r>
      <w:r w:rsidR="00851D00">
        <w:rPr>
          <w:rFonts w:ascii="Arial" w:hAnsi="Arial" w:cs="Arial"/>
        </w:rPr>
        <w:t xml:space="preserve">; </w:t>
      </w:r>
      <w:r w:rsidRPr="004542B8">
        <w:rPr>
          <w:rFonts w:ascii="Arial" w:hAnsi="Arial" w:cs="Arial"/>
        </w:rPr>
        <w:t xml:space="preserve">rozszerzenie wsparcia krajowego poza wyłącznie działania systemowe; </w:t>
      </w:r>
      <w:r w:rsidR="008E7E6C">
        <w:rPr>
          <w:rFonts w:ascii="Arial" w:hAnsi="Arial" w:cs="Arial"/>
        </w:rPr>
        <w:t xml:space="preserve">dotychczasowe </w:t>
      </w:r>
      <w:r w:rsidRPr="004542B8">
        <w:rPr>
          <w:rFonts w:ascii="Arial" w:hAnsi="Arial" w:cs="Arial"/>
        </w:rPr>
        <w:t>problem</w:t>
      </w:r>
      <w:r w:rsidR="008E7E6C">
        <w:rPr>
          <w:rFonts w:ascii="Arial" w:hAnsi="Arial" w:cs="Arial"/>
        </w:rPr>
        <w:t>y</w:t>
      </w:r>
      <w:r w:rsidRPr="004542B8">
        <w:rPr>
          <w:rFonts w:ascii="Arial" w:hAnsi="Arial" w:cs="Arial"/>
        </w:rPr>
        <w:t xml:space="preserve"> niedopasowania wsparcia </w:t>
      </w:r>
      <w:r w:rsidR="00EA2F36">
        <w:rPr>
          <w:rFonts w:ascii="Arial" w:hAnsi="Arial" w:cs="Arial"/>
        </w:rPr>
        <w:t>do</w:t>
      </w:r>
      <w:r w:rsidRPr="004542B8">
        <w:rPr>
          <w:rFonts w:ascii="Arial" w:hAnsi="Arial" w:cs="Arial"/>
        </w:rPr>
        <w:t xml:space="preserve"> kalendarz</w:t>
      </w:r>
      <w:r w:rsidR="00EA2F36">
        <w:rPr>
          <w:rFonts w:ascii="Arial" w:hAnsi="Arial" w:cs="Arial"/>
        </w:rPr>
        <w:t>a</w:t>
      </w:r>
      <w:r w:rsidRPr="004542B8">
        <w:rPr>
          <w:rFonts w:ascii="Arial" w:hAnsi="Arial" w:cs="Arial"/>
        </w:rPr>
        <w:t xml:space="preserve"> imprez (zbyt długi czas oczekiwania na rozpatrzenie wniosku); </w:t>
      </w:r>
      <w:r w:rsidR="008E7E6C">
        <w:rPr>
          <w:rFonts w:ascii="Arial" w:hAnsi="Arial" w:cs="Arial"/>
        </w:rPr>
        <w:t xml:space="preserve">potencjalne </w:t>
      </w:r>
      <w:r w:rsidRPr="004542B8">
        <w:rPr>
          <w:rFonts w:ascii="Arial" w:hAnsi="Arial" w:cs="Arial"/>
        </w:rPr>
        <w:t xml:space="preserve">zainteresowanie kompleksową pomocą ze strony firm nie działających jeszcze na zagranicznych rynkach. Przedstawiciel MIR przyznał, że </w:t>
      </w:r>
      <w:r w:rsidR="00D4695C">
        <w:rPr>
          <w:rFonts w:ascii="Arial" w:hAnsi="Arial" w:cs="Arial"/>
        </w:rPr>
        <w:t xml:space="preserve">dotychczasowe </w:t>
      </w:r>
      <w:r w:rsidRPr="004542B8">
        <w:rPr>
          <w:rFonts w:ascii="Arial" w:hAnsi="Arial" w:cs="Arial"/>
        </w:rPr>
        <w:t xml:space="preserve">doświadczenia pokazują potrzebę lepszej koordynacji, umożliwiającej płynną współpracę między działaniami krajowymi i regionalnymi (m.in. w zakresie wsparcia uczestnictwa w imprezach, koordynacji z kalendarzem ważnych wydarzeń, wspólnego wynajmowania powierzchni wystawowych, wspólnej koncepcji komunikacyjnej), przy jednoczesnym zachowaniu swobody podmiotów regionalnych co do rodzaju i sposobu prowadzenia działań. Harmonizacja z międzynarodowym kalendarzem wymaga wcześniejszego planowania </w:t>
      </w:r>
      <w:r w:rsidR="00D4695C">
        <w:rPr>
          <w:rFonts w:ascii="Arial" w:hAnsi="Arial" w:cs="Arial"/>
        </w:rPr>
        <w:t xml:space="preserve">ram </w:t>
      </w:r>
      <w:r w:rsidRPr="004542B8">
        <w:rPr>
          <w:rFonts w:ascii="Arial" w:hAnsi="Arial" w:cs="Arial"/>
        </w:rPr>
        <w:t xml:space="preserve">wsparcia </w:t>
      </w:r>
      <w:r w:rsidR="00D4695C" w:rsidRPr="004542B8">
        <w:rPr>
          <w:rFonts w:ascii="Arial" w:hAnsi="Arial" w:cs="Arial"/>
        </w:rPr>
        <w:t xml:space="preserve">(z 2-3 letnim lub dłuższym wyprzedzeniem) </w:t>
      </w:r>
      <w:r w:rsidRPr="004542B8">
        <w:rPr>
          <w:rFonts w:ascii="Arial" w:hAnsi="Arial" w:cs="Arial"/>
        </w:rPr>
        <w:t>oraz koordynacji merytorycznej  - określenia głównego targetu, rynków oraz branż, na których należy się skoncentrować. Wsparcie na stosunkowo proste projekty powinno natomiast być udzielane z poziomu regionalnego.</w:t>
      </w:r>
    </w:p>
    <w:p w14:paraId="15042EEA" w14:textId="34557F44" w:rsidR="00CC000B" w:rsidRPr="004542B8" w:rsidRDefault="00CC000B" w:rsidP="00CC000B">
      <w:pPr>
        <w:pStyle w:val="Tre"/>
        <w:spacing w:after="120"/>
        <w:jc w:val="both"/>
        <w:rPr>
          <w:rFonts w:ascii="Arial" w:hAnsi="Arial" w:cs="Arial"/>
        </w:rPr>
      </w:pPr>
      <w:r w:rsidRPr="004542B8">
        <w:rPr>
          <w:rFonts w:ascii="Arial" w:hAnsi="Arial" w:cs="Arial"/>
          <w:bCs/>
        </w:rPr>
        <w:lastRenderedPageBreak/>
        <w:t>Przedstawiciel MIR zaprezentował główne wnioski i rekomendacje wynikające z dotychczasowych badań ewaluacyjnych POIG dotyczące przedsiębiorstw, w tym MSP</w:t>
      </w:r>
      <w:r w:rsidRPr="004542B8">
        <w:rPr>
          <w:rFonts w:ascii="Arial" w:hAnsi="Arial" w:cs="Arial"/>
        </w:rPr>
        <w:t>:</w:t>
      </w:r>
    </w:p>
    <w:p w14:paraId="5C888E43" w14:textId="5DA5CD06" w:rsidR="00CC000B" w:rsidRPr="004542B8" w:rsidRDefault="00CC000B" w:rsidP="00AF13E8">
      <w:pPr>
        <w:pStyle w:val="Tre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</w:rPr>
      </w:pPr>
      <w:r w:rsidRPr="00E41B2A">
        <w:rPr>
          <w:rFonts w:ascii="Arial" w:hAnsi="Arial" w:cs="Arial"/>
          <w:bCs/>
        </w:rPr>
        <w:t>rozproszenie branżowe</w:t>
      </w:r>
      <w:r w:rsidRPr="004542B8">
        <w:rPr>
          <w:rFonts w:ascii="Arial" w:hAnsi="Arial" w:cs="Arial"/>
          <w:bCs/>
        </w:rPr>
        <w:t xml:space="preserve">; w kilku </w:t>
      </w:r>
      <w:r w:rsidRPr="004542B8">
        <w:rPr>
          <w:rFonts w:ascii="Arial" w:hAnsi="Arial" w:cs="Arial"/>
        </w:rPr>
        <w:t xml:space="preserve">analizach wykazano problem nadmiernego rozproszenia środków </w:t>
      </w:r>
      <w:r w:rsidR="00D4695C">
        <w:rPr>
          <w:rFonts w:ascii="Arial" w:hAnsi="Arial" w:cs="Arial"/>
        </w:rPr>
        <w:t xml:space="preserve">POIG </w:t>
      </w:r>
      <w:r w:rsidRPr="004542B8">
        <w:rPr>
          <w:rFonts w:ascii="Arial" w:hAnsi="Arial" w:cs="Arial"/>
        </w:rPr>
        <w:t xml:space="preserve">(brak wskazania branż lub dziedzin priorytetowych). </w:t>
      </w:r>
      <w:r w:rsidR="00D4695C">
        <w:rPr>
          <w:rFonts w:ascii="Arial" w:hAnsi="Arial" w:cs="Arial"/>
        </w:rPr>
        <w:t>W przyszłości n</w:t>
      </w:r>
      <w:r w:rsidRPr="004542B8">
        <w:rPr>
          <w:rFonts w:ascii="Arial" w:hAnsi="Arial" w:cs="Arial"/>
        </w:rPr>
        <w:t>ależ</w:t>
      </w:r>
      <w:r w:rsidR="00D4695C">
        <w:rPr>
          <w:rFonts w:ascii="Arial" w:hAnsi="Arial" w:cs="Arial"/>
        </w:rPr>
        <w:t>y</w:t>
      </w:r>
      <w:r w:rsidRPr="004542B8">
        <w:rPr>
          <w:rFonts w:ascii="Arial" w:hAnsi="Arial" w:cs="Arial"/>
        </w:rPr>
        <w:t xml:space="preserve"> przyjąć model koncentracji wsparcia na dziedzinach inteligentnej specjalizacji (IS) lub promowania kierunków inteligentnej specjalizacji. Przedstawiciel MIR przyznał, że nadal istnieją wątpliwości co do pożądanego modelu wdrożenia IS</w:t>
      </w:r>
      <w:r w:rsidR="00D4695C">
        <w:rPr>
          <w:rFonts w:ascii="Arial" w:hAnsi="Arial" w:cs="Arial"/>
        </w:rPr>
        <w:t xml:space="preserve">, </w:t>
      </w:r>
      <w:r w:rsidRPr="004542B8">
        <w:rPr>
          <w:rFonts w:ascii="Arial" w:hAnsi="Arial" w:cs="Arial"/>
        </w:rPr>
        <w:t>zwłaszcza w zakresie B+R;</w:t>
      </w:r>
    </w:p>
    <w:p w14:paraId="7DC69693" w14:textId="2154CA78" w:rsidR="00CC000B" w:rsidRPr="004542B8" w:rsidRDefault="00CC000B" w:rsidP="00AF13E8">
      <w:pPr>
        <w:pStyle w:val="Tre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</w:rPr>
      </w:pPr>
      <w:r w:rsidRPr="00E41B2A">
        <w:rPr>
          <w:rFonts w:ascii="Arial" w:hAnsi="Arial" w:cs="Arial"/>
        </w:rPr>
        <w:t>dotacje a wsparcie zwrotne</w:t>
      </w:r>
      <w:r w:rsidRPr="004542B8">
        <w:rPr>
          <w:rFonts w:ascii="Arial" w:hAnsi="Arial" w:cs="Arial"/>
        </w:rPr>
        <w:t>; interwencj</w:t>
      </w:r>
      <w:r w:rsidR="00D4695C">
        <w:rPr>
          <w:rFonts w:ascii="Arial" w:hAnsi="Arial" w:cs="Arial"/>
        </w:rPr>
        <w:t>ę</w:t>
      </w:r>
      <w:r w:rsidRPr="004542B8">
        <w:rPr>
          <w:rFonts w:ascii="Arial" w:hAnsi="Arial" w:cs="Arial"/>
        </w:rPr>
        <w:t xml:space="preserve"> w ramach perspektywy finansowej 2007-2013 </w:t>
      </w:r>
      <w:r w:rsidR="00D4695C">
        <w:rPr>
          <w:rFonts w:ascii="Arial" w:hAnsi="Arial" w:cs="Arial"/>
        </w:rPr>
        <w:t xml:space="preserve">skoncentrowano </w:t>
      </w:r>
      <w:r w:rsidRPr="004542B8">
        <w:rPr>
          <w:rFonts w:ascii="Arial" w:hAnsi="Arial" w:cs="Arial"/>
        </w:rPr>
        <w:t xml:space="preserve">na instrumentach bezzwrotnych, co nie </w:t>
      </w:r>
      <w:r w:rsidR="00D4695C">
        <w:rPr>
          <w:rFonts w:ascii="Arial" w:hAnsi="Arial" w:cs="Arial"/>
        </w:rPr>
        <w:t xml:space="preserve">zawsze </w:t>
      </w:r>
      <w:r w:rsidRPr="004542B8">
        <w:rPr>
          <w:rFonts w:ascii="Arial" w:hAnsi="Arial" w:cs="Arial"/>
        </w:rPr>
        <w:t xml:space="preserve">ma uzasadnienie ekonomiczne. W perspektywie 2014 – 2020 należałoby kierować wsparcie bezzwrotne na  projekty najbardziej innowacyjne </w:t>
      </w:r>
      <w:r w:rsidR="00D4695C">
        <w:rPr>
          <w:rFonts w:ascii="Arial" w:hAnsi="Arial" w:cs="Arial"/>
        </w:rPr>
        <w:t xml:space="preserve">i </w:t>
      </w:r>
      <w:r w:rsidRPr="004542B8">
        <w:rPr>
          <w:rFonts w:ascii="Arial" w:hAnsi="Arial" w:cs="Arial"/>
        </w:rPr>
        <w:t xml:space="preserve">ryzykowne. </w:t>
      </w:r>
      <w:r w:rsidR="00D4695C">
        <w:rPr>
          <w:rFonts w:ascii="Arial" w:hAnsi="Arial" w:cs="Arial"/>
        </w:rPr>
        <w:t>P</w:t>
      </w:r>
      <w:r w:rsidRPr="004542B8">
        <w:rPr>
          <w:rFonts w:ascii="Arial" w:hAnsi="Arial" w:cs="Arial"/>
        </w:rPr>
        <w:t>rojekt</w:t>
      </w:r>
      <w:r w:rsidR="00D4695C">
        <w:rPr>
          <w:rFonts w:ascii="Arial" w:hAnsi="Arial" w:cs="Arial"/>
        </w:rPr>
        <w:t>y</w:t>
      </w:r>
      <w:r w:rsidRPr="004542B8">
        <w:rPr>
          <w:rFonts w:ascii="Arial" w:hAnsi="Arial" w:cs="Arial"/>
        </w:rPr>
        <w:t xml:space="preserve"> innowac</w:t>
      </w:r>
      <w:r w:rsidR="00D4695C">
        <w:rPr>
          <w:rFonts w:ascii="Arial" w:hAnsi="Arial" w:cs="Arial"/>
        </w:rPr>
        <w:t>y</w:t>
      </w:r>
      <w:r w:rsidRPr="004542B8">
        <w:rPr>
          <w:rFonts w:ascii="Arial" w:hAnsi="Arial" w:cs="Arial"/>
        </w:rPr>
        <w:t>j</w:t>
      </w:r>
      <w:r w:rsidR="00D4695C">
        <w:rPr>
          <w:rFonts w:ascii="Arial" w:hAnsi="Arial" w:cs="Arial"/>
        </w:rPr>
        <w:t>ne</w:t>
      </w:r>
      <w:r w:rsidRPr="004542B8">
        <w:rPr>
          <w:rFonts w:ascii="Arial" w:hAnsi="Arial" w:cs="Arial"/>
        </w:rPr>
        <w:t xml:space="preserve"> w skali przedsiębiorstwa lub w branżach nie-priorytetowych, realizowanych w warunkach zawodnych rynków finansowych, </w:t>
      </w:r>
      <w:r w:rsidR="00D4695C">
        <w:rPr>
          <w:rFonts w:ascii="Arial" w:hAnsi="Arial" w:cs="Arial"/>
        </w:rPr>
        <w:t xml:space="preserve">mogłyby liczyć na wsparcie </w:t>
      </w:r>
      <w:r w:rsidRPr="004542B8">
        <w:rPr>
          <w:rFonts w:ascii="Arial" w:hAnsi="Arial" w:cs="Arial"/>
        </w:rPr>
        <w:t>w formie zwrotn</w:t>
      </w:r>
      <w:r w:rsidR="00D4695C">
        <w:rPr>
          <w:rFonts w:ascii="Arial" w:hAnsi="Arial" w:cs="Arial"/>
        </w:rPr>
        <w:t>ej</w:t>
      </w:r>
      <w:r w:rsidRPr="004542B8">
        <w:rPr>
          <w:rFonts w:ascii="Arial" w:hAnsi="Arial" w:cs="Arial"/>
        </w:rPr>
        <w:t>.</w:t>
      </w:r>
    </w:p>
    <w:p w14:paraId="468B775E" w14:textId="2DDB49DF" w:rsidR="00CC000B" w:rsidRPr="004542B8" w:rsidRDefault="00CC000B" w:rsidP="00CC000B">
      <w:pPr>
        <w:pStyle w:val="Tre"/>
        <w:spacing w:after="120"/>
        <w:ind w:left="284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Przedstawiciel MIR zauważył, że programujący nowe wsparcie, zarówno krajowe, jak i regionalne, częściej czerpią z dotychczasowych doświadczeń stosowania mechanizmu dotacyjnego, niechętnie proponując instrumenty zwrotne. W pewnym stopniu </w:t>
      </w:r>
      <w:r w:rsidR="00C110D0">
        <w:rPr>
          <w:rFonts w:ascii="Arial" w:hAnsi="Arial" w:cs="Arial"/>
        </w:rPr>
        <w:t xml:space="preserve">jest </w:t>
      </w:r>
      <w:r w:rsidRPr="004542B8">
        <w:rPr>
          <w:rFonts w:ascii="Arial" w:hAnsi="Arial" w:cs="Arial"/>
        </w:rPr>
        <w:t xml:space="preserve">to </w:t>
      </w:r>
      <w:r w:rsidR="00C110D0" w:rsidRPr="004542B8">
        <w:rPr>
          <w:rFonts w:ascii="Arial" w:hAnsi="Arial" w:cs="Arial"/>
        </w:rPr>
        <w:t xml:space="preserve">również </w:t>
      </w:r>
      <w:r w:rsidRPr="004542B8">
        <w:rPr>
          <w:rFonts w:ascii="Arial" w:hAnsi="Arial" w:cs="Arial"/>
        </w:rPr>
        <w:t xml:space="preserve">efekt niesprzyjających </w:t>
      </w:r>
      <w:r w:rsidR="00851D00">
        <w:rPr>
          <w:rFonts w:ascii="Arial" w:hAnsi="Arial" w:cs="Arial"/>
        </w:rPr>
        <w:t xml:space="preserve">ich wdrażaniu </w:t>
      </w:r>
      <w:r w:rsidRPr="004542B8">
        <w:rPr>
          <w:rFonts w:ascii="Arial" w:hAnsi="Arial" w:cs="Arial"/>
        </w:rPr>
        <w:t>unijnych regulacji w zakresie audytów i kontroli;</w:t>
      </w:r>
    </w:p>
    <w:p w14:paraId="6F6F35A0" w14:textId="3456B6B1" w:rsidR="00CC000B" w:rsidRPr="004542B8" w:rsidRDefault="00CC000B" w:rsidP="00AF13E8">
      <w:pPr>
        <w:pStyle w:val="Tre"/>
        <w:numPr>
          <w:ilvl w:val="0"/>
          <w:numId w:val="7"/>
        </w:numPr>
        <w:spacing w:after="60"/>
        <w:ind w:left="284" w:hanging="284"/>
        <w:jc w:val="both"/>
        <w:rPr>
          <w:rFonts w:ascii="Arial" w:hAnsi="Arial" w:cs="Arial"/>
        </w:rPr>
      </w:pPr>
      <w:r w:rsidRPr="00E41B2A">
        <w:rPr>
          <w:rFonts w:ascii="Arial" w:hAnsi="Arial" w:cs="Arial"/>
        </w:rPr>
        <w:t>definicja innowacyjności</w:t>
      </w:r>
      <w:r w:rsidRPr="004542B8">
        <w:rPr>
          <w:rFonts w:ascii="Arial" w:hAnsi="Arial" w:cs="Arial"/>
        </w:rPr>
        <w:t>; w POIG wystąpiły trudności ze zdefiniowaniem, oceną i mierzeniem innowacyjności. W nowej perspektywie potrzebne jest ujednolicenie podejścia</w:t>
      </w:r>
      <w:r w:rsidR="00851D00">
        <w:rPr>
          <w:rFonts w:ascii="Arial" w:hAnsi="Arial" w:cs="Arial"/>
        </w:rPr>
        <w:t>,</w:t>
      </w:r>
      <w:r w:rsidRPr="004542B8">
        <w:rPr>
          <w:rFonts w:ascii="Arial" w:hAnsi="Arial" w:cs="Arial"/>
        </w:rPr>
        <w:t xml:space="preserve"> z naciskiem na wzrost znaczenia oceny eksperckiej;</w:t>
      </w:r>
    </w:p>
    <w:p w14:paraId="18692B38" w14:textId="7DAB62A3" w:rsidR="00CC000B" w:rsidRPr="004542B8" w:rsidRDefault="00CC000B" w:rsidP="00AF13E8">
      <w:pPr>
        <w:pStyle w:val="Tre"/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</w:rPr>
      </w:pPr>
      <w:r w:rsidRPr="00E41B2A">
        <w:rPr>
          <w:rFonts w:ascii="Arial" w:hAnsi="Arial" w:cs="Arial"/>
        </w:rPr>
        <w:t xml:space="preserve">problemy z komercjalizacją efektów prac </w:t>
      </w:r>
      <w:r w:rsidR="00C110D0" w:rsidRPr="00E41B2A">
        <w:rPr>
          <w:rFonts w:ascii="Arial" w:hAnsi="Arial" w:cs="Arial"/>
        </w:rPr>
        <w:t>B</w:t>
      </w:r>
      <w:r w:rsidRPr="00E41B2A">
        <w:rPr>
          <w:rFonts w:ascii="Arial" w:hAnsi="Arial" w:cs="Arial"/>
        </w:rPr>
        <w:t>+</w:t>
      </w:r>
      <w:r w:rsidR="00C110D0" w:rsidRPr="00E41B2A">
        <w:rPr>
          <w:rFonts w:ascii="Arial" w:hAnsi="Arial" w:cs="Arial"/>
        </w:rPr>
        <w:t>R</w:t>
      </w:r>
      <w:r w:rsidRPr="004542B8">
        <w:rPr>
          <w:rFonts w:ascii="Arial" w:hAnsi="Arial" w:cs="Arial"/>
        </w:rPr>
        <w:t>; trudności wynikały z kwestii natury prawnej, regulacyjnej, braku wiedzy oraz niedostatecznego ukierunkowania celów projektów na możliwości komercjalizacji. W przyszłej perspektywie należy stosować mechanizmy wzmacniające wspólne zaangażowanie pomiotów  z sektorów nauki i gospodarki, np. poprzez wymogi dot. partnerstwa jednostek naukowych z przedsiębiorstwami w projektach B+R oraz instrumenty wzmacniające wiedzę, umiejętności i postawy beneficjentów ukierunkowane na komercjalizację efektów prac B+R.</w:t>
      </w:r>
    </w:p>
    <w:p w14:paraId="15ABD2FF" w14:textId="77777777" w:rsidR="00CC000B" w:rsidRPr="004542B8" w:rsidRDefault="00CC000B" w:rsidP="00CC000B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W odniesieniu do przedstawionych wniosków i rekomendacji, uczestnicy wymieniali poglądy na temat form wdrażania planowanej w nowej perspektywie koncentracji wsparcia na obszarach </w:t>
      </w:r>
      <w:r w:rsidRPr="002D5057">
        <w:rPr>
          <w:rFonts w:ascii="Arial" w:hAnsi="Arial" w:cs="Arial"/>
        </w:rPr>
        <w:t>inteligentnej specjalizacji</w:t>
      </w:r>
      <w:r w:rsidRPr="004542B8">
        <w:rPr>
          <w:rFonts w:ascii="Arial" w:hAnsi="Arial" w:cs="Arial"/>
        </w:rPr>
        <w:t>, a także o możliwych konsekwencjach rozgraniczenia specjalizacji krajowych i regionalnych:</w:t>
      </w:r>
    </w:p>
    <w:p w14:paraId="167DBB86" w14:textId="77777777" w:rsidR="00851D00" w:rsidRDefault="00851D00" w:rsidP="00AF13E8">
      <w:pPr>
        <w:pStyle w:val="Akapitzlist"/>
        <w:numPr>
          <w:ilvl w:val="0"/>
          <w:numId w:val="1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przedstawiciel MIR tłumaczył, że w fazie wdrażania „listy IS” mogą pojawić się m.in. problemy związane ze wsparciem </w:t>
      </w:r>
      <w:r>
        <w:rPr>
          <w:rFonts w:ascii="Arial" w:hAnsi="Arial" w:cs="Arial"/>
          <w:sz w:val="22"/>
          <w:szCs w:val="22"/>
        </w:rPr>
        <w:t xml:space="preserve">jakościowo </w:t>
      </w:r>
      <w:r w:rsidRPr="004542B8">
        <w:rPr>
          <w:rFonts w:ascii="Arial" w:hAnsi="Arial" w:cs="Arial"/>
          <w:sz w:val="22"/>
          <w:szCs w:val="22"/>
        </w:rPr>
        <w:t>dobrych projektów B+R, nie wpisujących się w wyznaczone specjalizacje; nie wiadomo również w jakim zakresie będzie można w</w:t>
      </w:r>
      <w:r>
        <w:rPr>
          <w:rFonts w:ascii="Arial" w:hAnsi="Arial" w:cs="Arial"/>
          <w:sz w:val="22"/>
          <w:szCs w:val="22"/>
        </w:rPr>
        <w:t xml:space="preserve">esprzeć </w:t>
      </w:r>
      <w:r w:rsidRPr="004542B8">
        <w:rPr>
          <w:rFonts w:ascii="Arial" w:hAnsi="Arial" w:cs="Arial"/>
          <w:sz w:val="22"/>
          <w:szCs w:val="22"/>
        </w:rPr>
        <w:t>projekt wpisujący się w specjalizację regionalną, która nie ma swojego bezpośredniego odpowiednika na poziomie krajowym</w:t>
      </w:r>
      <w:r>
        <w:rPr>
          <w:rFonts w:ascii="Arial" w:hAnsi="Arial" w:cs="Arial"/>
          <w:sz w:val="22"/>
          <w:szCs w:val="22"/>
        </w:rPr>
        <w:t>;</w:t>
      </w:r>
    </w:p>
    <w:p w14:paraId="7BCA3755" w14:textId="18B0D7B7" w:rsidR="00CC000B" w:rsidRPr="004542B8" w:rsidRDefault="00CC000B" w:rsidP="00AF13E8">
      <w:pPr>
        <w:pStyle w:val="Akapitzlist"/>
        <w:numPr>
          <w:ilvl w:val="0"/>
          <w:numId w:val="1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argumentowano, że w związku ze słabościami koncepcji wyznaczania „listy specjalizacji”, strategie IS </w:t>
      </w:r>
      <w:r w:rsidR="00851D00">
        <w:rPr>
          <w:rFonts w:ascii="Arial" w:hAnsi="Arial" w:cs="Arial"/>
          <w:sz w:val="22"/>
          <w:szCs w:val="22"/>
        </w:rPr>
        <w:t xml:space="preserve">należałoby </w:t>
      </w:r>
      <w:r w:rsidRPr="004542B8">
        <w:rPr>
          <w:rFonts w:ascii="Arial" w:hAnsi="Arial" w:cs="Arial"/>
          <w:sz w:val="22"/>
          <w:szCs w:val="22"/>
        </w:rPr>
        <w:t>podporządkować nie wyznaczaniu konkretnych branż</w:t>
      </w:r>
      <w:r w:rsidR="00C110D0">
        <w:rPr>
          <w:rFonts w:ascii="Arial" w:hAnsi="Arial" w:cs="Arial"/>
          <w:sz w:val="22"/>
          <w:szCs w:val="22"/>
        </w:rPr>
        <w:t xml:space="preserve">, </w:t>
      </w:r>
      <w:r w:rsidRPr="004542B8">
        <w:rPr>
          <w:rFonts w:ascii="Arial" w:hAnsi="Arial" w:cs="Arial"/>
          <w:sz w:val="22"/>
          <w:szCs w:val="22"/>
        </w:rPr>
        <w:t xml:space="preserve">ale rozwiązywaniu wcześniej </w:t>
      </w:r>
      <w:r w:rsidR="00C110D0">
        <w:rPr>
          <w:rFonts w:ascii="Arial" w:hAnsi="Arial" w:cs="Arial"/>
          <w:sz w:val="22"/>
          <w:szCs w:val="22"/>
        </w:rPr>
        <w:t xml:space="preserve">zidentyfikowanych wyzwań </w:t>
      </w:r>
      <w:r w:rsidRPr="004542B8">
        <w:rPr>
          <w:rFonts w:ascii="Arial" w:hAnsi="Arial" w:cs="Arial"/>
          <w:sz w:val="22"/>
          <w:szCs w:val="22"/>
        </w:rPr>
        <w:t>stojąc</w:t>
      </w:r>
      <w:r w:rsidR="00C110D0">
        <w:rPr>
          <w:rFonts w:ascii="Arial" w:hAnsi="Arial" w:cs="Arial"/>
          <w:sz w:val="22"/>
          <w:szCs w:val="22"/>
        </w:rPr>
        <w:t>ych</w:t>
      </w:r>
      <w:r w:rsidRPr="004542B8">
        <w:rPr>
          <w:rFonts w:ascii="Arial" w:hAnsi="Arial" w:cs="Arial"/>
          <w:sz w:val="22"/>
          <w:szCs w:val="22"/>
        </w:rPr>
        <w:t xml:space="preserve"> przed polskim, europejskim czy światowym społeczeństwem i gospodarką; wyeliminowałoby to m.in. </w:t>
      </w:r>
      <w:r w:rsidR="00484E14">
        <w:rPr>
          <w:rFonts w:ascii="Arial" w:hAnsi="Arial" w:cs="Arial"/>
          <w:sz w:val="22"/>
          <w:szCs w:val="22"/>
        </w:rPr>
        <w:t>problem zamykania się na wybrane</w:t>
      </w:r>
      <w:bookmarkStart w:id="0" w:name="_GoBack"/>
      <w:bookmarkEnd w:id="0"/>
      <w:r w:rsidRPr="004542B8">
        <w:rPr>
          <w:rFonts w:ascii="Arial" w:hAnsi="Arial" w:cs="Arial"/>
          <w:sz w:val="22"/>
          <w:szCs w:val="22"/>
        </w:rPr>
        <w:t xml:space="preserve"> branże, a zapewniało interdyscyplinarność, któr</w:t>
      </w:r>
      <w:r w:rsidR="00C110D0">
        <w:rPr>
          <w:rFonts w:ascii="Arial" w:hAnsi="Arial" w:cs="Arial"/>
          <w:sz w:val="22"/>
          <w:szCs w:val="22"/>
        </w:rPr>
        <w:t>a</w:t>
      </w:r>
      <w:r w:rsidRPr="004542B8">
        <w:rPr>
          <w:rFonts w:ascii="Arial" w:hAnsi="Arial" w:cs="Arial"/>
          <w:sz w:val="22"/>
          <w:szCs w:val="22"/>
        </w:rPr>
        <w:t xml:space="preserve"> cechuj</w:t>
      </w:r>
      <w:r w:rsidR="00C110D0">
        <w:rPr>
          <w:rFonts w:ascii="Arial" w:hAnsi="Arial" w:cs="Arial"/>
          <w:sz w:val="22"/>
          <w:szCs w:val="22"/>
        </w:rPr>
        <w:t>e</w:t>
      </w:r>
      <w:r w:rsidRPr="004542B8">
        <w:rPr>
          <w:rFonts w:ascii="Arial" w:hAnsi="Arial" w:cs="Arial"/>
          <w:sz w:val="22"/>
          <w:szCs w:val="22"/>
        </w:rPr>
        <w:t xml:space="preserve"> taki</w:t>
      </w:r>
      <w:r w:rsidR="00C110D0">
        <w:rPr>
          <w:rFonts w:ascii="Arial" w:hAnsi="Arial" w:cs="Arial"/>
          <w:sz w:val="22"/>
          <w:szCs w:val="22"/>
        </w:rPr>
        <w:t>e</w:t>
      </w:r>
      <w:r w:rsidRPr="004542B8">
        <w:rPr>
          <w:rFonts w:ascii="Arial" w:hAnsi="Arial" w:cs="Arial"/>
          <w:sz w:val="22"/>
          <w:szCs w:val="22"/>
        </w:rPr>
        <w:t xml:space="preserve"> </w:t>
      </w:r>
      <w:r w:rsidR="00C110D0">
        <w:rPr>
          <w:rFonts w:ascii="Arial" w:hAnsi="Arial" w:cs="Arial"/>
          <w:sz w:val="22"/>
          <w:szCs w:val="22"/>
        </w:rPr>
        <w:t>wyzwania</w:t>
      </w:r>
      <w:r w:rsidRPr="004542B8">
        <w:rPr>
          <w:rFonts w:ascii="Arial" w:hAnsi="Arial" w:cs="Arial"/>
          <w:sz w:val="22"/>
          <w:szCs w:val="22"/>
        </w:rPr>
        <w:t>;</w:t>
      </w:r>
    </w:p>
    <w:p w14:paraId="17B9A8A6" w14:textId="37FBDD2F" w:rsidR="00CC000B" w:rsidRPr="004542B8" w:rsidRDefault="00CC000B" w:rsidP="00AF13E8">
      <w:pPr>
        <w:pStyle w:val="Akapitzlist"/>
        <w:numPr>
          <w:ilvl w:val="0"/>
          <w:numId w:val="1"/>
        </w:numPr>
        <w:spacing w:before="120" w:after="60" w:line="26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z drugiej strony wskazywano na trudności związane z powyższym podejściem – </w:t>
      </w:r>
      <w:r w:rsidR="00C110D0">
        <w:rPr>
          <w:rFonts w:ascii="Arial" w:hAnsi="Arial" w:cs="Arial"/>
          <w:sz w:val="22"/>
          <w:szCs w:val="22"/>
        </w:rPr>
        <w:t xml:space="preserve">m.in. </w:t>
      </w:r>
      <w:r w:rsidRPr="004542B8">
        <w:rPr>
          <w:rFonts w:ascii="Arial" w:hAnsi="Arial" w:cs="Arial"/>
          <w:sz w:val="22"/>
          <w:szCs w:val="22"/>
        </w:rPr>
        <w:t>zróżnicowane podejście przedstawicieli samej Komisji Europejskiej; urzędnicy KE odpowiedzialni za negocjacje programów operacyjnych i Umowy Partnerstwa pytają wprost o „listę konkretnych specjalizacji”</w:t>
      </w:r>
      <w:r w:rsidR="00E17C38">
        <w:rPr>
          <w:rFonts w:ascii="Arial" w:hAnsi="Arial" w:cs="Arial"/>
          <w:sz w:val="22"/>
          <w:szCs w:val="22"/>
        </w:rPr>
        <w:t>, jakie mają podlegać wsparciu;</w:t>
      </w:r>
    </w:p>
    <w:p w14:paraId="179240C2" w14:textId="7A7B9ADB" w:rsidR="00CC000B" w:rsidRPr="004542B8" w:rsidRDefault="00CC000B" w:rsidP="00AF13E8">
      <w:pPr>
        <w:pStyle w:val="Akapitzlist"/>
        <w:numPr>
          <w:ilvl w:val="0"/>
          <w:numId w:val="1"/>
        </w:numPr>
        <w:spacing w:after="60" w:line="26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zakłada się, że w ramach pierwszego celu tematycznego </w:t>
      </w:r>
      <w:r w:rsidR="00C110D0" w:rsidRPr="004542B8">
        <w:rPr>
          <w:rFonts w:ascii="Arial" w:hAnsi="Arial" w:cs="Arial"/>
          <w:sz w:val="22"/>
          <w:szCs w:val="22"/>
        </w:rPr>
        <w:t xml:space="preserve">wsparcie </w:t>
      </w:r>
      <w:r w:rsidR="00C110D0">
        <w:rPr>
          <w:rFonts w:ascii="Arial" w:hAnsi="Arial" w:cs="Arial"/>
          <w:sz w:val="22"/>
          <w:szCs w:val="22"/>
        </w:rPr>
        <w:t xml:space="preserve">uzyskają </w:t>
      </w:r>
      <w:r w:rsidRPr="004542B8">
        <w:rPr>
          <w:rFonts w:ascii="Arial" w:hAnsi="Arial" w:cs="Arial"/>
          <w:sz w:val="22"/>
          <w:szCs w:val="22"/>
        </w:rPr>
        <w:t>IS rozumiane jako „lista”, podlega</w:t>
      </w:r>
      <w:r w:rsidR="00C110D0">
        <w:rPr>
          <w:rFonts w:ascii="Arial" w:hAnsi="Arial" w:cs="Arial"/>
          <w:sz w:val="22"/>
          <w:szCs w:val="22"/>
        </w:rPr>
        <w:t>jąca</w:t>
      </w:r>
      <w:r w:rsidRPr="004542B8">
        <w:rPr>
          <w:rFonts w:ascii="Arial" w:hAnsi="Arial" w:cs="Arial"/>
          <w:sz w:val="22"/>
          <w:szCs w:val="22"/>
        </w:rPr>
        <w:t xml:space="preserve"> aktualizacji</w:t>
      </w:r>
      <w:r w:rsidR="00C110D0">
        <w:rPr>
          <w:rFonts w:ascii="Arial" w:hAnsi="Arial" w:cs="Arial"/>
          <w:sz w:val="22"/>
          <w:szCs w:val="22"/>
        </w:rPr>
        <w:t xml:space="preserve"> m.in. </w:t>
      </w:r>
      <w:r w:rsidRPr="004542B8">
        <w:rPr>
          <w:rFonts w:ascii="Arial" w:hAnsi="Arial" w:cs="Arial"/>
          <w:sz w:val="22"/>
          <w:szCs w:val="22"/>
        </w:rPr>
        <w:t>w wyniku rozmów z przedsiębiorcami. Natomiast wsparcie w ramach trzeciego celu tematycznego (</w:t>
      </w:r>
      <w:r w:rsidRPr="00E17C38">
        <w:rPr>
          <w:rFonts w:ascii="Arial" w:hAnsi="Arial" w:cs="Arial"/>
          <w:sz w:val="22"/>
          <w:szCs w:val="22"/>
        </w:rPr>
        <w:t>konkurencyjność MSP), może przewidywać jedynie preferencje wobec projektów realizujący</w:t>
      </w:r>
      <w:r w:rsidR="00C110D0">
        <w:rPr>
          <w:rFonts w:ascii="Arial" w:hAnsi="Arial" w:cs="Arial"/>
          <w:sz w:val="22"/>
          <w:szCs w:val="22"/>
        </w:rPr>
        <w:t>ch</w:t>
      </w:r>
      <w:r w:rsidRPr="00E17C38">
        <w:rPr>
          <w:rFonts w:ascii="Arial" w:hAnsi="Arial" w:cs="Arial"/>
          <w:sz w:val="22"/>
          <w:szCs w:val="22"/>
        </w:rPr>
        <w:t xml:space="preserve"> IS;</w:t>
      </w:r>
      <w:r w:rsidRPr="004542B8">
        <w:rPr>
          <w:rFonts w:ascii="Arial" w:hAnsi="Arial" w:cs="Arial"/>
          <w:sz w:val="22"/>
          <w:szCs w:val="22"/>
        </w:rPr>
        <w:t xml:space="preserve"> </w:t>
      </w:r>
    </w:p>
    <w:p w14:paraId="60CB1C21" w14:textId="77777777" w:rsidR="00CC000B" w:rsidRPr="004542B8" w:rsidRDefault="00CC000B" w:rsidP="00AF13E8">
      <w:pPr>
        <w:pStyle w:val="Akapitzlist"/>
        <w:numPr>
          <w:ilvl w:val="0"/>
          <w:numId w:val="1"/>
        </w:numPr>
        <w:spacing w:after="60" w:line="26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>przedstawiciele regionów zwracali uwagę na możliwe zagrożenia związane z konkurowaniem ze sobą wsparcia regionalnego (RPO), makroregionalnego (POPW) i krajowego (POIR), w kontekście strategii inteligentnych specjalizacji:</w:t>
      </w:r>
    </w:p>
    <w:p w14:paraId="6B030D08" w14:textId="61A563BB" w:rsidR="00CC000B" w:rsidRPr="004542B8" w:rsidRDefault="00CC000B" w:rsidP="00AF13E8">
      <w:pPr>
        <w:pStyle w:val="Akapitzlist"/>
        <w:numPr>
          <w:ilvl w:val="0"/>
          <w:numId w:val="5"/>
        </w:numPr>
        <w:spacing w:after="60" w:line="26" w:lineRule="atLea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lastRenderedPageBreak/>
        <w:t xml:space="preserve">proponowana linia demarkacyjna może skłaniać </w:t>
      </w:r>
      <w:r w:rsidR="00317C2E">
        <w:rPr>
          <w:rFonts w:ascii="Arial" w:hAnsi="Arial" w:cs="Arial"/>
          <w:sz w:val="22"/>
          <w:szCs w:val="22"/>
        </w:rPr>
        <w:t xml:space="preserve">kluczowe </w:t>
      </w:r>
      <w:r w:rsidRPr="004542B8">
        <w:rPr>
          <w:rFonts w:ascii="Arial" w:hAnsi="Arial" w:cs="Arial"/>
          <w:sz w:val="22"/>
          <w:szCs w:val="22"/>
        </w:rPr>
        <w:t>podmioty regionalne działające w obszarze IS do sięgania po wsparcie z programu krajowego, pozostawiając w RPO środki</w:t>
      </w:r>
      <w:r w:rsidR="00317C2E">
        <w:rPr>
          <w:rFonts w:ascii="Arial" w:hAnsi="Arial" w:cs="Arial"/>
          <w:sz w:val="22"/>
          <w:szCs w:val="22"/>
        </w:rPr>
        <w:t>,</w:t>
      </w:r>
      <w:r w:rsidRPr="004542B8">
        <w:rPr>
          <w:rFonts w:ascii="Arial" w:hAnsi="Arial" w:cs="Arial"/>
          <w:sz w:val="22"/>
          <w:szCs w:val="22"/>
        </w:rPr>
        <w:t xml:space="preserve"> na które nie znajdzie się popyt wśród pozostałych przedsiębiorców;</w:t>
      </w:r>
      <w:r w:rsidR="00BC5CC7">
        <w:rPr>
          <w:rFonts w:ascii="Arial" w:hAnsi="Arial" w:cs="Arial"/>
          <w:sz w:val="22"/>
          <w:szCs w:val="22"/>
        </w:rPr>
        <w:t xml:space="preserve"> dotyczy to przede wszystkich  środków unijnych dedykowanych projektom B+R;</w:t>
      </w:r>
    </w:p>
    <w:p w14:paraId="6F17CD16" w14:textId="163D2813" w:rsidR="00CC000B" w:rsidRPr="004542B8" w:rsidRDefault="00CC000B" w:rsidP="00AF13E8">
      <w:pPr>
        <w:pStyle w:val="Akapitzlist"/>
        <w:numPr>
          <w:ilvl w:val="0"/>
          <w:numId w:val="5"/>
        </w:numPr>
        <w:spacing w:line="26" w:lineRule="atLea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>przywołano przykład konkurencji między wsparciem regionalnym i makroregionalnym dla jednostek naukowych w regionie lubelskim; ze względu na ostrzejsze warunki finansowe w RPO (wymóg wkładu własnego), wszystkie uczelnie w regionie zwróciły się po wsparcie do PO RPW</w:t>
      </w:r>
      <w:r w:rsidR="00317C2E">
        <w:rPr>
          <w:rFonts w:ascii="Arial" w:hAnsi="Arial" w:cs="Arial"/>
          <w:sz w:val="22"/>
          <w:szCs w:val="22"/>
        </w:rPr>
        <w:t>,</w:t>
      </w:r>
      <w:r w:rsidRPr="004542B8">
        <w:rPr>
          <w:rFonts w:ascii="Arial" w:hAnsi="Arial" w:cs="Arial"/>
          <w:sz w:val="22"/>
          <w:szCs w:val="22"/>
        </w:rPr>
        <w:t xml:space="preserve"> udzielane na łagodniejszych warunkach</w:t>
      </w:r>
      <w:r w:rsidR="00317C2E">
        <w:rPr>
          <w:rFonts w:ascii="Arial" w:hAnsi="Arial" w:cs="Arial"/>
          <w:sz w:val="22"/>
          <w:szCs w:val="22"/>
        </w:rPr>
        <w:t>.</w:t>
      </w:r>
    </w:p>
    <w:p w14:paraId="7F23B575" w14:textId="16959858" w:rsidR="00171204" w:rsidRPr="004542B8" w:rsidRDefault="00CC000B" w:rsidP="00171204">
      <w:pPr>
        <w:pStyle w:val="Tre"/>
        <w:spacing w:before="12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Dyskutowano również na temat sprawności oceny wniosków, której jakość i szybkość są kluczowe</w:t>
      </w:r>
      <w:r w:rsidR="008D6F27">
        <w:rPr>
          <w:rFonts w:ascii="Arial" w:hAnsi="Arial" w:cs="Arial"/>
        </w:rPr>
        <w:t>,</w:t>
      </w:r>
      <w:r w:rsidRPr="004542B8">
        <w:rPr>
          <w:rFonts w:ascii="Arial" w:hAnsi="Arial" w:cs="Arial"/>
        </w:rPr>
        <w:t xml:space="preserve"> w szczególności w przypadku projektów innowacyjnych o </w:t>
      </w:r>
      <w:r w:rsidR="00317C2E">
        <w:rPr>
          <w:rFonts w:ascii="Arial" w:hAnsi="Arial" w:cs="Arial"/>
        </w:rPr>
        <w:t xml:space="preserve">krótkim </w:t>
      </w:r>
      <w:r w:rsidRPr="004542B8">
        <w:rPr>
          <w:rFonts w:ascii="Arial" w:hAnsi="Arial" w:cs="Arial"/>
        </w:rPr>
        <w:t xml:space="preserve">cyklu życia; efektywność </w:t>
      </w:r>
      <w:r w:rsidR="008D6F27">
        <w:rPr>
          <w:rFonts w:ascii="Arial" w:hAnsi="Arial" w:cs="Arial"/>
        </w:rPr>
        <w:t xml:space="preserve">ich </w:t>
      </w:r>
      <w:r w:rsidRPr="004542B8">
        <w:rPr>
          <w:rFonts w:ascii="Arial" w:hAnsi="Arial" w:cs="Arial"/>
        </w:rPr>
        <w:t xml:space="preserve">wsparcia często zależy od czasu rozpatrywania wniosku o dotację, które powinno trwać </w:t>
      </w:r>
      <w:r w:rsidR="008D6F27">
        <w:rPr>
          <w:rFonts w:ascii="Arial" w:hAnsi="Arial" w:cs="Arial"/>
        </w:rPr>
        <w:t xml:space="preserve">ok. </w:t>
      </w:r>
      <w:r w:rsidRPr="004542B8">
        <w:rPr>
          <w:rFonts w:ascii="Arial" w:hAnsi="Arial" w:cs="Arial"/>
        </w:rPr>
        <w:t>2-3 miesiące</w:t>
      </w:r>
      <w:r w:rsidR="00317C2E">
        <w:rPr>
          <w:rFonts w:ascii="Arial" w:hAnsi="Arial" w:cs="Arial"/>
        </w:rPr>
        <w:t xml:space="preserve"> (jak </w:t>
      </w:r>
      <w:r w:rsidRPr="004542B8">
        <w:rPr>
          <w:rFonts w:ascii="Arial" w:hAnsi="Arial" w:cs="Arial"/>
        </w:rPr>
        <w:t>np. w przypadku procedur kredytowych w banku</w:t>
      </w:r>
      <w:r w:rsidR="00317C2E">
        <w:rPr>
          <w:rFonts w:ascii="Arial" w:hAnsi="Arial" w:cs="Arial"/>
        </w:rPr>
        <w:t>)</w:t>
      </w:r>
      <w:r w:rsidRPr="004542B8">
        <w:rPr>
          <w:rFonts w:ascii="Arial" w:hAnsi="Arial" w:cs="Arial"/>
        </w:rPr>
        <w:t xml:space="preserve">. W tym kontekście Przedstawiciel MIR przywołał przykład sprawnej oceny wniosków w przeprowadzonych ostatnio naborach w NCBR (ocena wniosków w „szybkiej ścieżce” zajęła 2 miesiące) oraz PARP (dobrze oceniany przez ekspertów etap oceny panelowej). Zauważył, że wyzwaniem może </w:t>
      </w:r>
      <w:r w:rsidR="00317C2E">
        <w:rPr>
          <w:rFonts w:ascii="Arial" w:hAnsi="Arial" w:cs="Arial"/>
        </w:rPr>
        <w:t xml:space="preserve">być sprawna </w:t>
      </w:r>
      <w:r w:rsidRPr="004542B8">
        <w:rPr>
          <w:rFonts w:ascii="Arial" w:hAnsi="Arial" w:cs="Arial"/>
        </w:rPr>
        <w:t>ocen</w:t>
      </w:r>
      <w:r w:rsidR="00317C2E">
        <w:rPr>
          <w:rFonts w:ascii="Arial" w:hAnsi="Arial" w:cs="Arial"/>
        </w:rPr>
        <w:t>a</w:t>
      </w:r>
      <w:r w:rsidRPr="004542B8">
        <w:rPr>
          <w:rFonts w:ascii="Arial" w:hAnsi="Arial" w:cs="Arial"/>
        </w:rPr>
        <w:t xml:space="preserve"> wniosków przy dużym popycie na dany instrument wsparcia (np. tysiąc projektów do oceny)</w:t>
      </w:r>
      <w:r w:rsidR="00317C2E">
        <w:rPr>
          <w:rFonts w:ascii="Arial" w:hAnsi="Arial" w:cs="Arial"/>
        </w:rPr>
        <w:t xml:space="preserve">, wskazując na istotność sprawnego </w:t>
      </w:r>
      <w:r w:rsidRPr="004542B8">
        <w:rPr>
          <w:rFonts w:ascii="Arial" w:hAnsi="Arial" w:cs="Arial"/>
        </w:rPr>
        <w:t>zarządzania całym procesem oceny.</w:t>
      </w:r>
    </w:p>
    <w:p w14:paraId="17F53C12" w14:textId="77777777" w:rsidR="009E52AC" w:rsidRPr="004542B8" w:rsidRDefault="009E52AC" w:rsidP="009E52AC">
      <w:pPr>
        <w:pStyle w:val="Tre"/>
        <w:jc w:val="both"/>
        <w:rPr>
          <w:rFonts w:ascii="Arial" w:hAnsi="Arial" w:cs="Arial"/>
          <w:i/>
        </w:rPr>
      </w:pPr>
    </w:p>
    <w:p w14:paraId="360E4E0A" w14:textId="77777777" w:rsidR="008D722B" w:rsidRDefault="008D722B" w:rsidP="009E52AC">
      <w:pPr>
        <w:pStyle w:val="Tre"/>
        <w:jc w:val="both"/>
        <w:rPr>
          <w:rFonts w:ascii="Arial" w:hAnsi="Arial" w:cs="Arial"/>
          <w:i/>
        </w:rPr>
      </w:pPr>
    </w:p>
    <w:p w14:paraId="5DD4A4C1" w14:textId="5DA49E6E" w:rsidR="00171204" w:rsidRPr="004542B8" w:rsidRDefault="0080037C" w:rsidP="002D5057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W części poświęconej efektom wdrażania Programu Operacyjnego Kapitał Ludzki</w:t>
      </w:r>
      <w:r w:rsidRPr="004542B8">
        <w:rPr>
          <w:rFonts w:ascii="Arial" w:hAnsi="Arial" w:cs="Arial"/>
          <w:b/>
        </w:rPr>
        <w:t xml:space="preserve"> </w:t>
      </w:r>
      <w:r w:rsidR="00171204" w:rsidRPr="004542B8">
        <w:rPr>
          <w:rFonts w:ascii="Arial" w:hAnsi="Arial" w:cs="Arial"/>
          <w:b/>
        </w:rPr>
        <w:t>Paulina Mucha, Główny Specjalista w Departamencie Europejskiego Funduszu Społecznego</w:t>
      </w:r>
      <w:r w:rsidRPr="004542B8">
        <w:rPr>
          <w:rFonts w:ascii="Arial" w:hAnsi="Arial" w:cs="Arial"/>
          <w:b/>
        </w:rPr>
        <w:t xml:space="preserve"> Ministerstwa</w:t>
      </w:r>
      <w:r w:rsidR="00171204" w:rsidRPr="004542B8">
        <w:rPr>
          <w:rFonts w:ascii="Arial" w:hAnsi="Arial" w:cs="Arial"/>
          <w:b/>
        </w:rPr>
        <w:t xml:space="preserve"> Infrastruktury i Rozwoju</w:t>
      </w:r>
      <w:r w:rsidRPr="004542B8">
        <w:rPr>
          <w:rFonts w:ascii="Arial" w:hAnsi="Arial" w:cs="Arial"/>
          <w:b/>
        </w:rPr>
        <w:t>,</w:t>
      </w:r>
      <w:r w:rsidRPr="004542B8">
        <w:rPr>
          <w:rFonts w:ascii="Arial" w:hAnsi="Arial" w:cs="Arial"/>
        </w:rPr>
        <w:t xml:space="preserve"> z</w:t>
      </w:r>
      <w:r w:rsidR="00171204" w:rsidRPr="004542B8">
        <w:rPr>
          <w:rFonts w:ascii="Arial" w:hAnsi="Arial" w:cs="Arial"/>
        </w:rPr>
        <w:t>aprezentowała dostępne ilościowe i jakościowe dane, dotyczące wielkości inwestycji w kapitał ludzki z Europejskiego Funduszu Społecznego, wnioski płynące ze zrealizowanych projektów oraz planowane zmiany w nowej perspektywie finansowej:</w:t>
      </w:r>
    </w:p>
    <w:p w14:paraId="41C1791F" w14:textId="0F5ED654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liczba przedsiębiorstw objętych wsparciem szkoleniowym </w:t>
      </w:r>
      <w:r w:rsidR="00317C2E" w:rsidRPr="004542B8">
        <w:rPr>
          <w:rFonts w:ascii="Arial" w:hAnsi="Arial" w:cs="Arial"/>
        </w:rPr>
        <w:t>na koniec roku 2013</w:t>
      </w:r>
      <w:r w:rsidR="00317C2E">
        <w:rPr>
          <w:rFonts w:ascii="Arial" w:hAnsi="Arial" w:cs="Arial"/>
        </w:rPr>
        <w:t xml:space="preserve"> </w:t>
      </w:r>
      <w:r w:rsidRPr="004542B8">
        <w:rPr>
          <w:rFonts w:ascii="Arial" w:hAnsi="Arial" w:cs="Arial"/>
        </w:rPr>
        <w:t>– prawie 250 tys. przedsiębiorstw; w tym momencie już ponad 300 tys. przedsiębiorstw;</w:t>
      </w:r>
    </w:p>
    <w:p w14:paraId="36508184" w14:textId="44510B5D" w:rsidR="00171204" w:rsidRPr="004542B8" w:rsidRDefault="00171204" w:rsidP="00AF13E8">
      <w:pPr>
        <w:pStyle w:val="Tre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liczba bezpośrednio wspartych pracujących </w:t>
      </w:r>
      <w:r w:rsidR="00317C2E" w:rsidRPr="004542B8">
        <w:rPr>
          <w:rFonts w:ascii="Arial" w:hAnsi="Arial" w:cs="Arial"/>
        </w:rPr>
        <w:t>na koniec 2013 r.</w:t>
      </w:r>
      <w:r w:rsidR="00317C2E">
        <w:rPr>
          <w:rFonts w:ascii="Arial" w:hAnsi="Arial" w:cs="Arial"/>
        </w:rPr>
        <w:t xml:space="preserve"> </w:t>
      </w:r>
      <w:r w:rsidRPr="004542B8">
        <w:rPr>
          <w:rFonts w:ascii="Arial" w:hAnsi="Arial" w:cs="Arial"/>
        </w:rPr>
        <w:t>– ponad 1 mln osób; w tym momencie już ok. 1,5 mln osób, głównie osób pracujących w sektorze przedsiębiorstw;</w:t>
      </w:r>
    </w:p>
    <w:p w14:paraId="498563F8" w14:textId="742DC71F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liczba pracowników o niskich kwalifikacjach objętych wsparciem </w:t>
      </w:r>
      <w:r w:rsidR="00317C2E" w:rsidRPr="004542B8">
        <w:rPr>
          <w:rFonts w:ascii="Arial" w:hAnsi="Arial" w:cs="Arial"/>
        </w:rPr>
        <w:t>na koniec 2013 r</w:t>
      </w:r>
      <w:r w:rsidR="00317C2E">
        <w:rPr>
          <w:rFonts w:ascii="Arial" w:hAnsi="Arial" w:cs="Arial"/>
        </w:rPr>
        <w:t>.</w:t>
      </w:r>
      <w:r w:rsidR="00317C2E" w:rsidRPr="004542B8">
        <w:rPr>
          <w:rFonts w:ascii="Arial" w:hAnsi="Arial" w:cs="Arial"/>
        </w:rPr>
        <w:t xml:space="preserve"> </w:t>
      </w:r>
      <w:r w:rsidRPr="004542B8">
        <w:rPr>
          <w:rFonts w:ascii="Arial" w:hAnsi="Arial" w:cs="Arial"/>
        </w:rPr>
        <w:t>– prawie 300 tys. osób;</w:t>
      </w:r>
    </w:p>
    <w:p w14:paraId="1D58F1B8" w14:textId="1B3CF663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liczba osób, które otrzymały dotacje na podjęcie działalności gospodarczej – prawie 200 tys., co stanowi ok. 15% wszystkich nowo zarejestrowanych w tym okresie podmiotów; były to głównie jednoosobowe działalności gospodarcze, dla których dużym problemem jest przeżywalność; szacuje się, że przeżywalność podmiotów utworzonych ze wsparciem z EFS jest zbliżona do sytuacji na rynku – po 2 latach działalność kontynuuje ok. 70% firm, po 3 latach - ok. 50%;</w:t>
      </w:r>
    </w:p>
    <w:p w14:paraId="783DE466" w14:textId="77777777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zauważono, że część powyższych danych dotyczy nie tylko MŚP, ale również sektora publicznego; poza tym znaczna większość wsparcia trafiała jednak do MSP, gdyż duże przedsiębiorstwa zostały wyłączone ze wsparcia EFS po przeglądzie śródokresowym w  2012 r.;</w:t>
      </w:r>
    </w:p>
    <w:p w14:paraId="797024F9" w14:textId="77777777" w:rsidR="00171204" w:rsidRPr="004542B8" w:rsidRDefault="00171204" w:rsidP="00AF13E8">
      <w:pPr>
        <w:pStyle w:val="Tre"/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dostępnymi formami wsparcia przedsiębiorstw </w:t>
      </w:r>
      <w:r w:rsidRPr="004542B8">
        <w:rPr>
          <w:rFonts w:ascii="Arial" w:hAnsi="Arial" w:cs="Arial"/>
          <w:bCs/>
        </w:rPr>
        <w:t>z EFS były:</w:t>
      </w:r>
    </w:p>
    <w:p w14:paraId="5E47517A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doradztwo i szkolenia dla kadr zarządzających i pracowników przedsiębiorstw,</w:t>
      </w:r>
    </w:p>
    <w:p w14:paraId="710D9A3F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 xml:space="preserve">wsparcie typu </w:t>
      </w:r>
      <w:r w:rsidRPr="004542B8">
        <w:rPr>
          <w:rFonts w:ascii="Arial" w:hAnsi="Arial" w:cs="Arial"/>
          <w:i/>
          <w:iCs/>
        </w:rPr>
        <w:t>outplacement</w:t>
      </w:r>
      <w:r w:rsidRPr="004542B8">
        <w:rPr>
          <w:rFonts w:ascii="Arial" w:hAnsi="Arial" w:cs="Arial"/>
        </w:rPr>
        <w:t xml:space="preserve"> dla przedsiębiorstw w trudnej sytuacji gospodarczej,</w:t>
      </w:r>
    </w:p>
    <w:p w14:paraId="31E3566D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>wsparcie dla współpracy sfery B+R i przedsiębiorstw (transfer wiedzy połączony z wypracowaniem konkretnych efektów wdrożeniowych),</w:t>
      </w:r>
    </w:p>
    <w:p w14:paraId="79777108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>wsparcie finansowe na rozpoczęcie działalności gospodarczej (dotacje, pożyczki),</w:t>
      </w:r>
    </w:p>
    <w:p w14:paraId="76382D26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>wsparcie w zakresie zarządzania przedsiębiorstwem  i planowania strategicznego,</w:t>
      </w:r>
    </w:p>
    <w:p w14:paraId="642904B6" w14:textId="77777777" w:rsidR="00171204" w:rsidRPr="004542B8" w:rsidRDefault="00171204" w:rsidP="00AF13E8">
      <w:pPr>
        <w:pStyle w:val="Tre"/>
        <w:numPr>
          <w:ilvl w:val="1"/>
          <w:numId w:val="8"/>
        </w:numPr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>wsparcie dla instytucji otoczenia biznesu,</w:t>
      </w:r>
    </w:p>
    <w:p w14:paraId="14A6A857" w14:textId="77777777" w:rsidR="00171204" w:rsidRPr="004542B8" w:rsidRDefault="00171204" w:rsidP="00AF13E8">
      <w:pPr>
        <w:pStyle w:val="Tre"/>
        <w:numPr>
          <w:ilvl w:val="1"/>
          <w:numId w:val="8"/>
        </w:numPr>
        <w:spacing w:after="60"/>
        <w:ind w:left="1077" w:hanging="357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>projekty ukierunkowane na skrócenie czasu rejestracji działalności gospodarczej;</w:t>
      </w:r>
    </w:p>
    <w:p w14:paraId="5894CC7F" w14:textId="216979BA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 xml:space="preserve">szkolenia, kursy i warsztaty </w:t>
      </w:r>
      <w:r w:rsidR="00317C2E">
        <w:rPr>
          <w:rFonts w:ascii="Arial" w:hAnsi="Arial" w:cs="Arial"/>
          <w:bCs/>
        </w:rPr>
        <w:t xml:space="preserve">są </w:t>
      </w:r>
      <w:r w:rsidRPr="004542B8">
        <w:rPr>
          <w:rFonts w:ascii="Arial" w:hAnsi="Arial" w:cs="Arial"/>
          <w:bCs/>
        </w:rPr>
        <w:t>podstawow</w:t>
      </w:r>
      <w:r w:rsidR="00317C2E">
        <w:rPr>
          <w:rFonts w:ascii="Arial" w:hAnsi="Arial" w:cs="Arial"/>
          <w:bCs/>
        </w:rPr>
        <w:t>ą</w:t>
      </w:r>
      <w:r w:rsidRPr="004542B8">
        <w:rPr>
          <w:rFonts w:ascii="Arial" w:hAnsi="Arial" w:cs="Arial"/>
          <w:bCs/>
        </w:rPr>
        <w:t xml:space="preserve"> form</w:t>
      </w:r>
      <w:r w:rsidR="00317C2E">
        <w:rPr>
          <w:rFonts w:ascii="Arial" w:hAnsi="Arial" w:cs="Arial"/>
          <w:bCs/>
        </w:rPr>
        <w:t>ą</w:t>
      </w:r>
      <w:r w:rsidRPr="004542B8">
        <w:rPr>
          <w:rFonts w:ascii="Arial" w:hAnsi="Arial" w:cs="Arial"/>
          <w:bCs/>
        </w:rPr>
        <w:t xml:space="preserve"> wsparcia osób pracujących - skorzystało z nich 86% uczestników projektu. Dominującą formą wsparcia były szkolenia i kursy zawodowe, a także szkolenia z zakresu </w:t>
      </w:r>
      <w:r w:rsidRPr="004542B8">
        <w:rPr>
          <w:rFonts w:ascii="Arial" w:hAnsi="Arial" w:cs="Arial"/>
          <w:bCs/>
        </w:rPr>
        <w:lastRenderedPageBreak/>
        <w:t>technik sprzedażowych, telemarketingu, szkolenia interpersonalne (negocjacje, efektywna komunikacja) i językowe;</w:t>
      </w:r>
    </w:p>
    <w:p w14:paraId="5109BE89" w14:textId="36D49071" w:rsidR="00171204" w:rsidRPr="00EA3DD0" w:rsidRDefault="00171204" w:rsidP="004D7626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</w:rPr>
      </w:pPr>
      <w:r w:rsidRPr="004D7626">
        <w:rPr>
          <w:rFonts w:ascii="Arial" w:hAnsi="Arial" w:cs="Arial"/>
        </w:rPr>
        <w:t xml:space="preserve">deklarowany wpływ udziału w projekcie na sytuację zawodową uczestników projektów jest dobry; </w:t>
      </w:r>
      <w:r w:rsidR="00EA3DD0" w:rsidRPr="004D7626">
        <w:rPr>
          <w:rFonts w:ascii="Arial" w:hAnsi="Arial" w:cs="Arial"/>
        </w:rPr>
        <w:t>ok. 90</w:t>
      </w:r>
      <w:r w:rsidR="00EA3DD0" w:rsidRPr="0011506B">
        <w:rPr>
          <w:rFonts w:ascii="Arial" w:hAnsi="Arial" w:cs="Arial"/>
        </w:rPr>
        <w:t xml:space="preserve">% uczestników projektu szkolenia oceniało jako dobre, deklarując lepszą zdolność do „rozwiązywania pojawiających się problemów”, większą „motywację do pracy zawodowej”, wzrost „wartości pracownika dla pracodawcy”, większą zdolność „poruszania się po rynku </w:t>
      </w:r>
      <w:r w:rsidR="00EA3DD0" w:rsidRPr="00EA3DD0">
        <w:rPr>
          <w:rFonts w:ascii="Arial" w:hAnsi="Arial" w:cs="Arial"/>
        </w:rPr>
        <w:t xml:space="preserve">pracy”, oraz „lepszego wykonywania swojej pracy”; inny ze </w:t>
      </w:r>
      <w:r w:rsidRPr="00EA3DD0">
        <w:rPr>
          <w:rFonts w:ascii="Arial" w:hAnsi="Arial" w:cs="Arial"/>
        </w:rPr>
        <w:t>wskaźników mierz</w:t>
      </w:r>
      <w:r w:rsidR="00EA3DD0" w:rsidRPr="00EA3DD0">
        <w:rPr>
          <w:rFonts w:ascii="Arial" w:hAnsi="Arial" w:cs="Arial"/>
        </w:rPr>
        <w:t>ył</w:t>
      </w:r>
      <w:r w:rsidRPr="00EA3DD0">
        <w:rPr>
          <w:rFonts w:ascii="Arial" w:hAnsi="Arial" w:cs="Arial"/>
        </w:rPr>
        <w:t xml:space="preserve"> efekty wsparcia </w:t>
      </w:r>
      <w:r w:rsidR="00EA3DD0" w:rsidRPr="00EA3DD0">
        <w:rPr>
          <w:rFonts w:ascii="Arial" w:hAnsi="Arial" w:cs="Arial"/>
        </w:rPr>
        <w:t xml:space="preserve">w postaci </w:t>
      </w:r>
      <w:r w:rsidRPr="00EA3DD0">
        <w:rPr>
          <w:rFonts w:ascii="Arial" w:hAnsi="Arial" w:cs="Arial"/>
        </w:rPr>
        <w:t>wzrost</w:t>
      </w:r>
      <w:r w:rsidR="00EA3DD0" w:rsidRPr="00EA3DD0">
        <w:rPr>
          <w:rFonts w:ascii="Arial" w:hAnsi="Arial" w:cs="Arial"/>
        </w:rPr>
        <w:t>u</w:t>
      </w:r>
      <w:r w:rsidRPr="00EA3DD0">
        <w:rPr>
          <w:rFonts w:ascii="Arial" w:hAnsi="Arial" w:cs="Arial"/>
        </w:rPr>
        <w:t xml:space="preserve"> dochodów, który deklarowało 22% uczestników projektu</w:t>
      </w:r>
      <w:r w:rsidR="00EA3DD0" w:rsidRPr="00EA3DD0">
        <w:rPr>
          <w:rFonts w:ascii="Arial" w:hAnsi="Arial" w:cs="Arial"/>
        </w:rPr>
        <w:t xml:space="preserve">. </w:t>
      </w:r>
      <w:r w:rsidRPr="00EA3DD0">
        <w:rPr>
          <w:rFonts w:ascii="Arial" w:hAnsi="Arial" w:cs="Arial"/>
        </w:rPr>
        <w:t>Zdaniem Przedstawicielki MIR na wyniki należy jednak patrzeć przez pryzmat specyfiki badania i sposobu sformułowania pytań; deklaracje mogły np. być formą racjonalizacji udziału w szkoleniu przez samych uczestników, mających tendencję do podnoszenia wartości udziału w powyższych formach wsparcia;</w:t>
      </w:r>
    </w:p>
    <w:p w14:paraId="7DDF8115" w14:textId="427810CA" w:rsidR="00171204" w:rsidRPr="004542B8" w:rsidRDefault="00171204" w:rsidP="00AF13E8">
      <w:pPr>
        <w:pStyle w:val="Tre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</w:rPr>
        <w:t xml:space="preserve">tylko w przypadku </w:t>
      </w:r>
      <w:r w:rsidR="00EA3DD0">
        <w:rPr>
          <w:rFonts w:ascii="Arial" w:hAnsi="Arial" w:cs="Arial"/>
        </w:rPr>
        <w:t xml:space="preserve">ok. </w:t>
      </w:r>
      <w:r w:rsidRPr="004542B8">
        <w:rPr>
          <w:rFonts w:ascii="Arial" w:hAnsi="Arial" w:cs="Arial"/>
        </w:rPr>
        <w:t xml:space="preserve">połowy uczestników (54%) przed przystąpieniem do projektu sprawdzano </w:t>
      </w:r>
      <w:r w:rsidR="00EA3DD0">
        <w:rPr>
          <w:rFonts w:ascii="Arial" w:hAnsi="Arial" w:cs="Arial"/>
        </w:rPr>
        <w:t xml:space="preserve">poziom </w:t>
      </w:r>
      <w:r w:rsidRPr="004542B8">
        <w:rPr>
          <w:rFonts w:ascii="Arial" w:hAnsi="Arial" w:cs="Arial"/>
        </w:rPr>
        <w:t xml:space="preserve">umiejętności, w celu dobrania odpowiedniego rodzaju pomocy; projektodawcy często </w:t>
      </w:r>
      <w:r w:rsidR="00EA3DD0" w:rsidRPr="004542B8">
        <w:rPr>
          <w:rFonts w:ascii="Arial" w:hAnsi="Arial" w:cs="Arial"/>
        </w:rPr>
        <w:t xml:space="preserve">nie sprawdzali wiedzy bazowej </w:t>
      </w:r>
      <w:r w:rsidRPr="004542B8">
        <w:rPr>
          <w:rFonts w:ascii="Arial" w:hAnsi="Arial" w:cs="Arial"/>
        </w:rPr>
        <w:t>uczestników projektu</w:t>
      </w:r>
      <w:r w:rsidR="00EA3DD0">
        <w:rPr>
          <w:rFonts w:ascii="Arial" w:hAnsi="Arial" w:cs="Arial"/>
        </w:rPr>
        <w:t xml:space="preserve"> i </w:t>
      </w:r>
      <w:r w:rsidR="00EA3DD0" w:rsidRPr="004542B8">
        <w:rPr>
          <w:rFonts w:ascii="Arial" w:hAnsi="Arial" w:cs="Arial"/>
        </w:rPr>
        <w:t xml:space="preserve">nie diagnozowali </w:t>
      </w:r>
      <w:r w:rsidR="00EA3DD0">
        <w:rPr>
          <w:rFonts w:ascii="Arial" w:hAnsi="Arial" w:cs="Arial"/>
        </w:rPr>
        <w:t xml:space="preserve">ich </w:t>
      </w:r>
      <w:r w:rsidR="00EA3DD0" w:rsidRPr="004542B8">
        <w:rPr>
          <w:rFonts w:ascii="Arial" w:hAnsi="Arial" w:cs="Arial"/>
        </w:rPr>
        <w:t>potrzeb</w:t>
      </w:r>
      <w:r w:rsidRPr="004542B8">
        <w:rPr>
          <w:rFonts w:ascii="Arial" w:hAnsi="Arial" w:cs="Arial"/>
        </w:rPr>
        <w:t>; rzadko też pojawiała się pomoc doradcza ukierunkowana na lepsze dostosowanie projektów do indywidualnych potrzeb;</w:t>
      </w:r>
    </w:p>
    <w:p w14:paraId="0267F161" w14:textId="77777777" w:rsidR="00171204" w:rsidRPr="004542B8" w:rsidRDefault="00171204" w:rsidP="003D1C3D">
      <w:pPr>
        <w:pStyle w:val="Tre"/>
        <w:jc w:val="both"/>
        <w:rPr>
          <w:rFonts w:ascii="Arial" w:hAnsi="Arial" w:cs="Arial"/>
          <w:bCs/>
        </w:rPr>
      </w:pPr>
    </w:p>
    <w:p w14:paraId="68A3B555" w14:textId="60AB7D19" w:rsidR="00171204" w:rsidRPr="004542B8" w:rsidRDefault="00171204" w:rsidP="002D5057">
      <w:pPr>
        <w:pStyle w:val="Tre"/>
        <w:spacing w:after="60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 xml:space="preserve">Wśród wniosków </w:t>
      </w:r>
      <w:r w:rsidR="000352A0" w:rsidRPr="004542B8">
        <w:rPr>
          <w:rFonts w:ascii="Arial" w:hAnsi="Arial" w:cs="Arial"/>
          <w:bCs/>
        </w:rPr>
        <w:t xml:space="preserve">na temat </w:t>
      </w:r>
      <w:r w:rsidRPr="004542B8">
        <w:rPr>
          <w:rFonts w:ascii="Arial" w:hAnsi="Arial" w:cs="Arial"/>
          <w:bCs/>
        </w:rPr>
        <w:t xml:space="preserve">efektów dotychczasowego wsparcia MŚP z EFS </w:t>
      </w:r>
      <w:r w:rsidR="008D6F27">
        <w:rPr>
          <w:rFonts w:ascii="Arial" w:hAnsi="Arial" w:cs="Arial"/>
          <w:bCs/>
        </w:rPr>
        <w:t>P</w:t>
      </w:r>
      <w:r w:rsidR="000352A0" w:rsidRPr="004542B8">
        <w:rPr>
          <w:rFonts w:ascii="Arial" w:hAnsi="Arial" w:cs="Arial"/>
          <w:bCs/>
        </w:rPr>
        <w:t>rzedstawicielka MIR wymieniła</w:t>
      </w:r>
      <w:r w:rsidRPr="004542B8">
        <w:rPr>
          <w:rFonts w:ascii="Arial" w:hAnsi="Arial" w:cs="Arial"/>
          <w:bCs/>
        </w:rPr>
        <w:t>:</w:t>
      </w:r>
    </w:p>
    <w:p w14:paraId="6B706654" w14:textId="77777777" w:rsidR="00171204" w:rsidRPr="004542B8" w:rsidRDefault="00171204" w:rsidP="00AF13E8">
      <w:pPr>
        <w:pStyle w:val="Tre"/>
        <w:numPr>
          <w:ilvl w:val="0"/>
          <w:numId w:val="11"/>
        </w:numPr>
        <w:spacing w:after="60"/>
        <w:ind w:left="425" w:hanging="425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 xml:space="preserve">„podażowy” system wyboru projektów – dominacja rynku dostawców usług, ograniczone możliwości zgłaszania zapotrzebowania na wsparcie przez samych jego odbiorców; </w:t>
      </w:r>
    </w:p>
    <w:p w14:paraId="52129D4D" w14:textId="2DEB02C9" w:rsidR="00171204" w:rsidRPr="004542B8" w:rsidRDefault="00171204" w:rsidP="00AF13E8">
      <w:pPr>
        <w:pStyle w:val="Tre"/>
        <w:numPr>
          <w:ilvl w:val="0"/>
          <w:numId w:val="11"/>
        </w:numPr>
        <w:spacing w:after="60"/>
        <w:ind w:left="425" w:hanging="425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>niewielka różnorodność oferowanych instrumentów wsparcia – dominującą formą były szkolenia; usługi doradcze były świadczone głównie w ramach diagnozy potrzeb szkoleniowych;</w:t>
      </w:r>
    </w:p>
    <w:p w14:paraId="2F296552" w14:textId="581A4F26" w:rsidR="00171204" w:rsidRPr="004542B8" w:rsidRDefault="00171204" w:rsidP="00AF13E8">
      <w:pPr>
        <w:pStyle w:val="Tre"/>
        <w:numPr>
          <w:ilvl w:val="0"/>
          <w:numId w:val="11"/>
        </w:numPr>
        <w:spacing w:after="60"/>
        <w:ind w:left="425" w:hanging="425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>rola pracodawcy często ogranicz</w:t>
      </w:r>
      <w:r w:rsidR="004D7626">
        <w:rPr>
          <w:rFonts w:ascii="Arial" w:hAnsi="Arial" w:cs="Arial"/>
          <w:bCs/>
        </w:rPr>
        <w:t xml:space="preserve">ona </w:t>
      </w:r>
      <w:r w:rsidRPr="004542B8">
        <w:rPr>
          <w:rFonts w:ascii="Arial" w:hAnsi="Arial" w:cs="Arial"/>
          <w:bCs/>
        </w:rPr>
        <w:t>do zatwierdzenia wyboru szkoleń dokonanego przez pracownik</w:t>
      </w:r>
      <w:r w:rsidR="004D7626">
        <w:rPr>
          <w:rFonts w:ascii="Arial" w:hAnsi="Arial" w:cs="Arial"/>
          <w:bCs/>
        </w:rPr>
        <w:t>a – słaba</w:t>
      </w:r>
      <w:r w:rsidR="0020107C">
        <w:rPr>
          <w:rFonts w:ascii="Arial" w:hAnsi="Arial" w:cs="Arial"/>
          <w:bCs/>
        </w:rPr>
        <w:t xml:space="preserve"> </w:t>
      </w:r>
      <w:r w:rsidRPr="004542B8">
        <w:rPr>
          <w:rFonts w:ascii="Arial" w:hAnsi="Arial" w:cs="Arial"/>
          <w:bCs/>
        </w:rPr>
        <w:t>zbieżność celów przedsiębiorstwa i pracownika;</w:t>
      </w:r>
    </w:p>
    <w:p w14:paraId="6220C62A" w14:textId="77777777" w:rsidR="00171204" w:rsidRPr="004542B8" w:rsidRDefault="00171204" w:rsidP="00AF13E8">
      <w:pPr>
        <w:pStyle w:val="Tre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bCs/>
        </w:rPr>
        <w:t xml:space="preserve">niewielka liczba projektów „szytych na miarę” – dominacja projektów otwartych, kierujących </w:t>
      </w:r>
      <w:r w:rsidRPr="004542B8">
        <w:rPr>
          <w:rFonts w:ascii="Arial" w:hAnsi="Arial" w:cs="Arial"/>
          <w:bCs/>
          <w:color w:val="auto"/>
        </w:rPr>
        <w:t>ofertę do szerokiego grona przedsiębiorstw, nie zaś ukierunkowanych na kompleksowe wsparcie konkretnego przedsiębiorstwa</w:t>
      </w:r>
      <w:r w:rsidR="000352A0" w:rsidRPr="004542B8">
        <w:rPr>
          <w:rFonts w:ascii="Arial" w:hAnsi="Arial" w:cs="Arial"/>
          <w:bCs/>
          <w:color w:val="auto"/>
        </w:rPr>
        <w:t>.</w:t>
      </w:r>
    </w:p>
    <w:p w14:paraId="1E5F2F1F" w14:textId="77777777" w:rsidR="00171204" w:rsidRPr="004542B8" w:rsidRDefault="00171204" w:rsidP="003D1C3D">
      <w:pPr>
        <w:pStyle w:val="Tre"/>
        <w:jc w:val="both"/>
        <w:rPr>
          <w:rFonts w:ascii="Arial" w:hAnsi="Arial" w:cs="Arial"/>
          <w:bCs/>
        </w:rPr>
      </w:pPr>
    </w:p>
    <w:p w14:paraId="449F8763" w14:textId="5ADFB394" w:rsidR="00171204" w:rsidRPr="004542B8" w:rsidRDefault="00171204" w:rsidP="002D5057">
      <w:pPr>
        <w:pStyle w:val="Tre"/>
        <w:spacing w:after="60"/>
        <w:jc w:val="both"/>
        <w:rPr>
          <w:rFonts w:ascii="Arial" w:hAnsi="Arial" w:cs="Arial"/>
          <w:bCs/>
        </w:rPr>
      </w:pPr>
      <w:r w:rsidRPr="004542B8">
        <w:rPr>
          <w:rFonts w:ascii="Arial" w:hAnsi="Arial" w:cs="Arial"/>
          <w:color w:val="auto"/>
        </w:rPr>
        <w:t xml:space="preserve">Zgodnie z </w:t>
      </w:r>
      <w:r w:rsidR="000352A0" w:rsidRPr="004542B8">
        <w:rPr>
          <w:rFonts w:ascii="Arial" w:hAnsi="Arial" w:cs="Arial"/>
          <w:color w:val="auto"/>
        </w:rPr>
        <w:t xml:space="preserve">przygotowywaną </w:t>
      </w:r>
      <w:r w:rsidRPr="004542B8">
        <w:rPr>
          <w:rFonts w:ascii="Arial" w:hAnsi="Arial" w:cs="Arial"/>
          <w:color w:val="auto"/>
        </w:rPr>
        <w:t xml:space="preserve">koncepcją, w nowej perspektywie </w:t>
      </w:r>
      <w:r w:rsidR="00656E3D" w:rsidRPr="004542B8">
        <w:rPr>
          <w:rFonts w:ascii="Arial" w:hAnsi="Arial" w:cs="Arial"/>
          <w:color w:val="auto"/>
        </w:rPr>
        <w:t xml:space="preserve">ma nastąpić </w:t>
      </w:r>
      <w:r w:rsidRPr="004542B8">
        <w:rPr>
          <w:rFonts w:ascii="Arial" w:hAnsi="Arial" w:cs="Arial"/>
          <w:color w:val="auto"/>
        </w:rPr>
        <w:t>odej</w:t>
      </w:r>
      <w:r w:rsidR="0020107C">
        <w:rPr>
          <w:rFonts w:ascii="Arial" w:hAnsi="Arial" w:cs="Arial"/>
          <w:color w:val="auto"/>
        </w:rPr>
        <w:t>ście</w:t>
      </w:r>
      <w:r w:rsidRPr="004542B8">
        <w:rPr>
          <w:rFonts w:ascii="Arial" w:hAnsi="Arial" w:cs="Arial"/>
          <w:color w:val="auto"/>
        </w:rPr>
        <w:t xml:space="preserve"> od dotychczasowego sposobu dystrybucji środków - większ</w:t>
      </w:r>
      <w:r w:rsidR="0020107C">
        <w:rPr>
          <w:rFonts w:ascii="Arial" w:hAnsi="Arial" w:cs="Arial"/>
          <w:color w:val="auto"/>
        </w:rPr>
        <w:t>a</w:t>
      </w:r>
      <w:r w:rsidRPr="004542B8">
        <w:rPr>
          <w:rFonts w:ascii="Arial" w:hAnsi="Arial" w:cs="Arial"/>
          <w:color w:val="auto"/>
        </w:rPr>
        <w:t xml:space="preserve"> rol</w:t>
      </w:r>
      <w:r w:rsidR="0020107C">
        <w:rPr>
          <w:rFonts w:ascii="Arial" w:hAnsi="Arial" w:cs="Arial"/>
          <w:color w:val="auto"/>
        </w:rPr>
        <w:t>a</w:t>
      </w:r>
      <w:r w:rsidRPr="004542B8">
        <w:rPr>
          <w:rFonts w:ascii="Arial" w:hAnsi="Arial" w:cs="Arial"/>
          <w:color w:val="auto"/>
        </w:rPr>
        <w:t xml:space="preserve"> w wyborze wsparcia </w:t>
      </w:r>
      <w:r w:rsidR="0020107C">
        <w:rPr>
          <w:rFonts w:ascii="Arial" w:hAnsi="Arial" w:cs="Arial"/>
          <w:color w:val="auto"/>
        </w:rPr>
        <w:t xml:space="preserve">ma być </w:t>
      </w:r>
      <w:r w:rsidRPr="004542B8">
        <w:rPr>
          <w:rFonts w:ascii="Arial" w:hAnsi="Arial" w:cs="Arial"/>
          <w:color w:val="auto"/>
        </w:rPr>
        <w:t>przyzna</w:t>
      </w:r>
      <w:r w:rsidR="0020107C">
        <w:rPr>
          <w:rFonts w:ascii="Arial" w:hAnsi="Arial" w:cs="Arial"/>
          <w:color w:val="auto"/>
        </w:rPr>
        <w:t>na</w:t>
      </w:r>
      <w:r w:rsidRPr="004542B8">
        <w:rPr>
          <w:rFonts w:ascii="Arial" w:hAnsi="Arial" w:cs="Arial"/>
          <w:color w:val="auto"/>
        </w:rPr>
        <w:t xml:space="preserve"> samym przedsiębiorcom, którzy mogliby dokonać wyboru właściwych szkoleń</w:t>
      </w:r>
      <w:r w:rsidR="0020107C">
        <w:rPr>
          <w:rFonts w:ascii="Arial" w:hAnsi="Arial" w:cs="Arial"/>
          <w:color w:val="auto"/>
        </w:rPr>
        <w:t>/usług rozwojowych odpowiadających na ich</w:t>
      </w:r>
      <w:r w:rsidR="004D7626">
        <w:rPr>
          <w:rFonts w:ascii="Arial" w:hAnsi="Arial" w:cs="Arial"/>
          <w:color w:val="auto"/>
        </w:rPr>
        <w:t xml:space="preserve"> </w:t>
      </w:r>
      <w:r w:rsidRPr="004542B8">
        <w:rPr>
          <w:rFonts w:ascii="Arial" w:hAnsi="Arial" w:cs="Arial"/>
          <w:color w:val="auto"/>
        </w:rPr>
        <w:t>potrzeb</w:t>
      </w:r>
      <w:r w:rsidR="0020107C">
        <w:rPr>
          <w:rFonts w:ascii="Arial" w:hAnsi="Arial" w:cs="Arial"/>
          <w:color w:val="auto"/>
        </w:rPr>
        <w:t>y</w:t>
      </w:r>
      <w:r w:rsidRPr="004542B8">
        <w:rPr>
          <w:rFonts w:ascii="Arial" w:hAnsi="Arial" w:cs="Arial"/>
          <w:color w:val="auto"/>
        </w:rPr>
        <w:t>;</w:t>
      </w:r>
    </w:p>
    <w:p w14:paraId="3719B39D" w14:textId="4CE833B0" w:rsidR="00171204" w:rsidRPr="004542B8" w:rsidRDefault="00171204" w:rsidP="00AF13E8">
      <w:pPr>
        <w:pStyle w:val="Tre"/>
        <w:numPr>
          <w:ilvl w:val="0"/>
          <w:numId w:val="8"/>
        </w:numPr>
        <w:spacing w:after="60"/>
        <w:ind w:left="357" w:hanging="357"/>
        <w:jc w:val="both"/>
        <w:rPr>
          <w:rFonts w:ascii="Arial" w:hAnsi="Arial" w:cs="Arial"/>
          <w:bCs/>
          <w:color w:val="auto"/>
        </w:rPr>
      </w:pPr>
      <w:r w:rsidRPr="004542B8">
        <w:rPr>
          <w:rFonts w:ascii="Arial" w:hAnsi="Arial" w:cs="Arial"/>
          <w:color w:val="auto"/>
        </w:rPr>
        <w:t>w ramach RPO będą wdrożone tzw. Podmiotowe Systemy Finansowania usług rozwojowych – s</w:t>
      </w:r>
      <w:r w:rsidRPr="004542B8">
        <w:rPr>
          <w:rFonts w:ascii="Arial" w:hAnsi="Arial" w:cs="Arial"/>
          <w:bCs/>
          <w:color w:val="auto"/>
        </w:rPr>
        <w:t>ystem</w:t>
      </w:r>
      <w:r w:rsidR="0020107C">
        <w:rPr>
          <w:rFonts w:ascii="Arial" w:hAnsi="Arial" w:cs="Arial"/>
          <w:bCs/>
          <w:color w:val="auto"/>
        </w:rPr>
        <w:t>y</w:t>
      </w:r>
      <w:r w:rsidRPr="004542B8">
        <w:rPr>
          <w:rFonts w:ascii="Arial" w:hAnsi="Arial" w:cs="Arial"/>
          <w:bCs/>
          <w:color w:val="auto"/>
        </w:rPr>
        <w:t xml:space="preserve"> dystrybucji środków przeznaczonych na wspieranie rozwoju przedsiębiorstw i pracowników (w tym na finansowanie usług doradczych i szkoleniowych) opart</w:t>
      </w:r>
      <w:r w:rsidR="0020107C">
        <w:rPr>
          <w:rFonts w:ascii="Arial" w:hAnsi="Arial" w:cs="Arial"/>
          <w:bCs/>
          <w:color w:val="auto"/>
        </w:rPr>
        <w:t>e</w:t>
      </w:r>
      <w:r w:rsidRPr="004542B8">
        <w:rPr>
          <w:rFonts w:ascii="Arial" w:hAnsi="Arial" w:cs="Arial"/>
          <w:bCs/>
          <w:color w:val="auto"/>
        </w:rPr>
        <w:t xml:space="preserve"> na podejściu  popytowym, np. bon szkoleniowy, refundacja kosztów szkolenia. Zaletami podejścia popytowego ma być m.in. szybk</w:t>
      </w:r>
      <w:r w:rsidR="004D7626">
        <w:rPr>
          <w:rFonts w:ascii="Arial" w:hAnsi="Arial" w:cs="Arial"/>
          <w:bCs/>
          <w:color w:val="auto"/>
        </w:rPr>
        <w:t>a reakcja</w:t>
      </w:r>
      <w:r w:rsidRPr="004542B8">
        <w:rPr>
          <w:rFonts w:ascii="Arial" w:hAnsi="Arial" w:cs="Arial"/>
          <w:bCs/>
          <w:color w:val="auto"/>
        </w:rPr>
        <w:t xml:space="preserve"> </w:t>
      </w:r>
      <w:r w:rsidR="004D7626">
        <w:rPr>
          <w:rFonts w:ascii="Arial" w:hAnsi="Arial" w:cs="Arial"/>
          <w:bCs/>
          <w:color w:val="auto"/>
        </w:rPr>
        <w:t>na identyfikowane przez MSP potrzeby na usługi rozwojowe</w:t>
      </w:r>
      <w:r w:rsidRPr="004542B8">
        <w:rPr>
          <w:rFonts w:ascii="Arial" w:hAnsi="Arial" w:cs="Arial"/>
          <w:bCs/>
          <w:color w:val="auto"/>
        </w:rPr>
        <w:t>, uproszczenie procedur, większa adekwatność udzielanego wsparcia;</w:t>
      </w:r>
    </w:p>
    <w:p w14:paraId="700C4EEC" w14:textId="37D942B3" w:rsidR="00171204" w:rsidRPr="004542B8" w:rsidRDefault="00171204" w:rsidP="00AF13E8">
      <w:pPr>
        <w:pStyle w:val="Tre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bCs/>
          <w:color w:val="auto"/>
        </w:rPr>
        <w:t xml:space="preserve">drugim elementem nowego systemu ma być </w:t>
      </w:r>
      <w:r w:rsidRPr="004542B8">
        <w:rPr>
          <w:rFonts w:ascii="Arial" w:hAnsi="Arial" w:cs="Arial"/>
          <w:color w:val="auto"/>
        </w:rPr>
        <w:t xml:space="preserve">Rejestr Usług Rozwojowych (RUR) - baza administrowana przez PARP, zawierająca informację na temat potencjału </w:t>
      </w:r>
      <w:r w:rsidR="008D6F27">
        <w:rPr>
          <w:rFonts w:ascii="Arial" w:hAnsi="Arial" w:cs="Arial"/>
          <w:color w:val="auto"/>
        </w:rPr>
        <w:t xml:space="preserve">poszczególnych </w:t>
      </w:r>
      <w:r w:rsidRPr="004542B8">
        <w:rPr>
          <w:rFonts w:ascii="Arial" w:hAnsi="Arial" w:cs="Arial"/>
          <w:color w:val="auto"/>
        </w:rPr>
        <w:t>podmiotów świadczących usługi rozwojowe</w:t>
      </w:r>
      <w:r w:rsidR="005466B5">
        <w:rPr>
          <w:rFonts w:ascii="Arial" w:hAnsi="Arial" w:cs="Arial"/>
          <w:color w:val="auto"/>
        </w:rPr>
        <w:t>,</w:t>
      </w:r>
      <w:r w:rsidRPr="004542B8">
        <w:rPr>
          <w:rFonts w:ascii="Arial" w:hAnsi="Arial" w:cs="Arial"/>
          <w:color w:val="auto"/>
        </w:rPr>
        <w:t xml:space="preserve"> informację na temat oferty rozwojowej</w:t>
      </w:r>
      <w:r w:rsidR="005466B5">
        <w:rPr>
          <w:rFonts w:ascii="Arial" w:hAnsi="Arial" w:cs="Arial"/>
          <w:color w:val="auto"/>
        </w:rPr>
        <w:t>,</w:t>
      </w:r>
      <w:r w:rsidRPr="004542B8">
        <w:rPr>
          <w:rFonts w:ascii="Arial" w:hAnsi="Arial" w:cs="Arial"/>
          <w:color w:val="auto"/>
        </w:rPr>
        <w:t xml:space="preserve"> możliwość dokonywania oceny świadczonych usług bezpośrednio przez odbiorców wsparcia. </w:t>
      </w:r>
      <w:r w:rsidR="008D6F27">
        <w:rPr>
          <w:rFonts w:ascii="Arial" w:hAnsi="Arial" w:cs="Arial"/>
          <w:color w:val="auto"/>
        </w:rPr>
        <w:t>Zaletą rozwiązania ma</w:t>
      </w:r>
      <w:r w:rsidR="004D7626">
        <w:rPr>
          <w:rFonts w:ascii="Arial" w:hAnsi="Arial" w:cs="Arial"/>
          <w:color w:val="auto"/>
        </w:rPr>
        <w:t xml:space="preserve"> być</w:t>
      </w:r>
      <w:r w:rsidRPr="004542B8">
        <w:rPr>
          <w:rFonts w:ascii="Arial" w:hAnsi="Arial" w:cs="Arial"/>
          <w:color w:val="auto"/>
        </w:rPr>
        <w:t xml:space="preserve"> </w:t>
      </w:r>
      <w:r w:rsidR="008D6F27">
        <w:rPr>
          <w:rFonts w:ascii="Arial" w:hAnsi="Arial" w:cs="Arial"/>
          <w:color w:val="auto"/>
        </w:rPr>
        <w:t xml:space="preserve">m.in. </w:t>
      </w:r>
      <w:r w:rsidRPr="004542B8">
        <w:rPr>
          <w:rFonts w:ascii="Arial" w:hAnsi="Arial" w:cs="Arial"/>
          <w:bCs/>
          <w:color w:val="auto"/>
        </w:rPr>
        <w:t>pełny dostęp do informacji na temat oferty szkoleniowej</w:t>
      </w:r>
      <w:r w:rsidR="0020107C">
        <w:rPr>
          <w:rFonts w:ascii="Arial" w:hAnsi="Arial" w:cs="Arial"/>
          <w:bCs/>
          <w:color w:val="auto"/>
        </w:rPr>
        <w:t>/rozwojowej</w:t>
      </w:r>
      <w:r w:rsidRPr="004542B8">
        <w:rPr>
          <w:rFonts w:ascii="Arial" w:hAnsi="Arial" w:cs="Arial"/>
          <w:bCs/>
          <w:color w:val="auto"/>
        </w:rPr>
        <w:t xml:space="preserve"> </w:t>
      </w:r>
      <w:r w:rsidRPr="004542B8">
        <w:rPr>
          <w:rFonts w:ascii="Arial" w:hAnsi="Arial" w:cs="Arial"/>
          <w:color w:val="auto"/>
        </w:rPr>
        <w:t>(jednolite kryteria rejestracji dla wszystkich podmiotów, wszystkie dostępne usługi zgromadzone w jednym miejscu)</w:t>
      </w:r>
      <w:r w:rsidR="005466B5">
        <w:rPr>
          <w:rFonts w:ascii="Arial" w:hAnsi="Arial" w:cs="Arial"/>
          <w:color w:val="auto"/>
        </w:rPr>
        <w:t>,</w:t>
      </w:r>
      <w:r w:rsidRPr="004542B8">
        <w:rPr>
          <w:rFonts w:ascii="Arial" w:hAnsi="Arial" w:cs="Arial"/>
          <w:color w:val="auto"/>
        </w:rPr>
        <w:t xml:space="preserve"> </w:t>
      </w:r>
      <w:r w:rsidRPr="004542B8">
        <w:rPr>
          <w:rFonts w:ascii="Arial" w:hAnsi="Arial" w:cs="Arial"/>
          <w:bCs/>
          <w:color w:val="auto"/>
        </w:rPr>
        <w:t xml:space="preserve">możliwość dokonywania oceny jakości usług </w:t>
      </w:r>
      <w:r w:rsidRPr="004542B8">
        <w:rPr>
          <w:rFonts w:ascii="Arial" w:hAnsi="Arial" w:cs="Arial"/>
          <w:color w:val="auto"/>
        </w:rPr>
        <w:t>(informacja zwrotna dla przyszłych uczestników szkoleń)</w:t>
      </w:r>
      <w:r w:rsidR="0091343E">
        <w:rPr>
          <w:rFonts w:ascii="Arial" w:hAnsi="Arial" w:cs="Arial"/>
          <w:color w:val="auto"/>
        </w:rPr>
        <w:t xml:space="preserve"> oraz</w:t>
      </w:r>
      <w:r w:rsidRPr="004542B8">
        <w:rPr>
          <w:rFonts w:ascii="Arial" w:hAnsi="Arial" w:cs="Arial"/>
          <w:color w:val="auto"/>
        </w:rPr>
        <w:t xml:space="preserve"> bieżące </w:t>
      </w:r>
      <w:r w:rsidRPr="004542B8">
        <w:rPr>
          <w:rFonts w:ascii="Arial" w:hAnsi="Arial" w:cs="Arial"/>
          <w:bCs/>
          <w:color w:val="auto"/>
        </w:rPr>
        <w:t>monitorowanie jakości udzielanego wsparcia</w:t>
      </w:r>
      <w:r w:rsidR="004D7626">
        <w:rPr>
          <w:rFonts w:ascii="Arial" w:hAnsi="Arial" w:cs="Arial"/>
          <w:bCs/>
          <w:color w:val="auto"/>
        </w:rPr>
        <w:t>.</w:t>
      </w:r>
    </w:p>
    <w:p w14:paraId="233C991D" w14:textId="77777777" w:rsidR="00171204" w:rsidRPr="004542B8" w:rsidRDefault="00171204" w:rsidP="003D1C3D">
      <w:pPr>
        <w:pStyle w:val="Tre"/>
        <w:jc w:val="both"/>
        <w:rPr>
          <w:rFonts w:ascii="Arial" w:hAnsi="Arial" w:cs="Arial"/>
          <w:bCs/>
          <w:color w:val="auto"/>
        </w:rPr>
      </w:pPr>
    </w:p>
    <w:p w14:paraId="66CABE3B" w14:textId="56802613" w:rsidR="00171204" w:rsidRPr="004542B8" w:rsidRDefault="00171204" w:rsidP="003D1C3D">
      <w:pPr>
        <w:pStyle w:val="Tre"/>
        <w:spacing w:after="120"/>
        <w:jc w:val="both"/>
        <w:rPr>
          <w:rFonts w:ascii="Arial" w:hAnsi="Arial" w:cs="Arial"/>
          <w:bCs/>
          <w:color w:val="auto"/>
        </w:rPr>
      </w:pPr>
      <w:r w:rsidRPr="004542B8">
        <w:rPr>
          <w:rFonts w:ascii="Arial" w:hAnsi="Arial" w:cs="Arial"/>
          <w:bCs/>
          <w:color w:val="auto"/>
        </w:rPr>
        <w:t xml:space="preserve">Odpowiadając na pytania uczestników, </w:t>
      </w:r>
      <w:r w:rsidR="0091343E">
        <w:rPr>
          <w:rFonts w:ascii="Arial" w:hAnsi="Arial" w:cs="Arial"/>
          <w:bCs/>
          <w:color w:val="auto"/>
        </w:rPr>
        <w:t>P</w:t>
      </w:r>
      <w:r w:rsidRPr="004542B8">
        <w:rPr>
          <w:rFonts w:ascii="Arial" w:hAnsi="Arial" w:cs="Arial"/>
          <w:bCs/>
          <w:color w:val="auto"/>
        </w:rPr>
        <w:t>rzedstawicielka MIR wyjaśniała</w:t>
      </w:r>
      <w:r w:rsidR="004D7626">
        <w:rPr>
          <w:rFonts w:ascii="Arial" w:hAnsi="Arial" w:cs="Arial"/>
          <w:bCs/>
          <w:color w:val="auto"/>
        </w:rPr>
        <w:t xml:space="preserve"> m.in.</w:t>
      </w:r>
      <w:r w:rsidRPr="004542B8">
        <w:rPr>
          <w:rFonts w:ascii="Arial" w:hAnsi="Arial" w:cs="Arial"/>
          <w:bCs/>
          <w:color w:val="auto"/>
        </w:rPr>
        <w:t>, że:</w:t>
      </w:r>
    </w:p>
    <w:p w14:paraId="0AF0CF54" w14:textId="77A448A1" w:rsidR="00171204" w:rsidRPr="00E41B2A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E41B2A">
        <w:rPr>
          <w:rFonts w:ascii="Arial" w:hAnsi="Arial" w:cs="Arial"/>
          <w:color w:val="auto"/>
        </w:rPr>
        <w:t>przedsiębiorca może otrzymać wsparcie (</w:t>
      </w:r>
      <w:r w:rsidR="0020107C" w:rsidRPr="00E41B2A">
        <w:rPr>
          <w:rFonts w:ascii="Arial" w:hAnsi="Arial" w:cs="Arial"/>
          <w:color w:val="auto"/>
        </w:rPr>
        <w:t xml:space="preserve">np. </w:t>
      </w:r>
      <w:r w:rsidRPr="00E41B2A">
        <w:rPr>
          <w:rFonts w:ascii="Arial" w:hAnsi="Arial" w:cs="Arial"/>
          <w:color w:val="auto"/>
        </w:rPr>
        <w:t>w formie bonów lub refundacji  kosztów) tylko w przypadku skorzystania z usług firm</w:t>
      </w:r>
      <w:r w:rsidR="0091343E">
        <w:rPr>
          <w:rFonts w:ascii="Arial" w:hAnsi="Arial" w:cs="Arial"/>
          <w:color w:val="auto"/>
        </w:rPr>
        <w:t>y zarejestrowanej</w:t>
      </w:r>
      <w:r w:rsidRPr="00E41B2A">
        <w:rPr>
          <w:rFonts w:ascii="Arial" w:hAnsi="Arial" w:cs="Arial"/>
          <w:color w:val="auto"/>
        </w:rPr>
        <w:t xml:space="preserve"> w RUR;</w:t>
      </w:r>
      <w:r w:rsidR="004D7626" w:rsidRPr="00E41B2A">
        <w:rPr>
          <w:rFonts w:ascii="Arial" w:hAnsi="Arial" w:cs="Arial"/>
          <w:color w:val="auto"/>
        </w:rPr>
        <w:t xml:space="preserve"> w Rejestrze będą zapisane również usługi, z których będzie można korzystać na warunkach rynkowych, bez wsparcia z EFS;</w:t>
      </w:r>
    </w:p>
    <w:p w14:paraId="534E8096" w14:textId="072AA017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lastRenderedPageBreak/>
        <w:t>firmy szkoleniowe nie poniosą żadnych kosztów z tytułu obecności w RUR;</w:t>
      </w:r>
      <w:r w:rsidR="00656E3D" w:rsidRPr="004542B8">
        <w:rPr>
          <w:rFonts w:ascii="Arial" w:hAnsi="Arial" w:cs="Arial"/>
          <w:color w:val="auto"/>
        </w:rPr>
        <w:t xml:space="preserve"> </w:t>
      </w:r>
      <w:r w:rsidRPr="004542B8">
        <w:rPr>
          <w:rFonts w:ascii="Arial" w:hAnsi="Arial" w:cs="Arial"/>
          <w:color w:val="auto"/>
        </w:rPr>
        <w:t xml:space="preserve">wstępne kryteria </w:t>
      </w:r>
      <w:r w:rsidR="00656E3D" w:rsidRPr="004542B8">
        <w:rPr>
          <w:rFonts w:ascii="Arial" w:hAnsi="Arial" w:cs="Arial"/>
          <w:color w:val="auto"/>
        </w:rPr>
        <w:t xml:space="preserve">ich </w:t>
      </w:r>
      <w:r w:rsidRPr="004542B8">
        <w:rPr>
          <w:rFonts w:ascii="Arial" w:hAnsi="Arial" w:cs="Arial"/>
          <w:color w:val="auto"/>
        </w:rPr>
        <w:t xml:space="preserve">dostępu do RUR to m.in. określone doświadczenie w świadczeniu usług, </w:t>
      </w:r>
      <w:r w:rsidR="0011506B">
        <w:rPr>
          <w:rFonts w:ascii="Arial" w:hAnsi="Arial" w:cs="Arial"/>
          <w:color w:val="auto"/>
        </w:rPr>
        <w:t xml:space="preserve">doświadczona </w:t>
      </w:r>
      <w:r w:rsidRPr="004542B8">
        <w:rPr>
          <w:rFonts w:ascii="Arial" w:hAnsi="Arial" w:cs="Arial"/>
          <w:color w:val="auto"/>
        </w:rPr>
        <w:t xml:space="preserve">kadra oraz określone obroty z działalności w obszarze usług edukacyjnych; </w:t>
      </w:r>
    </w:p>
    <w:p w14:paraId="05A7E7BE" w14:textId="11657DE8" w:rsidR="00656E3D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podmiot wpisujący się do RUR będzie musiał wypełnić tzw. </w:t>
      </w:r>
      <w:r w:rsidRPr="004542B8">
        <w:rPr>
          <w:rFonts w:ascii="Arial" w:hAnsi="Arial" w:cs="Arial"/>
          <w:i/>
          <w:color w:val="auto"/>
        </w:rPr>
        <w:t>kartę podmiotu</w:t>
      </w:r>
      <w:r w:rsidRPr="004542B8">
        <w:rPr>
          <w:rFonts w:ascii="Arial" w:hAnsi="Arial" w:cs="Arial"/>
          <w:color w:val="auto"/>
        </w:rPr>
        <w:t xml:space="preserve"> oraz </w:t>
      </w:r>
      <w:r w:rsidRPr="004542B8">
        <w:rPr>
          <w:rFonts w:ascii="Arial" w:hAnsi="Arial" w:cs="Arial"/>
          <w:i/>
          <w:color w:val="auto"/>
        </w:rPr>
        <w:t>kartę usługi</w:t>
      </w:r>
      <w:r w:rsidRPr="004542B8">
        <w:rPr>
          <w:rFonts w:ascii="Arial" w:hAnsi="Arial" w:cs="Arial"/>
          <w:color w:val="auto"/>
        </w:rPr>
        <w:t>, w której opisze jakiego typu usługę będzie świadczył, w jakim wymiarze, w jakiej cenie, dla jakiej liczb</w:t>
      </w:r>
      <w:r w:rsidR="00D32AD6">
        <w:rPr>
          <w:rFonts w:ascii="Arial" w:hAnsi="Arial" w:cs="Arial"/>
          <w:color w:val="auto"/>
        </w:rPr>
        <w:t>y</w:t>
      </w:r>
      <w:r w:rsidRPr="004542B8">
        <w:rPr>
          <w:rFonts w:ascii="Arial" w:hAnsi="Arial" w:cs="Arial"/>
          <w:color w:val="auto"/>
        </w:rPr>
        <w:t xml:space="preserve"> osób, w jakim miejscu itp; wszystkie </w:t>
      </w:r>
      <w:r w:rsidR="0091343E">
        <w:rPr>
          <w:rFonts w:ascii="Arial" w:hAnsi="Arial" w:cs="Arial"/>
          <w:color w:val="auto"/>
        </w:rPr>
        <w:t xml:space="preserve">te </w:t>
      </w:r>
      <w:r w:rsidRPr="004542B8">
        <w:rPr>
          <w:rFonts w:ascii="Arial" w:hAnsi="Arial" w:cs="Arial"/>
          <w:color w:val="auto"/>
        </w:rPr>
        <w:t>informacje będą dostępne w rejestrze dla przedsiębiorcy poszukującego usługi;</w:t>
      </w:r>
    </w:p>
    <w:p w14:paraId="1572110F" w14:textId="4DC3D230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>przedsiębiorstwa będą mogły zgłaszać zapotrzebowanie na konkretną usługę do rejestru i np. zgłosić się do konkretnej firmy, prosząc o przygotowanie konkretnej oferty</w:t>
      </w:r>
      <w:r w:rsidR="0011506B">
        <w:rPr>
          <w:rFonts w:ascii="Arial" w:hAnsi="Arial" w:cs="Arial"/>
          <w:color w:val="auto"/>
        </w:rPr>
        <w:t>,</w:t>
      </w:r>
      <w:r w:rsidRPr="004542B8">
        <w:rPr>
          <w:rFonts w:ascii="Arial" w:hAnsi="Arial" w:cs="Arial"/>
          <w:color w:val="auto"/>
        </w:rPr>
        <w:t xml:space="preserve"> </w:t>
      </w:r>
      <w:r w:rsidR="0020107C">
        <w:rPr>
          <w:rFonts w:ascii="Arial" w:hAnsi="Arial" w:cs="Arial"/>
          <w:color w:val="auto"/>
        </w:rPr>
        <w:t>zgodnej z ich</w:t>
      </w:r>
      <w:r w:rsidRPr="004542B8">
        <w:rPr>
          <w:rFonts w:ascii="Arial" w:hAnsi="Arial" w:cs="Arial"/>
          <w:color w:val="auto"/>
        </w:rPr>
        <w:t xml:space="preserve"> potrzeb</w:t>
      </w:r>
      <w:r w:rsidR="0020107C">
        <w:rPr>
          <w:rFonts w:ascii="Arial" w:hAnsi="Arial" w:cs="Arial"/>
          <w:color w:val="auto"/>
        </w:rPr>
        <w:t>ą</w:t>
      </w:r>
      <w:r w:rsidRPr="004542B8">
        <w:rPr>
          <w:rFonts w:ascii="Arial" w:hAnsi="Arial" w:cs="Arial"/>
          <w:color w:val="auto"/>
        </w:rPr>
        <w:t>;</w:t>
      </w:r>
    </w:p>
    <w:p w14:paraId="5405264B" w14:textId="6C63659C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przeglądając oferty w rejestrze przedsiębiorstwa uzyskają informację o ocenach danej usługi, wystawionych przez innych użytkowników - każdy przedsiębiorca po zakończeniu szkolenia będzie musiał je ocenić pod względem: zrealizowania celów usługi, polecenia usługi innym użytkownikom systemu oraz spełnienia swoich oczekiwań; ankieta ma być wypełniana online anonimowo, przez uczestnika szkolenia oraz </w:t>
      </w:r>
      <w:r w:rsidR="0020107C" w:rsidRPr="004542B8">
        <w:rPr>
          <w:rFonts w:ascii="Arial" w:hAnsi="Arial" w:cs="Arial"/>
          <w:color w:val="auto"/>
        </w:rPr>
        <w:t>przedsiębiorc</w:t>
      </w:r>
      <w:r w:rsidR="0020107C">
        <w:rPr>
          <w:rFonts w:ascii="Arial" w:hAnsi="Arial" w:cs="Arial"/>
          <w:color w:val="auto"/>
        </w:rPr>
        <w:t>ę</w:t>
      </w:r>
      <w:r w:rsidR="0020107C" w:rsidRPr="004542B8">
        <w:rPr>
          <w:rFonts w:ascii="Arial" w:hAnsi="Arial" w:cs="Arial"/>
          <w:color w:val="auto"/>
        </w:rPr>
        <w:t xml:space="preserve"> </w:t>
      </w:r>
      <w:r w:rsidRPr="004542B8">
        <w:rPr>
          <w:rFonts w:ascii="Arial" w:hAnsi="Arial" w:cs="Arial"/>
          <w:color w:val="auto"/>
        </w:rPr>
        <w:t>wysyłającego pracownika;</w:t>
      </w:r>
    </w:p>
    <w:p w14:paraId="649AEDC6" w14:textId="77777777" w:rsidR="00656E3D" w:rsidRPr="004542B8" w:rsidRDefault="00656E3D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rejestr będzie dostępny w całym kraju; przedsiębiorstwo z danego regionu będzie mogło skorzystać np. </w:t>
      </w:r>
      <w:r w:rsidR="00633248" w:rsidRPr="004542B8">
        <w:rPr>
          <w:rFonts w:ascii="Arial" w:hAnsi="Arial" w:cs="Arial"/>
          <w:color w:val="auto"/>
        </w:rPr>
        <w:t xml:space="preserve">z </w:t>
      </w:r>
      <w:r w:rsidRPr="004542B8">
        <w:rPr>
          <w:rFonts w:ascii="Arial" w:hAnsi="Arial" w:cs="Arial"/>
          <w:color w:val="auto"/>
        </w:rPr>
        <w:t>usługi świadczonej przez firmę szkoleniową z innego regionu w Polsce;</w:t>
      </w:r>
    </w:p>
    <w:p w14:paraId="26A0BFAA" w14:textId="1D437C90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</w:rPr>
        <w:t xml:space="preserve">na poziomie przedsiębiorcy </w:t>
      </w:r>
      <w:r w:rsidR="0011506B">
        <w:rPr>
          <w:rFonts w:ascii="Arial" w:hAnsi="Arial" w:cs="Arial"/>
        </w:rPr>
        <w:t xml:space="preserve">będącego </w:t>
      </w:r>
      <w:r w:rsidRPr="004542B8">
        <w:rPr>
          <w:rFonts w:ascii="Arial" w:hAnsi="Arial" w:cs="Arial"/>
        </w:rPr>
        <w:t xml:space="preserve">usługobiorcą nie ma zastosowania zasada konkurencyjności, w szczególności nie ma on obowiązku wyboru najtańszej oferty. </w:t>
      </w:r>
      <w:r w:rsidR="00B3719E" w:rsidRPr="004542B8">
        <w:rPr>
          <w:rFonts w:ascii="Arial" w:hAnsi="Arial" w:cs="Arial"/>
        </w:rPr>
        <w:t>Jednocześnie z</w:t>
      </w:r>
      <w:r w:rsidRPr="004542B8">
        <w:rPr>
          <w:rFonts w:ascii="Arial" w:hAnsi="Arial" w:cs="Arial"/>
        </w:rPr>
        <w:t xml:space="preserve">akłada się, że zasada partycypacji w kosztach (np. w wysokości 50%) </w:t>
      </w:r>
      <w:r w:rsidR="0011506B">
        <w:rPr>
          <w:rFonts w:ascii="Arial" w:hAnsi="Arial" w:cs="Arial"/>
        </w:rPr>
        <w:t xml:space="preserve">zachęci </w:t>
      </w:r>
      <w:r w:rsidRPr="004542B8">
        <w:rPr>
          <w:rFonts w:ascii="Arial" w:hAnsi="Arial" w:cs="Arial"/>
        </w:rPr>
        <w:t>do wyboru ofert faktycznie wnosząc</w:t>
      </w:r>
      <w:r w:rsidR="0011506B">
        <w:rPr>
          <w:rFonts w:ascii="Arial" w:hAnsi="Arial" w:cs="Arial"/>
        </w:rPr>
        <w:t>ych</w:t>
      </w:r>
      <w:r w:rsidRPr="004542B8">
        <w:rPr>
          <w:rFonts w:ascii="Arial" w:hAnsi="Arial" w:cs="Arial"/>
        </w:rPr>
        <w:t xml:space="preserve"> wartość dodaną dla przedsiębiorstwa;</w:t>
      </w:r>
    </w:p>
    <w:p w14:paraId="7FE5A476" w14:textId="77777777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</w:rPr>
        <w:t xml:space="preserve">wsparcie będzie miało postać pomocy </w:t>
      </w:r>
      <w:r w:rsidRPr="0091343E">
        <w:rPr>
          <w:rFonts w:ascii="Arial" w:hAnsi="Arial" w:cs="Arial"/>
          <w:i/>
        </w:rPr>
        <w:t>de minimis</w:t>
      </w:r>
      <w:r w:rsidRPr="004542B8">
        <w:rPr>
          <w:rFonts w:ascii="Arial" w:hAnsi="Arial" w:cs="Arial"/>
        </w:rPr>
        <w:t xml:space="preserve">  (brak wymogu badania sytuacji ekonomicznej przedsiębiorcy czy wnoszenia określonego poziomu wkładu własnego);</w:t>
      </w:r>
    </w:p>
    <w:p w14:paraId="27E33C8D" w14:textId="4B737D97" w:rsidR="00171204" w:rsidRPr="004542B8" w:rsidRDefault="0091343E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</w:rPr>
        <w:t xml:space="preserve">istotnym elementem </w:t>
      </w:r>
      <w:r>
        <w:rPr>
          <w:rFonts w:ascii="Arial" w:hAnsi="Arial" w:cs="Arial"/>
        </w:rPr>
        <w:t xml:space="preserve">nowego </w:t>
      </w:r>
      <w:r w:rsidRPr="004542B8">
        <w:rPr>
          <w:rFonts w:ascii="Arial" w:hAnsi="Arial" w:cs="Arial"/>
        </w:rPr>
        <w:t>syst</w:t>
      </w:r>
      <w:r>
        <w:rPr>
          <w:rFonts w:ascii="Arial" w:hAnsi="Arial" w:cs="Arial"/>
        </w:rPr>
        <w:t xml:space="preserve">emu ma być </w:t>
      </w:r>
      <w:r w:rsidR="00171204" w:rsidRPr="004542B8">
        <w:rPr>
          <w:rFonts w:ascii="Arial" w:hAnsi="Arial" w:cs="Arial"/>
        </w:rPr>
        <w:t xml:space="preserve">pomoc w diagnozowaniu potrzeb szkoleniowych danego przedsiębiorstwa - taką usługę przedsiębiorca będzie mógł wybrać w RUR </w:t>
      </w:r>
      <w:r w:rsidR="00633248" w:rsidRPr="004542B8">
        <w:rPr>
          <w:rFonts w:ascii="Arial" w:hAnsi="Arial" w:cs="Arial"/>
        </w:rPr>
        <w:t>z 100% dofinansowaniem</w:t>
      </w:r>
      <w:r w:rsidR="00171204" w:rsidRPr="004542B8">
        <w:rPr>
          <w:rFonts w:ascii="Arial" w:hAnsi="Arial" w:cs="Arial"/>
        </w:rPr>
        <w:t>. Ponadto, dostępna też będzie ścieżka indywidualna, w której przedsiębiorca otrzyma pomoc konsultanta np. w przygotowaniu biznes planu, zestawu usług, z których mógłby skorzystać oraz w pozyskaniu środków finansowych na ich zakup;</w:t>
      </w:r>
    </w:p>
    <w:p w14:paraId="5396C676" w14:textId="135B175B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</w:rPr>
        <w:t xml:space="preserve">na początkowym etapie, kiedy </w:t>
      </w:r>
      <w:r w:rsidR="0011506B" w:rsidRPr="004542B8">
        <w:rPr>
          <w:rFonts w:ascii="Arial" w:hAnsi="Arial" w:cs="Arial"/>
        </w:rPr>
        <w:t>w krótki</w:t>
      </w:r>
      <w:r w:rsidR="0011506B">
        <w:rPr>
          <w:rFonts w:ascii="Arial" w:hAnsi="Arial" w:cs="Arial"/>
        </w:rPr>
        <w:t>m</w:t>
      </w:r>
      <w:r w:rsidR="0011506B" w:rsidRPr="004542B8">
        <w:rPr>
          <w:rFonts w:ascii="Arial" w:hAnsi="Arial" w:cs="Arial"/>
        </w:rPr>
        <w:t xml:space="preserve"> czas</w:t>
      </w:r>
      <w:r w:rsidR="0011506B">
        <w:rPr>
          <w:rFonts w:ascii="Arial" w:hAnsi="Arial" w:cs="Arial"/>
        </w:rPr>
        <w:t xml:space="preserve">ie </w:t>
      </w:r>
      <w:r w:rsidRPr="004542B8">
        <w:rPr>
          <w:rFonts w:ascii="Arial" w:hAnsi="Arial" w:cs="Arial"/>
        </w:rPr>
        <w:t>może nastąpić koncentracja popytu na bony</w:t>
      </w:r>
      <w:r w:rsidR="0020107C">
        <w:rPr>
          <w:rFonts w:ascii="Arial" w:hAnsi="Arial" w:cs="Arial"/>
        </w:rPr>
        <w:t>/refundację</w:t>
      </w:r>
      <w:r w:rsidRPr="004542B8">
        <w:rPr>
          <w:rFonts w:ascii="Arial" w:hAnsi="Arial" w:cs="Arial"/>
        </w:rPr>
        <w:t xml:space="preserve"> ze strony przedsiębiorców, zaleca się wdrażanie </w:t>
      </w:r>
      <w:r w:rsidR="0011506B">
        <w:rPr>
          <w:rFonts w:ascii="Arial" w:hAnsi="Arial" w:cs="Arial"/>
        </w:rPr>
        <w:t xml:space="preserve">wsparcia </w:t>
      </w:r>
      <w:r w:rsidRPr="004542B8">
        <w:rPr>
          <w:rFonts w:ascii="Arial" w:hAnsi="Arial" w:cs="Arial"/>
        </w:rPr>
        <w:t>na zasadzie rund (np. 3-4 razy w roku), w ramach których instytucja regionalna udostępni określoną przez siebie pulę środków;</w:t>
      </w:r>
    </w:p>
    <w:p w14:paraId="5A488385" w14:textId="289BB834" w:rsidR="00171204" w:rsidRPr="004542B8" w:rsidRDefault="00171204" w:rsidP="00AF13E8">
      <w:pPr>
        <w:pStyle w:val="Tre"/>
        <w:numPr>
          <w:ilvl w:val="0"/>
          <w:numId w:val="9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</w:rPr>
        <w:t>w wyniku zdecydowanego stanowiska KE, duże firmy nie mogą być beneficjentami systemu usług rozwojowych.</w:t>
      </w:r>
      <w:r w:rsidRPr="004542B8">
        <w:rPr>
          <w:rFonts w:ascii="Arial" w:hAnsi="Arial" w:cs="Arial"/>
          <w:color w:val="auto"/>
        </w:rPr>
        <w:t xml:space="preserve"> P</w:t>
      </w:r>
      <w:r w:rsidRPr="004542B8">
        <w:rPr>
          <w:rFonts w:ascii="Arial" w:hAnsi="Arial" w:cs="Arial"/>
        </w:rPr>
        <w:t>oza tym, żadne przedsiębiorstwa (usługobiorcy) nie mogą zostać wykluczone ze wsparcia, np. na mocy przepisów na poziomie regionalnym;</w:t>
      </w:r>
    </w:p>
    <w:p w14:paraId="2AEA5950" w14:textId="15B3D18B" w:rsidR="00171204" w:rsidRPr="004542B8" w:rsidRDefault="00171204" w:rsidP="00AF13E8">
      <w:pPr>
        <w:pStyle w:val="Tre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>w konsultacjach nowego systemu, trwających już prawie 2 lata, bra</w:t>
      </w:r>
      <w:r w:rsidR="009B3685">
        <w:rPr>
          <w:rFonts w:ascii="Arial" w:hAnsi="Arial" w:cs="Arial"/>
          <w:color w:val="auto"/>
        </w:rPr>
        <w:t>li</w:t>
      </w:r>
      <w:r w:rsidRPr="004542B8">
        <w:rPr>
          <w:rFonts w:ascii="Arial" w:hAnsi="Arial" w:cs="Arial"/>
          <w:color w:val="auto"/>
        </w:rPr>
        <w:t xml:space="preserve"> udział przedstawiciele instytucji regionalnych, dla których </w:t>
      </w:r>
      <w:r w:rsidR="009B3685">
        <w:rPr>
          <w:rFonts w:ascii="Arial" w:hAnsi="Arial" w:cs="Arial"/>
          <w:color w:val="auto"/>
        </w:rPr>
        <w:t>opracowan</w:t>
      </w:r>
      <w:r w:rsidR="0011506B">
        <w:rPr>
          <w:rFonts w:ascii="Arial" w:hAnsi="Arial" w:cs="Arial"/>
          <w:color w:val="auto"/>
        </w:rPr>
        <w:t>o</w:t>
      </w:r>
      <w:r w:rsidR="009B3685" w:rsidRPr="004542B8">
        <w:rPr>
          <w:rFonts w:ascii="Arial" w:hAnsi="Arial" w:cs="Arial"/>
          <w:color w:val="auto"/>
        </w:rPr>
        <w:t xml:space="preserve"> </w:t>
      </w:r>
      <w:r w:rsidRPr="004542B8">
        <w:rPr>
          <w:rFonts w:ascii="Arial" w:hAnsi="Arial" w:cs="Arial"/>
          <w:color w:val="auto"/>
        </w:rPr>
        <w:t>specjalny podręcznik, przygotowujący je do wdrażania systemu</w:t>
      </w:r>
      <w:r w:rsidR="0011506B" w:rsidRPr="0011506B">
        <w:rPr>
          <w:rFonts w:ascii="Arial" w:hAnsi="Arial" w:cs="Arial"/>
          <w:color w:val="auto"/>
        </w:rPr>
        <w:t xml:space="preserve"> </w:t>
      </w:r>
      <w:r w:rsidR="0011506B" w:rsidRPr="004542B8">
        <w:rPr>
          <w:rFonts w:ascii="Arial" w:hAnsi="Arial" w:cs="Arial"/>
          <w:color w:val="auto"/>
        </w:rPr>
        <w:t>krok po kroku</w:t>
      </w:r>
      <w:r w:rsidRPr="004542B8">
        <w:rPr>
          <w:rFonts w:ascii="Arial" w:hAnsi="Arial" w:cs="Arial"/>
          <w:color w:val="auto"/>
        </w:rPr>
        <w:t xml:space="preserve">. Powstaną też wytyczne horyzontalne MIR, w których pojawią się zasady wdrażania podmiotowych systemów finansowania. Ponadto, wdrożenie systemów w regionach będzie sprawdzane pod względem przyjazności dla przedsiębiorców, m.in. za pomocą testu przygotowanego przez Konfederację Lewiatan („test Lewiatana”) – ocena systemu pod względem spełnienia określonych kryteriów, dostępność </w:t>
      </w:r>
      <w:r w:rsidR="004477EC" w:rsidRPr="004542B8">
        <w:rPr>
          <w:rFonts w:ascii="Arial" w:hAnsi="Arial" w:cs="Arial"/>
          <w:color w:val="auto"/>
        </w:rPr>
        <w:t>i łatwość korzystania przez MŚP. W</w:t>
      </w:r>
      <w:r w:rsidRPr="004542B8">
        <w:rPr>
          <w:rFonts w:ascii="Arial" w:hAnsi="Arial" w:cs="Arial"/>
          <w:color w:val="auto"/>
        </w:rPr>
        <w:t xml:space="preserve"> ciągu dwóch pierwszych lat funkcjonowania systemu przeprowadzone będzie </w:t>
      </w:r>
      <w:r w:rsidR="004477EC" w:rsidRPr="004542B8">
        <w:rPr>
          <w:rFonts w:ascii="Arial" w:hAnsi="Arial" w:cs="Arial"/>
          <w:color w:val="auto"/>
        </w:rPr>
        <w:t xml:space="preserve">głębsze badanie </w:t>
      </w:r>
      <w:r w:rsidRPr="004542B8">
        <w:rPr>
          <w:rFonts w:ascii="Arial" w:hAnsi="Arial" w:cs="Arial"/>
          <w:color w:val="auto"/>
        </w:rPr>
        <w:t>sprawdzają</w:t>
      </w:r>
      <w:r w:rsidR="004477EC" w:rsidRPr="004542B8">
        <w:rPr>
          <w:rFonts w:ascii="Arial" w:hAnsi="Arial" w:cs="Arial"/>
          <w:color w:val="auto"/>
        </w:rPr>
        <w:t xml:space="preserve">ce nowe rozwiązania, również pod kątem potrzeby </w:t>
      </w:r>
      <w:r w:rsidR="009B3685">
        <w:rPr>
          <w:rFonts w:ascii="Arial" w:hAnsi="Arial" w:cs="Arial"/>
          <w:color w:val="auto"/>
        </w:rPr>
        <w:t xml:space="preserve">wprowadzenia w nim </w:t>
      </w:r>
      <w:r w:rsidRPr="004542B8">
        <w:rPr>
          <w:rFonts w:ascii="Arial" w:hAnsi="Arial" w:cs="Arial"/>
          <w:color w:val="auto"/>
        </w:rPr>
        <w:t>zmian.</w:t>
      </w:r>
    </w:p>
    <w:p w14:paraId="7B711D4A" w14:textId="77777777" w:rsidR="00171204" w:rsidRPr="004542B8" w:rsidRDefault="00171204" w:rsidP="003D1C3D">
      <w:pPr>
        <w:pStyle w:val="Tre"/>
        <w:jc w:val="both"/>
        <w:rPr>
          <w:rFonts w:ascii="Arial" w:hAnsi="Arial" w:cs="Arial"/>
          <w:color w:val="auto"/>
        </w:rPr>
      </w:pPr>
    </w:p>
    <w:p w14:paraId="3D7D87CF" w14:textId="77777777" w:rsidR="00171204" w:rsidRPr="004542B8" w:rsidRDefault="005D32F6" w:rsidP="002D5057">
      <w:pPr>
        <w:pStyle w:val="Tre"/>
        <w:spacing w:before="120"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Wśród d</w:t>
      </w:r>
      <w:r w:rsidR="004477EC" w:rsidRPr="004542B8">
        <w:rPr>
          <w:rFonts w:ascii="Arial" w:hAnsi="Arial" w:cs="Arial"/>
        </w:rPr>
        <w:t>als</w:t>
      </w:r>
      <w:r w:rsidRPr="004542B8">
        <w:rPr>
          <w:rFonts w:ascii="Arial" w:hAnsi="Arial" w:cs="Arial"/>
        </w:rPr>
        <w:t>zych</w:t>
      </w:r>
      <w:r w:rsidR="004477EC" w:rsidRPr="004542B8">
        <w:rPr>
          <w:rFonts w:ascii="Arial" w:hAnsi="Arial" w:cs="Arial"/>
        </w:rPr>
        <w:t xml:space="preserve"> wątpliwości uczestników spotkania, dotycząc</w:t>
      </w:r>
      <w:r w:rsidRPr="004542B8">
        <w:rPr>
          <w:rFonts w:ascii="Arial" w:hAnsi="Arial" w:cs="Arial"/>
        </w:rPr>
        <w:t>ych</w:t>
      </w:r>
      <w:r w:rsidR="004477EC" w:rsidRPr="004542B8">
        <w:rPr>
          <w:rFonts w:ascii="Arial" w:hAnsi="Arial" w:cs="Arial"/>
        </w:rPr>
        <w:t xml:space="preserve"> nowego systemu wsparcia, </w:t>
      </w:r>
      <w:r w:rsidRPr="004542B8">
        <w:rPr>
          <w:rFonts w:ascii="Arial" w:hAnsi="Arial" w:cs="Arial"/>
        </w:rPr>
        <w:t xml:space="preserve">mówiono </w:t>
      </w:r>
      <w:r w:rsidR="004477EC" w:rsidRPr="004542B8">
        <w:rPr>
          <w:rFonts w:ascii="Arial" w:hAnsi="Arial" w:cs="Arial"/>
        </w:rPr>
        <w:t xml:space="preserve">m.in. </w:t>
      </w:r>
      <w:r w:rsidRPr="004542B8">
        <w:rPr>
          <w:rFonts w:ascii="Arial" w:hAnsi="Arial" w:cs="Arial"/>
        </w:rPr>
        <w:t>o</w:t>
      </w:r>
      <w:r w:rsidR="004477EC" w:rsidRPr="004542B8">
        <w:rPr>
          <w:rFonts w:ascii="Arial" w:hAnsi="Arial" w:cs="Arial"/>
        </w:rPr>
        <w:t>:</w:t>
      </w:r>
    </w:p>
    <w:p w14:paraId="13CFE7A5" w14:textId="2E7A6D68" w:rsidR="00171204" w:rsidRPr="004542B8" w:rsidRDefault="005D32F6" w:rsidP="00AF13E8">
      <w:pPr>
        <w:pStyle w:val="Tre"/>
        <w:numPr>
          <w:ilvl w:val="0"/>
          <w:numId w:val="10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ograniczeniu RUR </w:t>
      </w:r>
      <w:r w:rsidR="00171204" w:rsidRPr="004542B8">
        <w:rPr>
          <w:rFonts w:ascii="Arial" w:hAnsi="Arial" w:cs="Arial"/>
        </w:rPr>
        <w:t xml:space="preserve">do firm szkoleniowych z dłuższym doświadczeniem </w:t>
      </w:r>
      <w:r w:rsidRPr="004542B8">
        <w:rPr>
          <w:rFonts w:ascii="Arial" w:hAnsi="Arial" w:cs="Arial"/>
        </w:rPr>
        <w:t xml:space="preserve">– co może zamykać </w:t>
      </w:r>
      <w:r w:rsidR="00171204" w:rsidRPr="004542B8">
        <w:rPr>
          <w:rFonts w:ascii="Arial" w:hAnsi="Arial" w:cs="Arial"/>
        </w:rPr>
        <w:t xml:space="preserve">drogę rozwoju dla </w:t>
      </w:r>
      <w:r w:rsidRPr="004542B8">
        <w:rPr>
          <w:rFonts w:ascii="Arial" w:hAnsi="Arial" w:cs="Arial"/>
        </w:rPr>
        <w:t xml:space="preserve">przedsiębiorczych </w:t>
      </w:r>
      <w:r w:rsidR="00171204" w:rsidRPr="004542B8">
        <w:rPr>
          <w:rFonts w:ascii="Arial" w:hAnsi="Arial" w:cs="Arial"/>
        </w:rPr>
        <w:t>osób, które po zdobyciu doświadczenia w firmie szkoleniowej wychodzą z niej</w:t>
      </w:r>
      <w:r w:rsidR="0011506B">
        <w:rPr>
          <w:rFonts w:ascii="Arial" w:hAnsi="Arial" w:cs="Arial"/>
        </w:rPr>
        <w:t xml:space="preserve"> i</w:t>
      </w:r>
      <w:r w:rsidR="00171204" w:rsidRPr="004542B8">
        <w:rPr>
          <w:rFonts w:ascii="Arial" w:hAnsi="Arial" w:cs="Arial"/>
        </w:rPr>
        <w:t xml:space="preserve"> rozpoczynają własną działalność; </w:t>
      </w:r>
    </w:p>
    <w:p w14:paraId="29F65772" w14:textId="77777777" w:rsidR="005D32F6" w:rsidRPr="004542B8" w:rsidRDefault="005D32F6" w:rsidP="00AF13E8">
      <w:pPr>
        <w:pStyle w:val="Tre"/>
        <w:numPr>
          <w:ilvl w:val="0"/>
          <w:numId w:val="10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lastRenderedPageBreak/>
        <w:t>braku miejsca w systemie na specjalistyczne szkolenia wewnętrzne w przedsiębiorstwie, prowadzone przez jego własną kadrę - przedsiębiorstwo „nie szkoleniowe” nie spełni wymogów do wpisania się do RUR np. ze względu na brak doświadczenia szkoleniowego, oraz osiąganych z tego tytułu przychodów;</w:t>
      </w:r>
    </w:p>
    <w:p w14:paraId="6A857439" w14:textId="5D55726B" w:rsidR="00FB47BE" w:rsidRPr="004542B8" w:rsidRDefault="005D32F6" w:rsidP="00AF13E8">
      <w:pPr>
        <w:pStyle w:val="Tre"/>
        <w:numPr>
          <w:ilvl w:val="0"/>
          <w:numId w:val="10"/>
        </w:numPr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zależności skuteczności </w:t>
      </w:r>
      <w:r w:rsidR="00171204" w:rsidRPr="004542B8">
        <w:rPr>
          <w:rFonts w:ascii="Arial" w:hAnsi="Arial" w:cs="Arial"/>
        </w:rPr>
        <w:t xml:space="preserve">systemu od jego zarządzania i </w:t>
      </w:r>
      <w:r w:rsidRPr="004542B8">
        <w:rPr>
          <w:rFonts w:ascii="Arial" w:hAnsi="Arial" w:cs="Arial"/>
        </w:rPr>
        <w:t xml:space="preserve">stopnia </w:t>
      </w:r>
      <w:r w:rsidR="00171204" w:rsidRPr="004542B8">
        <w:rPr>
          <w:rFonts w:ascii="Arial" w:hAnsi="Arial" w:cs="Arial"/>
        </w:rPr>
        <w:t>biurokratyzacji w poszczególnych regionach</w:t>
      </w:r>
      <w:r w:rsidR="004477EC" w:rsidRPr="004542B8">
        <w:rPr>
          <w:rFonts w:ascii="Arial" w:hAnsi="Arial" w:cs="Arial"/>
        </w:rPr>
        <w:t xml:space="preserve">; </w:t>
      </w:r>
      <w:r w:rsidRPr="004542B8">
        <w:rPr>
          <w:rFonts w:ascii="Arial" w:hAnsi="Arial" w:cs="Arial"/>
        </w:rPr>
        <w:t xml:space="preserve">pytano </w:t>
      </w:r>
      <w:r w:rsidR="0011506B">
        <w:rPr>
          <w:rFonts w:ascii="Arial" w:hAnsi="Arial" w:cs="Arial"/>
        </w:rPr>
        <w:t xml:space="preserve">przy tym </w:t>
      </w:r>
      <w:r w:rsidRPr="004542B8">
        <w:rPr>
          <w:rFonts w:ascii="Arial" w:hAnsi="Arial" w:cs="Arial"/>
        </w:rPr>
        <w:t xml:space="preserve">o </w:t>
      </w:r>
      <w:r w:rsidR="00171204" w:rsidRPr="004542B8">
        <w:rPr>
          <w:rFonts w:ascii="Arial" w:hAnsi="Arial" w:cs="Arial"/>
        </w:rPr>
        <w:t>sytuacj</w:t>
      </w:r>
      <w:r w:rsidRPr="004542B8">
        <w:rPr>
          <w:rFonts w:ascii="Arial" w:hAnsi="Arial" w:cs="Arial"/>
        </w:rPr>
        <w:t>ę</w:t>
      </w:r>
      <w:r w:rsidR="00171204" w:rsidRPr="004542B8">
        <w:rPr>
          <w:rFonts w:ascii="Arial" w:hAnsi="Arial" w:cs="Arial"/>
        </w:rPr>
        <w:t xml:space="preserve">, w której </w:t>
      </w:r>
      <w:r w:rsidRPr="004542B8">
        <w:rPr>
          <w:rFonts w:ascii="Arial" w:hAnsi="Arial" w:cs="Arial"/>
        </w:rPr>
        <w:t>I</w:t>
      </w:r>
      <w:r w:rsidR="00171204" w:rsidRPr="004542B8">
        <w:rPr>
          <w:rFonts w:ascii="Arial" w:hAnsi="Arial" w:cs="Arial"/>
        </w:rPr>
        <w:t xml:space="preserve">Z </w:t>
      </w:r>
      <w:r w:rsidRPr="004542B8">
        <w:rPr>
          <w:rFonts w:ascii="Arial" w:hAnsi="Arial" w:cs="Arial"/>
        </w:rPr>
        <w:t>nie przewid</w:t>
      </w:r>
      <w:r w:rsidR="0011506B">
        <w:rPr>
          <w:rFonts w:ascii="Arial" w:hAnsi="Arial" w:cs="Arial"/>
        </w:rPr>
        <w:t>zi</w:t>
      </w:r>
      <w:r w:rsidR="00171204" w:rsidRPr="004542B8">
        <w:rPr>
          <w:rFonts w:ascii="Arial" w:hAnsi="Arial" w:cs="Arial"/>
        </w:rPr>
        <w:t xml:space="preserve"> w swoim </w:t>
      </w:r>
      <w:r w:rsidRPr="004542B8">
        <w:rPr>
          <w:rFonts w:ascii="Arial" w:hAnsi="Arial" w:cs="Arial"/>
        </w:rPr>
        <w:t>RPO</w:t>
      </w:r>
      <w:r w:rsidR="00171204" w:rsidRPr="004542B8">
        <w:rPr>
          <w:rFonts w:ascii="Arial" w:hAnsi="Arial" w:cs="Arial"/>
        </w:rPr>
        <w:t xml:space="preserve"> wsparcia w ramach priorytetu inwestycyjnego 8.9 (</w:t>
      </w:r>
      <w:r w:rsidR="00171204" w:rsidRPr="004542B8">
        <w:rPr>
          <w:rStyle w:val="st"/>
          <w:rFonts w:ascii="Arial" w:hAnsi="Arial" w:cs="Arial"/>
        </w:rPr>
        <w:t>Przystosowanie pracowników, przedsiębiorstw i przedsiębiorców do zmian</w:t>
      </w:r>
      <w:r w:rsidR="00171204" w:rsidRPr="004542B8">
        <w:rPr>
          <w:rFonts w:ascii="Arial" w:hAnsi="Arial" w:cs="Arial"/>
        </w:rPr>
        <w:t xml:space="preserve">), </w:t>
      </w:r>
      <w:r w:rsidR="004477EC" w:rsidRPr="004542B8">
        <w:rPr>
          <w:rFonts w:ascii="Arial" w:hAnsi="Arial" w:cs="Arial"/>
        </w:rPr>
        <w:t>tym samym uniemożliwiając przedsiębiorcom korzystanie ze wsparcia usług rozwojowych</w:t>
      </w:r>
      <w:r w:rsidRPr="004542B8">
        <w:rPr>
          <w:rFonts w:ascii="Arial" w:hAnsi="Arial" w:cs="Arial"/>
        </w:rPr>
        <w:t>.</w:t>
      </w:r>
    </w:p>
    <w:p w14:paraId="1CC8974F" w14:textId="77777777" w:rsidR="00326837" w:rsidRDefault="00326837" w:rsidP="00326837">
      <w:pPr>
        <w:pStyle w:val="Tre"/>
        <w:jc w:val="both"/>
        <w:rPr>
          <w:rFonts w:ascii="Arial" w:hAnsi="Arial" w:cs="Arial"/>
        </w:rPr>
      </w:pPr>
    </w:p>
    <w:p w14:paraId="04560F4F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74960DA8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3B96DC92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25988E4E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689801D4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2A8B0466" w14:textId="77777777" w:rsidR="00645CFF" w:rsidRDefault="00645CFF" w:rsidP="00326837">
      <w:pPr>
        <w:pStyle w:val="Tre"/>
        <w:jc w:val="both"/>
        <w:rPr>
          <w:rFonts w:ascii="Arial" w:hAnsi="Arial" w:cs="Arial"/>
        </w:rPr>
      </w:pPr>
    </w:p>
    <w:p w14:paraId="3234837D" w14:textId="77777777" w:rsidR="00645CFF" w:rsidRPr="004542B8" w:rsidRDefault="00645CFF" w:rsidP="00326837">
      <w:pPr>
        <w:pStyle w:val="Tre"/>
        <w:jc w:val="both"/>
        <w:rPr>
          <w:rFonts w:ascii="Arial" w:hAnsi="Arial" w:cs="Arial"/>
        </w:rPr>
      </w:pPr>
    </w:p>
    <w:p w14:paraId="56617B0E" w14:textId="77777777" w:rsidR="00326837" w:rsidRDefault="00326837" w:rsidP="00326837">
      <w:pPr>
        <w:pStyle w:val="Tre"/>
        <w:jc w:val="both"/>
        <w:rPr>
          <w:rFonts w:ascii="Arial" w:hAnsi="Arial" w:cs="Arial"/>
          <w:b/>
        </w:rPr>
      </w:pPr>
    </w:p>
    <w:p w14:paraId="6041D8C3" w14:textId="77777777" w:rsidR="00326837" w:rsidRPr="004542B8" w:rsidRDefault="00326837" w:rsidP="00AF13E8">
      <w:pPr>
        <w:pStyle w:val="Tre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542B8">
        <w:rPr>
          <w:rFonts w:ascii="Arial" w:hAnsi="Arial" w:cs="Arial"/>
          <w:b/>
        </w:rPr>
        <w:t>Ocena wsparcia  dla MSP w RPO 2007-2013 – podsumowanie doświadczeń, próba identyfikacji najlepszych praktyk</w:t>
      </w:r>
    </w:p>
    <w:p w14:paraId="59258B0D" w14:textId="77777777" w:rsidR="00326837" w:rsidRPr="004542B8" w:rsidRDefault="00326837" w:rsidP="00326837">
      <w:pPr>
        <w:pStyle w:val="Tre"/>
        <w:ind w:left="426"/>
        <w:jc w:val="both"/>
        <w:rPr>
          <w:rFonts w:ascii="Arial" w:hAnsi="Arial" w:cs="Arial"/>
        </w:rPr>
      </w:pPr>
    </w:p>
    <w:p w14:paraId="1054663D" w14:textId="77777777" w:rsidR="00326837" w:rsidRDefault="00326837" w:rsidP="00326837">
      <w:pPr>
        <w:pStyle w:val="Tre"/>
        <w:jc w:val="both"/>
        <w:rPr>
          <w:rFonts w:ascii="Arial" w:hAnsi="Arial" w:cs="Arial"/>
          <w:i/>
        </w:rPr>
      </w:pPr>
      <w:r w:rsidRPr="004542B8">
        <w:rPr>
          <w:rFonts w:ascii="Arial" w:hAnsi="Arial" w:cs="Arial"/>
          <w:i/>
        </w:rPr>
        <w:t xml:space="preserve">RPO Województwa Dolnośląskiego 2007-2013 </w:t>
      </w:r>
    </w:p>
    <w:p w14:paraId="10E2F6F3" w14:textId="77777777" w:rsidR="002D5057" w:rsidRPr="004542B8" w:rsidRDefault="002D5057" w:rsidP="00326837">
      <w:pPr>
        <w:pStyle w:val="Tre"/>
        <w:jc w:val="both"/>
        <w:rPr>
          <w:rFonts w:ascii="Arial" w:hAnsi="Arial" w:cs="Arial"/>
          <w:i/>
        </w:rPr>
      </w:pPr>
    </w:p>
    <w:p w14:paraId="6E287203" w14:textId="77777777" w:rsidR="00326837" w:rsidRPr="004542B8" w:rsidRDefault="00326837" w:rsidP="00E17C38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  <w:b/>
        </w:rPr>
        <w:t xml:space="preserve">Renata Granowska, </w:t>
      </w:r>
      <w:r w:rsidRPr="004542B8">
        <w:rPr>
          <w:rFonts w:ascii="Arial" w:hAnsi="Arial" w:cs="Arial"/>
          <w:b/>
          <w:bCs/>
        </w:rPr>
        <w:t>Dyrektor Dolnośląskiej Instytucji Pośredniczącej</w:t>
      </w:r>
      <w:r w:rsidRPr="004542B8">
        <w:rPr>
          <w:rFonts w:ascii="Arial" w:hAnsi="Arial" w:cs="Arial"/>
          <w:bCs/>
        </w:rPr>
        <w:t>,</w:t>
      </w:r>
      <w:r w:rsidRPr="004542B8">
        <w:rPr>
          <w:rFonts w:ascii="Arial" w:hAnsi="Arial" w:cs="Arial"/>
          <w:bCs/>
          <w:i/>
        </w:rPr>
        <w:t xml:space="preserve"> </w:t>
      </w:r>
      <w:r w:rsidRPr="004542B8">
        <w:rPr>
          <w:rFonts w:ascii="Arial" w:hAnsi="Arial" w:cs="Arial"/>
          <w:bCs/>
        </w:rPr>
        <w:t>p</w:t>
      </w:r>
      <w:r w:rsidRPr="004542B8">
        <w:rPr>
          <w:rFonts w:ascii="Arial" w:hAnsi="Arial" w:cs="Arial"/>
        </w:rPr>
        <w:t>rzedstawiła informacje dotyczące wdrażania wsparcia  dla MSP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</w:rPr>
        <w:t>w RPO WD 2007-2013 z punktu widzenia Dolnośląskiej Instytucji Pośredniczącej (DIP);</w:t>
      </w:r>
    </w:p>
    <w:p w14:paraId="20AABD9A" w14:textId="77777777" w:rsidR="00326837" w:rsidRPr="004542B8" w:rsidRDefault="00326837" w:rsidP="00AF13E8">
      <w:pPr>
        <w:pStyle w:val="Tre"/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DIP wdraża część Priorytetu I RPO WD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  <w:bCs/>
        </w:rPr>
        <w:t>„Przedsiębiorstwa i innowacyjność”</w:t>
      </w:r>
      <w:r w:rsidRPr="004542B8">
        <w:rPr>
          <w:rFonts w:ascii="Arial" w:hAnsi="Arial" w:cs="Arial"/>
        </w:rPr>
        <w:t xml:space="preserve"> oraz część Priorytetu V RPO WD </w:t>
      </w:r>
      <w:r w:rsidRPr="004542B8">
        <w:rPr>
          <w:rFonts w:ascii="Arial" w:hAnsi="Arial" w:cs="Arial"/>
          <w:bCs/>
        </w:rPr>
        <w:t>„Energetyka”;</w:t>
      </w:r>
    </w:p>
    <w:p w14:paraId="51386E9F" w14:textId="74A793EA" w:rsidR="00326837" w:rsidRPr="004542B8" w:rsidRDefault="00326837" w:rsidP="00AF13E8">
      <w:pPr>
        <w:pStyle w:val="Tre"/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działaniami RPO WD </w:t>
      </w:r>
      <w:r w:rsidRPr="004542B8">
        <w:rPr>
          <w:rFonts w:ascii="Arial" w:hAnsi="Arial" w:cs="Arial"/>
          <w:bCs/>
        </w:rPr>
        <w:t>2007-2013</w:t>
      </w:r>
      <w:r w:rsidRPr="004542B8">
        <w:rPr>
          <w:rFonts w:ascii="Arial" w:hAnsi="Arial" w:cs="Arial"/>
        </w:rPr>
        <w:t xml:space="preserve"> wdrażanymi przez DIP były:</w:t>
      </w:r>
      <w:r w:rsidRPr="004542B8">
        <w:rPr>
          <w:rFonts w:ascii="Arial" w:hAnsi="Arial" w:cs="Arial"/>
          <w:bCs/>
        </w:rPr>
        <w:t xml:space="preserve"> </w:t>
      </w:r>
      <w:r w:rsidRPr="004542B8">
        <w:rPr>
          <w:rFonts w:ascii="Arial" w:hAnsi="Arial" w:cs="Arial"/>
        </w:rPr>
        <w:t xml:space="preserve">1.1 </w:t>
      </w:r>
      <w:r w:rsidR="00B84750">
        <w:rPr>
          <w:rFonts w:ascii="Arial" w:hAnsi="Arial" w:cs="Arial"/>
        </w:rPr>
        <w:t>„</w:t>
      </w:r>
      <w:r w:rsidRPr="004542B8">
        <w:rPr>
          <w:rFonts w:ascii="Arial" w:hAnsi="Arial" w:cs="Arial"/>
        </w:rPr>
        <w:t>Inwestycje dla przedsiębiorstw</w:t>
      </w:r>
      <w:r w:rsidR="00B84750">
        <w:rPr>
          <w:rFonts w:ascii="Arial" w:hAnsi="Arial" w:cs="Arial"/>
        </w:rPr>
        <w:t>”</w:t>
      </w:r>
      <w:r w:rsidRPr="004542B8">
        <w:rPr>
          <w:rFonts w:ascii="Arial" w:hAnsi="Arial" w:cs="Arial"/>
        </w:rPr>
        <w:t xml:space="preserve">; 1.2 </w:t>
      </w:r>
      <w:r w:rsidR="00B84750">
        <w:rPr>
          <w:rFonts w:ascii="Arial" w:hAnsi="Arial" w:cs="Arial"/>
        </w:rPr>
        <w:t>„</w:t>
      </w:r>
      <w:r w:rsidRPr="004542B8">
        <w:rPr>
          <w:rFonts w:ascii="Arial" w:hAnsi="Arial" w:cs="Arial"/>
        </w:rPr>
        <w:t>Doradztwo dla firm oraz wsparcie dla Instytucji Otoczenia Biznesu</w:t>
      </w:r>
      <w:r w:rsidR="00B84750">
        <w:rPr>
          <w:rFonts w:ascii="Arial" w:hAnsi="Arial" w:cs="Arial"/>
        </w:rPr>
        <w:t>”</w:t>
      </w:r>
      <w:r w:rsidRPr="004542B8">
        <w:rPr>
          <w:rFonts w:ascii="Arial" w:hAnsi="Arial" w:cs="Arial"/>
        </w:rPr>
        <w:t xml:space="preserve">; 5.1 </w:t>
      </w:r>
      <w:r w:rsidR="00B84750">
        <w:rPr>
          <w:rFonts w:ascii="Arial" w:hAnsi="Arial" w:cs="Arial"/>
        </w:rPr>
        <w:t>„</w:t>
      </w:r>
      <w:r w:rsidRPr="004542B8">
        <w:rPr>
          <w:rFonts w:ascii="Arial" w:hAnsi="Arial" w:cs="Arial"/>
        </w:rPr>
        <w:t>Odnawialne źródła energii</w:t>
      </w:r>
      <w:r w:rsidR="00B84750">
        <w:rPr>
          <w:rFonts w:ascii="Arial" w:hAnsi="Arial" w:cs="Arial"/>
        </w:rPr>
        <w:t>”</w:t>
      </w:r>
      <w:r w:rsidRPr="004542B8">
        <w:rPr>
          <w:rFonts w:ascii="Arial" w:hAnsi="Arial" w:cs="Arial"/>
        </w:rPr>
        <w:t xml:space="preserve">; 5.3 </w:t>
      </w:r>
      <w:r w:rsidR="00B84750">
        <w:rPr>
          <w:rFonts w:ascii="Arial" w:hAnsi="Arial" w:cs="Arial"/>
        </w:rPr>
        <w:t>„</w:t>
      </w:r>
      <w:r w:rsidRPr="004542B8">
        <w:rPr>
          <w:rFonts w:ascii="Arial" w:hAnsi="Arial" w:cs="Arial"/>
        </w:rPr>
        <w:t>Ciepłownictwo i kogeneracja</w:t>
      </w:r>
      <w:r w:rsidR="00B84750">
        <w:rPr>
          <w:rFonts w:ascii="Arial" w:hAnsi="Arial" w:cs="Arial"/>
        </w:rPr>
        <w:t>”</w:t>
      </w:r>
      <w:r w:rsidRPr="004542B8">
        <w:rPr>
          <w:rFonts w:ascii="Arial" w:hAnsi="Arial" w:cs="Arial"/>
        </w:rPr>
        <w:t>. Budżet DIP (wkład wspólnotowy) na ww działania wynosił 188,1 mln EUR;</w:t>
      </w:r>
    </w:p>
    <w:p w14:paraId="7CF8B402" w14:textId="77777777" w:rsidR="00326837" w:rsidRPr="004542B8" w:rsidRDefault="00326837" w:rsidP="00AF13E8">
      <w:pPr>
        <w:pStyle w:val="Tre"/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w województwie dolnośląskim zarejestrowanych jest </w:t>
      </w:r>
      <w:r w:rsidRPr="004542B8">
        <w:rPr>
          <w:rFonts w:ascii="Arial" w:hAnsi="Arial" w:cs="Arial"/>
          <w:bCs/>
        </w:rPr>
        <w:t xml:space="preserve">347 561 </w:t>
      </w:r>
      <w:r w:rsidRPr="004542B8">
        <w:rPr>
          <w:rFonts w:ascii="Arial" w:hAnsi="Arial" w:cs="Arial"/>
        </w:rPr>
        <w:t>podmiotów gospodarczych (wg REGON na 31.12.2013), z czego beneficjentami DIP było 760 podmiotów: 307 mikro, 238 małych, 178 średnich, 36 dużych oraz 1 stowarzyszenie;</w:t>
      </w:r>
    </w:p>
    <w:p w14:paraId="6C1EA04B" w14:textId="77777777" w:rsidR="00326837" w:rsidRPr="004542B8" w:rsidRDefault="00326837" w:rsidP="00AF13E8">
      <w:pPr>
        <w:pStyle w:val="Tre"/>
        <w:numPr>
          <w:ilvl w:val="0"/>
          <w:numId w:val="12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beneficjenci DIP reprezentowali następujące branże: nieokreślony przemysł  wytwórczy – 240 podmiotów; hotele i restauracje – 146; handel hurtowy i detaliczny – 42; budownictwo – 29; produkcja produktów żywnościowych i napojów – 26; działalność w zakresie ochrony zdrowia ludzkiego – 26; wytwarzanie i dystrybucja energii elektrycznej , gazu i ciepła – 23;</w:t>
      </w:r>
    </w:p>
    <w:p w14:paraId="6DF848EA" w14:textId="77777777" w:rsidR="00326837" w:rsidRPr="004542B8" w:rsidRDefault="00326837" w:rsidP="00AF13E8">
      <w:pPr>
        <w:pStyle w:val="Tre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  <w:bCs/>
        </w:rPr>
        <w:t>na dzień 30 maja 2014 r.</w:t>
      </w:r>
      <w:r w:rsidRPr="004542B8">
        <w:rPr>
          <w:rFonts w:ascii="Arial" w:hAnsi="Arial" w:cs="Arial"/>
        </w:rPr>
        <w:t xml:space="preserve"> DIP przeprowadziło </w:t>
      </w:r>
      <w:r w:rsidRPr="004542B8">
        <w:rPr>
          <w:rFonts w:ascii="Arial" w:hAnsi="Arial" w:cs="Arial"/>
          <w:bCs/>
        </w:rPr>
        <w:t xml:space="preserve">31 </w:t>
      </w:r>
      <w:r w:rsidRPr="004542B8">
        <w:rPr>
          <w:rFonts w:ascii="Arial" w:hAnsi="Arial" w:cs="Arial"/>
        </w:rPr>
        <w:t xml:space="preserve">konkursów; złożono </w:t>
      </w:r>
      <w:r w:rsidRPr="004542B8">
        <w:rPr>
          <w:rFonts w:ascii="Arial" w:hAnsi="Arial" w:cs="Arial"/>
          <w:bCs/>
        </w:rPr>
        <w:t xml:space="preserve">2353 </w:t>
      </w:r>
      <w:r w:rsidRPr="004542B8">
        <w:rPr>
          <w:rFonts w:ascii="Arial" w:hAnsi="Arial" w:cs="Arial"/>
        </w:rPr>
        <w:t xml:space="preserve">wniosków na projekty o wartości  </w:t>
      </w:r>
      <w:r w:rsidRPr="004542B8">
        <w:rPr>
          <w:rFonts w:ascii="Arial" w:hAnsi="Arial" w:cs="Arial"/>
          <w:bCs/>
        </w:rPr>
        <w:t xml:space="preserve">5,6 mld zł ; </w:t>
      </w:r>
      <w:r w:rsidRPr="004542B8">
        <w:rPr>
          <w:rFonts w:ascii="Arial" w:hAnsi="Arial" w:cs="Arial"/>
        </w:rPr>
        <w:t xml:space="preserve">podpisano </w:t>
      </w:r>
      <w:r w:rsidRPr="004542B8">
        <w:rPr>
          <w:rFonts w:ascii="Arial" w:hAnsi="Arial" w:cs="Arial"/>
          <w:bCs/>
        </w:rPr>
        <w:t xml:space="preserve">913 </w:t>
      </w:r>
      <w:r w:rsidRPr="004542B8">
        <w:rPr>
          <w:rFonts w:ascii="Arial" w:hAnsi="Arial" w:cs="Arial"/>
        </w:rPr>
        <w:t xml:space="preserve">umów na wartość </w:t>
      </w:r>
      <w:r w:rsidRPr="004542B8">
        <w:rPr>
          <w:rFonts w:ascii="Arial" w:hAnsi="Arial" w:cs="Arial"/>
          <w:bCs/>
        </w:rPr>
        <w:t>2,6 mld zł; zrealizowano i/lub zakończono 760 inwestycji.</w:t>
      </w:r>
    </w:p>
    <w:p w14:paraId="691239F5" w14:textId="14C81176" w:rsidR="00326837" w:rsidRPr="004542B8" w:rsidRDefault="00567721" w:rsidP="00326837">
      <w:pPr>
        <w:pStyle w:val="Tre"/>
        <w:jc w:val="both"/>
        <w:rPr>
          <w:rFonts w:ascii="Arial" w:hAnsi="Arial" w:cs="Arial"/>
          <w:b/>
          <w:color w:val="244061" w:themeColor="accent1" w:themeShade="80"/>
        </w:rPr>
      </w:pPr>
      <w:r w:rsidRPr="004542B8">
        <w:rPr>
          <w:rFonts w:ascii="Arial" w:hAnsi="Arial" w:cs="Arial"/>
        </w:rPr>
        <w:t>O</w:t>
      </w:r>
      <w:r w:rsidR="00326837" w:rsidRPr="004542B8">
        <w:rPr>
          <w:rFonts w:ascii="Arial" w:hAnsi="Arial" w:cs="Arial"/>
        </w:rPr>
        <w:t>mówi</w:t>
      </w:r>
      <w:r w:rsidRPr="004542B8">
        <w:rPr>
          <w:rFonts w:ascii="Arial" w:hAnsi="Arial" w:cs="Arial"/>
        </w:rPr>
        <w:t>ono</w:t>
      </w:r>
      <w:r w:rsidR="00326837" w:rsidRPr="004542B8">
        <w:rPr>
          <w:rFonts w:ascii="Arial" w:hAnsi="Arial" w:cs="Arial"/>
        </w:rPr>
        <w:t xml:space="preserve"> rezultaty wdrożenia RPO WD dla ww działań w oparciu o wskaźniki zrealizowane na dzień 30.05.2014, związane m.in. z liczbą utworzonych miejsc pracy w MSP</w:t>
      </w:r>
      <w:r w:rsidRPr="004542B8">
        <w:rPr>
          <w:rFonts w:ascii="Arial" w:hAnsi="Arial" w:cs="Arial"/>
        </w:rPr>
        <w:t xml:space="preserve">. </w:t>
      </w:r>
      <w:r w:rsidR="00326837" w:rsidRPr="004542B8">
        <w:rPr>
          <w:rFonts w:ascii="Arial" w:hAnsi="Arial" w:cs="Arial"/>
        </w:rPr>
        <w:t>Zwraca</w:t>
      </w:r>
      <w:r w:rsidRPr="004542B8">
        <w:rPr>
          <w:rFonts w:ascii="Arial" w:hAnsi="Arial" w:cs="Arial"/>
        </w:rPr>
        <w:t>no uwagę na trudności, jakie wiążą się z realizacją</w:t>
      </w:r>
      <w:r w:rsidR="00326837" w:rsidRPr="004542B8">
        <w:rPr>
          <w:rFonts w:ascii="Arial" w:hAnsi="Arial" w:cs="Arial"/>
        </w:rPr>
        <w:t xml:space="preserve"> wskaźnika zatrudnieniowego, m.in. małe możliwości zatrudniania dodatkowych pracowników przez mikroprzedsiębiorstwa </w:t>
      </w:r>
      <w:r w:rsidRPr="004542B8">
        <w:rPr>
          <w:rFonts w:ascii="Arial" w:hAnsi="Arial" w:cs="Arial"/>
        </w:rPr>
        <w:t>otrzymujące dotacj</w:t>
      </w:r>
      <w:r w:rsidR="00B84750">
        <w:rPr>
          <w:rFonts w:ascii="Arial" w:hAnsi="Arial" w:cs="Arial"/>
        </w:rPr>
        <w:t>e o małej wartości oraz</w:t>
      </w:r>
      <w:r w:rsidR="00326837" w:rsidRPr="004542B8">
        <w:rPr>
          <w:rFonts w:ascii="Arial" w:hAnsi="Arial" w:cs="Arial"/>
        </w:rPr>
        <w:t xml:space="preserve"> brak możliwości objęcia wskaźnikiem umów cywilnoprawnych</w:t>
      </w:r>
      <w:r w:rsidR="008C5F73">
        <w:rPr>
          <w:rFonts w:ascii="Arial" w:hAnsi="Arial" w:cs="Arial"/>
        </w:rPr>
        <w:t xml:space="preserve"> i </w:t>
      </w:r>
      <w:r w:rsidR="00326837" w:rsidRPr="004542B8">
        <w:rPr>
          <w:rFonts w:ascii="Arial" w:hAnsi="Arial" w:cs="Arial"/>
        </w:rPr>
        <w:t xml:space="preserve">kontraktów menedżerskich. </w:t>
      </w:r>
    </w:p>
    <w:p w14:paraId="7B465D11" w14:textId="77777777" w:rsidR="00326837" w:rsidRPr="004542B8" w:rsidRDefault="00326837" w:rsidP="00326837">
      <w:pPr>
        <w:pStyle w:val="Tre"/>
        <w:jc w:val="both"/>
        <w:rPr>
          <w:rFonts w:ascii="Arial" w:hAnsi="Arial" w:cs="Arial"/>
          <w:b/>
          <w:color w:val="FF0000"/>
        </w:rPr>
      </w:pPr>
    </w:p>
    <w:p w14:paraId="556D590C" w14:textId="77777777" w:rsidR="00326837" w:rsidRPr="004542B8" w:rsidRDefault="00326837" w:rsidP="002D5057">
      <w:pPr>
        <w:pStyle w:val="Tre"/>
        <w:spacing w:after="60"/>
        <w:jc w:val="both"/>
        <w:rPr>
          <w:rFonts w:ascii="Arial" w:hAnsi="Arial" w:cs="Arial"/>
          <w:bCs/>
          <w:color w:val="auto"/>
        </w:rPr>
      </w:pPr>
      <w:r w:rsidRPr="004542B8">
        <w:rPr>
          <w:rFonts w:ascii="Arial" w:hAnsi="Arial" w:cs="Arial"/>
        </w:rPr>
        <w:t xml:space="preserve">W </w:t>
      </w:r>
      <w:r w:rsidRPr="004542B8">
        <w:rPr>
          <w:rFonts w:ascii="Arial" w:hAnsi="Arial" w:cs="Arial"/>
          <w:color w:val="auto"/>
        </w:rPr>
        <w:t xml:space="preserve">dalszej kolejności zaprezentowano plany związane z nowym RPO WD na lata </w:t>
      </w:r>
      <w:r w:rsidRPr="004542B8">
        <w:rPr>
          <w:rFonts w:ascii="Arial" w:hAnsi="Arial" w:cs="Arial"/>
          <w:bCs/>
          <w:color w:val="auto"/>
        </w:rPr>
        <w:t>2014-2020:</w:t>
      </w:r>
    </w:p>
    <w:p w14:paraId="5EFE1592" w14:textId="77777777" w:rsidR="00326837" w:rsidRPr="004542B8" w:rsidRDefault="00326837" w:rsidP="00AF13E8">
      <w:pPr>
        <w:pStyle w:val="Tre"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>w nowym programie przewiduje się utrzymanie w DIP wsparcia innowacyjnych przedsiębiorstw, rozwoju przedsiębiorczości, internacjonalizacji, rozwoju produktów i usług MŚP, efektywności energetycznej, OZE oraz wysokosprawnej kogeneracji;</w:t>
      </w:r>
    </w:p>
    <w:p w14:paraId="548E77AD" w14:textId="6DEF9697" w:rsidR="00326837" w:rsidRPr="004542B8" w:rsidRDefault="00326837" w:rsidP="00AF13E8">
      <w:pPr>
        <w:pStyle w:val="Tre"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lastRenderedPageBreak/>
        <w:t>dodatkowo do DIP włączono „adaptacyjność pracowników, przedsiębior</w:t>
      </w:r>
      <w:r w:rsidR="00866073" w:rsidRPr="004542B8">
        <w:rPr>
          <w:rFonts w:ascii="Arial" w:hAnsi="Arial" w:cs="Arial"/>
          <w:color w:val="auto"/>
        </w:rPr>
        <w:t>stw i przedsiębiorców do zmian”</w:t>
      </w:r>
      <w:r w:rsidR="00B84750">
        <w:rPr>
          <w:rFonts w:ascii="Arial" w:hAnsi="Arial" w:cs="Arial"/>
          <w:color w:val="auto"/>
        </w:rPr>
        <w:t>,</w:t>
      </w:r>
      <w:r w:rsidR="00866073" w:rsidRPr="004542B8">
        <w:rPr>
          <w:rFonts w:ascii="Arial" w:hAnsi="Arial" w:cs="Arial"/>
          <w:color w:val="auto"/>
        </w:rPr>
        <w:t xml:space="preserve"> </w:t>
      </w:r>
      <w:r w:rsidR="00B84750">
        <w:rPr>
          <w:rFonts w:ascii="Arial" w:hAnsi="Arial" w:cs="Arial"/>
          <w:color w:val="auto"/>
        </w:rPr>
        <w:t xml:space="preserve">co </w:t>
      </w:r>
      <w:r w:rsidRPr="004542B8">
        <w:rPr>
          <w:rFonts w:ascii="Arial" w:hAnsi="Arial" w:cs="Arial"/>
          <w:color w:val="auto"/>
        </w:rPr>
        <w:t xml:space="preserve">ma zapewnić bardziej kompleksową obsługę przedsiębiorców poszukujących wsparcia, </w:t>
      </w:r>
      <w:r w:rsidR="00866073" w:rsidRPr="004542B8">
        <w:rPr>
          <w:rFonts w:ascii="Arial" w:hAnsi="Arial" w:cs="Arial"/>
          <w:color w:val="auto"/>
        </w:rPr>
        <w:t>również współfinansowane</w:t>
      </w:r>
      <w:r w:rsidR="00B84750">
        <w:rPr>
          <w:rFonts w:ascii="Arial" w:hAnsi="Arial" w:cs="Arial"/>
          <w:color w:val="auto"/>
        </w:rPr>
        <w:t>go</w:t>
      </w:r>
      <w:r w:rsidR="00866073" w:rsidRPr="004542B8">
        <w:rPr>
          <w:rFonts w:ascii="Arial" w:hAnsi="Arial" w:cs="Arial"/>
          <w:color w:val="auto"/>
        </w:rPr>
        <w:t xml:space="preserve"> z EFS </w:t>
      </w:r>
      <w:r w:rsidRPr="004542B8">
        <w:rPr>
          <w:rFonts w:ascii="Arial" w:hAnsi="Arial" w:cs="Arial"/>
          <w:color w:val="auto"/>
        </w:rPr>
        <w:t>(do tej pory znajdowało się ono w Wojewódzkim Urzędzie Pracy);</w:t>
      </w:r>
    </w:p>
    <w:p w14:paraId="7892086D" w14:textId="77777777" w:rsidR="00326837" w:rsidRPr="004542B8" w:rsidRDefault="00326837" w:rsidP="00AF13E8">
      <w:pPr>
        <w:pStyle w:val="Tre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bCs/>
        </w:rPr>
        <w:t xml:space="preserve">przewiduje się, że budżet DIP (wkład wspólnotowy) na realizację </w:t>
      </w:r>
      <w:r w:rsidR="00866073" w:rsidRPr="004542B8">
        <w:rPr>
          <w:rFonts w:ascii="Arial" w:hAnsi="Arial" w:cs="Arial"/>
          <w:bCs/>
        </w:rPr>
        <w:t>działań dla przedsiębiorców wyniesie</w:t>
      </w:r>
      <w:r w:rsidRPr="004542B8">
        <w:rPr>
          <w:rFonts w:ascii="Arial" w:hAnsi="Arial" w:cs="Arial"/>
          <w:bCs/>
        </w:rPr>
        <w:t xml:space="preserve"> ok. 493,6 mln euro (372,4 mln euro na oś I</w:t>
      </w:r>
      <w:r w:rsidR="00866073" w:rsidRPr="004542B8">
        <w:rPr>
          <w:rFonts w:ascii="Arial" w:hAnsi="Arial" w:cs="Arial"/>
          <w:bCs/>
        </w:rPr>
        <w:t xml:space="preserve"> </w:t>
      </w:r>
      <w:r w:rsidR="00866073" w:rsidRPr="004542B8">
        <w:rPr>
          <w:rFonts w:ascii="Arial" w:hAnsi="Arial" w:cs="Arial"/>
          <w:color w:val="auto"/>
        </w:rPr>
        <w:t>„Przedsiębiorstwa i innowacje”</w:t>
      </w:r>
      <w:r w:rsidRPr="004542B8">
        <w:rPr>
          <w:rFonts w:ascii="Arial" w:hAnsi="Arial" w:cs="Arial"/>
          <w:bCs/>
        </w:rPr>
        <w:t>; 97,2 mln euro na oś III</w:t>
      </w:r>
      <w:r w:rsidR="00866073" w:rsidRPr="004542B8">
        <w:rPr>
          <w:rFonts w:ascii="Arial" w:hAnsi="Arial" w:cs="Arial"/>
          <w:bCs/>
        </w:rPr>
        <w:t xml:space="preserve"> </w:t>
      </w:r>
      <w:r w:rsidR="00866073" w:rsidRPr="004542B8">
        <w:rPr>
          <w:rFonts w:ascii="Arial" w:hAnsi="Arial" w:cs="Arial"/>
        </w:rPr>
        <w:t>„</w:t>
      </w:r>
      <w:r w:rsidR="00866073" w:rsidRPr="004542B8">
        <w:rPr>
          <w:rFonts w:ascii="Arial" w:hAnsi="Arial" w:cs="Arial"/>
          <w:bCs/>
        </w:rPr>
        <w:t>Gospodarka niskoemisyjna”</w:t>
      </w:r>
      <w:r w:rsidRPr="004542B8">
        <w:rPr>
          <w:rFonts w:ascii="Arial" w:hAnsi="Arial" w:cs="Arial"/>
          <w:bCs/>
        </w:rPr>
        <w:t>; 23,9 mln euro na oś VIII</w:t>
      </w:r>
      <w:r w:rsidR="00866073" w:rsidRPr="004542B8">
        <w:rPr>
          <w:rFonts w:ascii="Arial" w:hAnsi="Arial" w:cs="Arial"/>
          <w:bCs/>
        </w:rPr>
        <w:t xml:space="preserve"> </w:t>
      </w:r>
      <w:r w:rsidR="00866073" w:rsidRPr="004542B8">
        <w:rPr>
          <w:rFonts w:ascii="Arial" w:hAnsi="Arial" w:cs="Arial"/>
        </w:rPr>
        <w:t>„</w:t>
      </w:r>
      <w:r w:rsidR="00866073" w:rsidRPr="004542B8">
        <w:rPr>
          <w:rFonts w:ascii="Arial" w:hAnsi="Arial" w:cs="Arial"/>
          <w:bCs/>
        </w:rPr>
        <w:t>Rynek pracy”</w:t>
      </w:r>
      <w:r w:rsidRPr="004542B8">
        <w:rPr>
          <w:rFonts w:ascii="Arial" w:hAnsi="Arial" w:cs="Arial"/>
          <w:bCs/>
        </w:rPr>
        <w:t>);</w:t>
      </w:r>
      <w:r w:rsidR="00866073" w:rsidRPr="004542B8">
        <w:rPr>
          <w:rFonts w:ascii="Arial" w:hAnsi="Arial" w:cs="Arial"/>
          <w:bCs/>
        </w:rPr>
        <w:t xml:space="preserve"> </w:t>
      </w:r>
      <w:r w:rsidRPr="004542B8">
        <w:rPr>
          <w:rFonts w:ascii="Arial" w:hAnsi="Arial" w:cs="Arial"/>
          <w:bCs/>
        </w:rPr>
        <w:t>zaprezentowano kierunki wsparcia oraz grupy beneficjentów dla priorytetów inwestycyjnych</w:t>
      </w:r>
      <w:r w:rsidR="00866073" w:rsidRPr="004542B8">
        <w:rPr>
          <w:rFonts w:ascii="Arial" w:hAnsi="Arial" w:cs="Arial"/>
          <w:bCs/>
        </w:rPr>
        <w:t xml:space="preserve"> ww osi</w:t>
      </w:r>
      <w:r w:rsidRPr="004542B8">
        <w:rPr>
          <w:rFonts w:ascii="Arial" w:hAnsi="Arial" w:cs="Arial"/>
          <w:bCs/>
        </w:rPr>
        <w:t>, które realizować będzie IP.</w:t>
      </w:r>
    </w:p>
    <w:p w14:paraId="155A42F9" w14:textId="77777777" w:rsidR="00326837" w:rsidRPr="004542B8" w:rsidRDefault="00326837" w:rsidP="00326837">
      <w:pPr>
        <w:pStyle w:val="Tre"/>
        <w:jc w:val="both"/>
        <w:rPr>
          <w:rFonts w:ascii="Arial" w:hAnsi="Arial" w:cs="Arial"/>
          <w:b/>
          <w:bCs/>
        </w:rPr>
      </w:pPr>
    </w:p>
    <w:p w14:paraId="42C80A39" w14:textId="77777777" w:rsidR="00326837" w:rsidRPr="004542B8" w:rsidRDefault="00326837" w:rsidP="002D5057">
      <w:pPr>
        <w:pStyle w:val="Tre"/>
        <w:spacing w:after="60"/>
        <w:jc w:val="both"/>
        <w:rPr>
          <w:rFonts w:ascii="Arial" w:hAnsi="Arial" w:cs="Arial"/>
          <w:b/>
        </w:rPr>
      </w:pPr>
      <w:r w:rsidRPr="004542B8">
        <w:rPr>
          <w:rFonts w:ascii="Arial" w:hAnsi="Arial" w:cs="Arial"/>
        </w:rPr>
        <w:t xml:space="preserve">W czasie prezentacji uczestnicy spotkania zabierali głos </w:t>
      </w:r>
      <w:r w:rsidR="00866073" w:rsidRPr="004542B8">
        <w:rPr>
          <w:rFonts w:ascii="Arial" w:hAnsi="Arial" w:cs="Arial"/>
        </w:rPr>
        <w:t>m.in.</w:t>
      </w:r>
      <w:r w:rsidRPr="004542B8">
        <w:rPr>
          <w:rFonts w:ascii="Arial" w:hAnsi="Arial" w:cs="Arial"/>
        </w:rPr>
        <w:t xml:space="preserve"> w następujących kwestiach:</w:t>
      </w:r>
    </w:p>
    <w:p w14:paraId="0F3CF64A" w14:textId="303A34B1" w:rsidR="00326837" w:rsidRPr="004542B8" w:rsidRDefault="00326837" w:rsidP="00AF13E8">
      <w:pPr>
        <w:pStyle w:val="Tre"/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color w:val="000000" w:themeColor="text1"/>
        </w:rPr>
      </w:pPr>
      <w:r w:rsidRPr="004542B8">
        <w:rPr>
          <w:rFonts w:ascii="Arial" w:hAnsi="Arial" w:cs="Arial"/>
        </w:rPr>
        <w:t xml:space="preserve">realizacja </w:t>
      </w:r>
      <w:r w:rsidR="00B84750">
        <w:rPr>
          <w:rFonts w:ascii="Arial" w:hAnsi="Arial" w:cs="Arial"/>
        </w:rPr>
        <w:t xml:space="preserve">priorytetu </w:t>
      </w:r>
      <w:r w:rsidRPr="004542B8">
        <w:rPr>
          <w:rFonts w:ascii="Arial" w:hAnsi="Arial" w:cs="Arial"/>
        </w:rPr>
        <w:t xml:space="preserve">„innowacyjne przedsiębiorstwa” </w:t>
      </w:r>
      <w:r w:rsidR="00B84750">
        <w:rPr>
          <w:rFonts w:ascii="Arial" w:hAnsi="Arial" w:cs="Arial"/>
        </w:rPr>
        <w:t xml:space="preserve">a </w:t>
      </w:r>
      <w:r w:rsidR="00B84750">
        <w:rPr>
          <w:rFonts w:ascii="Arial" w:hAnsi="Arial" w:cs="Arial"/>
          <w:color w:val="000000" w:themeColor="text1"/>
        </w:rPr>
        <w:t>regionalne systemy popytowe</w:t>
      </w:r>
      <w:r w:rsidR="00B84750" w:rsidRPr="004542B8">
        <w:rPr>
          <w:rFonts w:ascii="Arial" w:hAnsi="Arial" w:cs="Arial"/>
          <w:color w:val="000000" w:themeColor="text1"/>
        </w:rPr>
        <w:t xml:space="preserve"> w zakresie innowacji </w:t>
      </w:r>
      <w:r w:rsidR="00B84750">
        <w:rPr>
          <w:rFonts w:ascii="Arial" w:hAnsi="Arial" w:cs="Arial"/>
        </w:rPr>
        <w:t>–</w:t>
      </w:r>
      <w:r w:rsidRPr="004542B8">
        <w:rPr>
          <w:rFonts w:ascii="Arial" w:hAnsi="Arial" w:cs="Arial"/>
        </w:rPr>
        <w:t xml:space="preserve"> zwrócono uwagę na </w:t>
      </w:r>
      <w:r w:rsidRPr="004542B8">
        <w:rPr>
          <w:rFonts w:ascii="Arial" w:hAnsi="Arial" w:cs="Arial"/>
          <w:color w:val="000000" w:themeColor="text1"/>
        </w:rPr>
        <w:t>możliwe problemy z realizacją przez uczelnie konkretnych usług zamawianych przez przedsiębiorców; gotowość wielu jednostek naukowo-badawczych do realizacji takiego zadania może stanowić znaczne wyzwanie;</w:t>
      </w:r>
    </w:p>
    <w:p w14:paraId="30C13699" w14:textId="71A55B96" w:rsidR="00866073" w:rsidRPr="004542B8" w:rsidRDefault="00326837" w:rsidP="00AF13E8">
      <w:pPr>
        <w:pStyle w:val="Tre"/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color w:val="000000" w:themeColor="text1"/>
        </w:rPr>
      </w:pPr>
      <w:r w:rsidRPr="004542B8">
        <w:rPr>
          <w:rFonts w:ascii="Arial" w:hAnsi="Arial" w:cs="Arial"/>
          <w:color w:val="000000" w:themeColor="text1"/>
        </w:rPr>
        <w:t xml:space="preserve">dobór odpowiednich form wsparcia obszaru B+R – wskazano na przykład infrastruktury </w:t>
      </w:r>
      <w:r w:rsidR="00866073" w:rsidRPr="004542B8">
        <w:rPr>
          <w:rFonts w:ascii="Arial" w:hAnsi="Arial" w:cs="Arial"/>
          <w:color w:val="000000" w:themeColor="text1"/>
        </w:rPr>
        <w:t>B+R</w:t>
      </w:r>
      <w:r w:rsidRPr="004542B8">
        <w:rPr>
          <w:rFonts w:ascii="Arial" w:hAnsi="Arial" w:cs="Arial"/>
          <w:color w:val="000000" w:themeColor="text1"/>
        </w:rPr>
        <w:t xml:space="preserve"> wybudowanej ze środków POIG </w:t>
      </w:r>
      <w:r w:rsidR="008C5F73">
        <w:rPr>
          <w:rFonts w:ascii="Arial" w:hAnsi="Arial" w:cs="Arial"/>
          <w:color w:val="000000" w:themeColor="text1"/>
        </w:rPr>
        <w:t xml:space="preserve">poza </w:t>
      </w:r>
      <w:r w:rsidR="008C5F73" w:rsidRPr="007F622E">
        <w:rPr>
          <w:rFonts w:ascii="Arial" w:hAnsi="Arial" w:cs="Arial"/>
          <w:color w:val="000000" w:themeColor="text1"/>
        </w:rPr>
        <w:t xml:space="preserve">reżimem </w:t>
      </w:r>
      <w:r w:rsidRPr="007F622E">
        <w:rPr>
          <w:rFonts w:ascii="Arial" w:hAnsi="Arial" w:cs="Arial"/>
          <w:color w:val="000000" w:themeColor="text1"/>
        </w:rPr>
        <w:t>pomocy publicznej (przy prawie 100% dofinansowaniu)</w:t>
      </w:r>
      <w:r w:rsidR="008C5F73" w:rsidRPr="007F622E">
        <w:rPr>
          <w:rFonts w:ascii="Arial" w:hAnsi="Arial" w:cs="Arial"/>
          <w:color w:val="000000" w:themeColor="text1"/>
        </w:rPr>
        <w:t>,</w:t>
      </w:r>
      <w:r w:rsidRPr="007F622E">
        <w:rPr>
          <w:rFonts w:ascii="Arial" w:hAnsi="Arial" w:cs="Arial"/>
          <w:color w:val="000000" w:themeColor="text1"/>
        </w:rPr>
        <w:t xml:space="preserve"> </w:t>
      </w:r>
      <w:r w:rsidR="008C5F73" w:rsidRPr="007F622E">
        <w:rPr>
          <w:rFonts w:ascii="Arial" w:hAnsi="Arial" w:cs="Arial"/>
          <w:color w:val="000000" w:themeColor="text1"/>
        </w:rPr>
        <w:t xml:space="preserve">co stanowi </w:t>
      </w:r>
      <w:r w:rsidR="00144B6B" w:rsidRPr="007F622E">
        <w:rPr>
          <w:rFonts w:ascii="Arial" w:hAnsi="Arial" w:cs="Arial"/>
          <w:color w:val="000000" w:themeColor="text1"/>
        </w:rPr>
        <w:t xml:space="preserve">istotną </w:t>
      </w:r>
      <w:r w:rsidR="008C5F73" w:rsidRPr="007F622E">
        <w:rPr>
          <w:rFonts w:ascii="Arial" w:hAnsi="Arial" w:cs="Arial"/>
          <w:color w:val="000000" w:themeColor="text1"/>
        </w:rPr>
        <w:t>barierę dla</w:t>
      </w:r>
      <w:r w:rsidR="008C5F73" w:rsidRPr="008C5F73">
        <w:rPr>
          <w:rFonts w:ascii="Arial" w:hAnsi="Arial" w:cs="Arial"/>
          <w:color w:val="000000" w:themeColor="text1"/>
        </w:rPr>
        <w:t xml:space="preserve"> świadczenia usług komercyjnych związanych z taką infrastrukturą;</w:t>
      </w:r>
      <w:r w:rsidR="008C5F73">
        <w:rPr>
          <w:rFonts w:ascii="Arial" w:hAnsi="Arial" w:cs="Arial"/>
          <w:color w:val="000000" w:themeColor="text1"/>
        </w:rPr>
        <w:t xml:space="preserve"> </w:t>
      </w:r>
    </w:p>
    <w:p w14:paraId="7F584A85" w14:textId="1A12D9C5" w:rsidR="00326837" w:rsidRPr="004542B8" w:rsidRDefault="00326837" w:rsidP="00AF13E8">
      <w:pPr>
        <w:pStyle w:val="Tre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4542B8">
        <w:rPr>
          <w:rFonts w:ascii="Arial" w:hAnsi="Arial" w:cs="Arial"/>
        </w:rPr>
        <w:t>instrumenty zwrotne – nie rozstrzygnięto jeszcze ile środków nowego RPO WD zostanie przeznaczonych na wsparcie zwrotne; zwracano uwagę, że zgodnie z zaleceniami K</w:t>
      </w:r>
      <w:r w:rsidR="00866073" w:rsidRPr="004542B8">
        <w:rPr>
          <w:rFonts w:ascii="Arial" w:hAnsi="Arial" w:cs="Arial"/>
        </w:rPr>
        <w:t xml:space="preserve">E </w:t>
      </w:r>
      <w:r w:rsidRPr="004542B8">
        <w:rPr>
          <w:rFonts w:ascii="Arial" w:hAnsi="Arial" w:cs="Arial"/>
        </w:rPr>
        <w:t xml:space="preserve">wdrożenie instrumentów zwrotnych w nowych programach musi wynikać z analizy dotyczącej zawodności rynku, luki </w:t>
      </w:r>
      <w:r w:rsidR="001949A8">
        <w:rPr>
          <w:rFonts w:ascii="Arial" w:hAnsi="Arial" w:cs="Arial"/>
        </w:rPr>
        <w:t xml:space="preserve">w </w:t>
      </w:r>
      <w:r w:rsidRPr="004542B8">
        <w:rPr>
          <w:rFonts w:ascii="Arial" w:hAnsi="Arial" w:cs="Arial"/>
        </w:rPr>
        <w:t>zewnętrzn</w:t>
      </w:r>
      <w:r w:rsidR="001949A8">
        <w:rPr>
          <w:rFonts w:ascii="Arial" w:hAnsi="Arial" w:cs="Arial"/>
        </w:rPr>
        <w:t>ym</w:t>
      </w:r>
      <w:r w:rsidRPr="004542B8">
        <w:rPr>
          <w:rFonts w:ascii="Arial" w:hAnsi="Arial" w:cs="Arial"/>
        </w:rPr>
        <w:t xml:space="preserve"> finansowani</w:t>
      </w:r>
      <w:r w:rsidR="001949A8">
        <w:rPr>
          <w:rFonts w:ascii="Arial" w:hAnsi="Arial" w:cs="Arial"/>
        </w:rPr>
        <w:t>u</w:t>
      </w:r>
      <w:r w:rsidRPr="004542B8">
        <w:rPr>
          <w:rFonts w:ascii="Arial" w:hAnsi="Arial" w:cs="Arial"/>
        </w:rPr>
        <w:t xml:space="preserve"> oraz potrzeb inwestycyjnych i dalszego potencjału wsparcia dotacyjnego oraz zwrotnego; w szczególności nie może </w:t>
      </w:r>
      <w:r w:rsidR="001949A8">
        <w:rPr>
          <w:rFonts w:ascii="Arial" w:hAnsi="Arial" w:cs="Arial"/>
        </w:rPr>
        <w:t xml:space="preserve">ono </w:t>
      </w:r>
      <w:r w:rsidRPr="004542B8">
        <w:rPr>
          <w:rFonts w:ascii="Arial" w:hAnsi="Arial" w:cs="Arial"/>
        </w:rPr>
        <w:t xml:space="preserve">wynikać z decyzji oderwanych od </w:t>
      </w:r>
      <w:r w:rsidR="001949A8">
        <w:rPr>
          <w:rFonts w:ascii="Arial" w:hAnsi="Arial" w:cs="Arial"/>
        </w:rPr>
        <w:t xml:space="preserve">takich </w:t>
      </w:r>
      <w:r w:rsidRPr="004542B8">
        <w:rPr>
          <w:rFonts w:ascii="Arial" w:hAnsi="Arial" w:cs="Arial"/>
        </w:rPr>
        <w:t>analiz.</w:t>
      </w:r>
    </w:p>
    <w:p w14:paraId="792FC055" w14:textId="77777777" w:rsidR="00E77439" w:rsidRPr="004542B8" w:rsidRDefault="00E77439" w:rsidP="00326837">
      <w:pPr>
        <w:pStyle w:val="Tre"/>
        <w:jc w:val="both"/>
        <w:rPr>
          <w:rFonts w:ascii="Arial" w:hAnsi="Arial" w:cs="Arial"/>
        </w:rPr>
      </w:pPr>
    </w:p>
    <w:p w14:paraId="37F26C00" w14:textId="77777777" w:rsidR="00E77439" w:rsidRPr="004542B8" w:rsidRDefault="00E77439" w:rsidP="00326837">
      <w:pPr>
        <w:pStyle w:val="Tre"/>
        <w:jc w:val="both"/>
        <w:rPr>
          <w:rFonts w:ascii="Arial" w:hAnsi="Arial" w:cs="Arial"/>
          <w:i/>
        </w:rPr>
      </w:pPr>
    </w:p>
    <w:p w14:paraId="6A25FDDC" w14:textId="77777777" w:rsidR="00326837" w:rsidRPr="004542B8" w:rsidRDefault="00E77439" w:rsidP="00326837">
      <w:pPr>
        <w:pStyle w:val="Tre"/>
        <w:jc w:val="both"/>
        <w:rPr>
          <w:rFonts w:ascii="Arial" w:hAnsi="Arial" w:cs="Arial"/>
          <w:i/>
        </w:rPr>
      </w:pPr>
      <w:r w:rsidRPr="004542B8">
        <w:rPr>
          <w:rFonts w:ascii="Arial" w:hAnsi="Arial" w:cs="Arial"/>
          <w:i/>
        </w:rPr>
        <w:t xml:space="preserve">RPO </w:t>
      </w:r>
      <w:r w:rsidR="008236F0" w:rsidRPr="004542B8">
        <w:rPr>
          <w:rFonts w:ascii="Arial" w:hAnsi="Arial" w:cs="Arial"/>
          <w:i/>
        </w:rPr>
        <w:t xml:space="preserve">Województwa </w:t>
      </w:r>
      <w:r w:rsidRPr="004542B8">
        <w:rPr>
          <w:rFonts w:ascii="Arial" w:hAnsi="Arial" w:cs="Arial"/>
          <w:i/>
        </w:rPr>
        <w:t>Lubelskie</w:t>
      </w:r>
      <w:r w:rsidR="008236F0" w:rsidRPr="004542B8">
        <w:rPr>
          <w:rFonts w:ascii="Arial" w:hAnsi="Arial" w:cs="Arial"/>
          <w:i/>
        </w:rPr>
        <w:t>go</w:t>
      </w:r>
      <w:r w:rsidRPr="004542B8">
        <w:rPr>
          <w:rFonts w:ascii="Arial" w:hAnsi="Arial" w:cs="Arial"/>
          <w:i/>
        </w:rPr>
        <w:t xml:space="preserve"> 2007-2013</w:t>
      </w:r>
    </w:p>
    <w:p w14:paraId="4E88D429" w14:textId="77777777" w:rsidR="00E77439" w:rsidRPr="004542B8" w:rsidRDefault="00E77439" w:rsidP="00326837">
      <w:pPr>
        <w:pStyle w:val="Tre"/>
        <w:jc w:val="both"/>
        <w:rPr>
          <w:rFonts w:ascii="Arial" w:hAnsi="Arial" w:cs="Arial"/>
          <w:b/>
        </w:rPr>
      </w:pPr>
    </w:p>
    <w:p w14:paraId="724010AB" w14:textId="77777777" w:rsidR="00E77439" w:rsidRPr="004542B8" w:rsidRDefault="00E77439" w:rsidP="002D5057">
      <w:pPr>
        <w:pStyle w:val="Tre"/>
        <w:spacing w:after="60"/>
        <w:jc w:val="both"/>
        <w:rPr>
          <w:rFonts w:ascii="Arial" w:hAnsi="Arial" w:cs="Arial"/>
          <w:bCs/>
        </w:rPr>
      </w:pPr>
      <w:r w:rsidRPr="004542B8">
        <w:rPr>
          <w:rStyle w:val="Pogrubienie"/>
          <w:rFonts w:ascii="Arial" w:hAnsi="Arial" w:cs="Arial"/>
        </w:rPr>
        <w:t>Mariusz Majkutewicz,</w:t>
      </w:r>
      <w:r w:rsidRPr="004542B8">
        <w:rPr>
          <w:rFonts w:ascii="Arial" w:hAnsi="Arial" w:cs="Arial"/>
        </w:rPr>
        <w:t xml:space="preserve"> </w:t>
      </w:r>
      <w:r w:rsidRPr="004542B8">
        <w:rPr>
          <w:rFonts w:ascii="Arial" w:hAnsi="Arial" w:cs="Arial"/>
          <w:b/>
        </w:rPr>
        <w:t xml:space="preserve">Zastępca Dyrektora Lubelskiej Agencji Wspierania Przedsiębiorczości </w:t>
      </w:r>
      <w:r w:rsidRPr="004542B8">
        <w:rPr>
          <w:rFonts w:ascii="Arial" w:hAnsi="Arial" w:cs="Arial"/>
        </w:rPr>
        <w:t>przypomniał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</w:rPr>
        <w:t>o założeniach wdrażanego RPO WL</w:t>
      </w:r>
      <w:r w:rsidR="008E3CB2" w:rsidRPr="004542B8">
        <w:rPr>
          <w:rFonts w:ascii="Arial" w:hAnsi="Arial" w:cs="Arial"/>
        </w:rPr>
        <w:t xml:space="preserve"> 2007-2013, a n</w:t>
      </w:r>
      <w:r w:rsidRPr="004542B8">
        <w:rPr>
          <w:rFonts w:ascii="Arial" w:hAnsi="Arial" w:cs="Arial"/>
        </w:rPr>
        <w:t xml:space="preserve">astępnie przedstawił </w:t>
      </w:r>
      <w:r w:rsidRPr="004542B8">
        <w:rPr>
          <w:rFonts w:ascii="Arial" w:hAnsi="Arial" w:cs="Arial"/>
          <w:bCs/>
        </w:rPr>
        <w:t>efekty wykorzystania środków w ramach osi I (Przedsiębiorczość i innowacje) oraz osi II (infrastruktura ekonomiczna) RPO WL</w:t>
      </w:r>
      <w:r w:rsidRPr="004542B8">
        <w:rPr>
          <w:rFonts w:ascii="Arial" w:hAnsi="Arial" w:cs="Arial"/>
        </w:rPr>
        <w:t xml:space="preserve"> 2007-2013:</w:t>
      </w:r>
    </w:p>
    <w:p w14:paraId="1ECC5FEB" w14:textId="77777777" w:rsidR="00E77439" w:rsidRPr="004542B8" w:rsidRDefault="00E77439" w:rsidP="00AF13E8">
      <w:pPr>
        <w:pStyle w:val="Tre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  <w:bCs/>
        </w:rPr>
        <w:t>liczba wspartych mikroprzedsiębiorstw – 821; liczba wspartych małych przedsiębiorstw – 357; l</w:t>
      </w:r>
      <w:r w:rsidRPr="004542B8">
        <w:rPr>
          <w:rFonts w:ascii="Arial" w:hAnsi="Arial" w:cs="Arial"/>
        </w:rPr>
        <w:t>iczba wspartych średnich przedsiębiorstw – 138; liczba utworzonych nowych miejsc pracy – 4072;</w:t>
      </w:r>
    </w:p>
    <w:p w14:paraId="21886E26" w14:textId="77777777" w:rsidR="00E77439" w:rsidRPr="004542B8" w:rsidRDefault="00E77439" w:rsidP="00AF13E8">
      <w:pPr>
        <w:pStyle w:val="Tre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liczba wspartych przedsiębiorstw, które wprowadziły innowacje/nowe produkty w wyniku bezpośredniego wsparcia (działanie 1.2 i 1.3): 1202;</w:t>
      </w:r>
    </w:p>
    <w:p w14:paraId="09F66EFD" w14:textId="77777777" w:rsidR="00E77439" w:rsidRPr="004542B8" w:rsidRDefault="00E77439" w:rsidP="00AF13E8">
      <w:pPr>
        <w:pStyle w:val="Tre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liczba projektów w zakresie B+R (wartość docelowa 36 projektów): 44;</w:t>
      </w:r>
    </w:p>
    <w:p w14:paraId="4E0CA8D1" w14:textId="77777777" w:rsidR="00E77439" w:rsidRPr="004542B8" w:rsidRDefault="00E77439" w:rsidP="00AF13E8">
      <w:pPr>
        <w:pStyle w:val="Tre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liczba projektów doradczych dla MŚP: 125;</w:t>
      </w:r>
    </w:p>
    <w:p w14:paraId="56B529A6" w14:textId="77777777" w:rsidR="00E77439" w:rsidRPr="004542B8" w:rsidRDefault="00E77439" w:rsidP="00AF13E8">
      <w:pPr>
        <w:pStyle w:val="Tre"/>
        <w:numPr>
          <w:ilvl w:val="0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liczba projektów z zakresu turystyki (wartość docelowa 153): 154;</w:t>
      </w:r>
    </w:p>
    <w:p w14:paraId="7F0BA955" w14:textId="77777777" w:rsidR="008E3CB2" w:rsidRPr="004542B8" w:rsidRDefault="008E3CB2" w:rsidP="00AF13E8">
      <w:pPr>
        <w:pStyle w:val="Tre"/>
        <w:numPr>
          <w:ilvl w:val="0"/>
          <w:numId w:val="16"/>
        </w:numPr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stan realizacji programu: 59 ogłoszonych konkursów; 2260 podpisanych umów; zakontraktowano </w:t>
      </w:r>
      <w:r w:rsidRPr="004542B8">
        <w:rPr>
          <w:rFonts w:ascii="Arial" w:hAnsi="Arial" w:cs="Arial"/>
          <w:bCs/>
        </w:rPr>
        <w:t>1 449 211 116,53 PLN; wypłacono 997 706 911,39 PLN</w:t>
      </w:r>
      <w:r w:rsidR="002D5057" w:rsidRPr="002D5057">
        <w:rPr>
          <w:rFonts w:ascii="Arial" w:hAnsi="Arial" w:cs="Arial"/>
          <w:bCs/>
        </w:rPr>
        <w:t>.</w:t>
      </w:r>
    </w:p>
    <w:p w14:paraId="7D6C0E86" w14:textId="77777777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</w:p>
    <w:p w14:paraId="35761335" w14:textId="6FB78D5D" w:rsidR="00E77439" w:rsidRPr="004542B8" w:rsidRDefault="008E3CB2" w:rsidP="008236F0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W</w:t>
      </w:r>
      <w:r w:rsidR="00E77439" w:rsidRPr="004542B8">
        <w:rPr>
          <w:rFonts w:ascii="Arial" w:hAnsi="Arial" w:cs="Arial"/>
        </w:rPr>
        <w:t xml:space="preserve">yjaśnił, że w </w:t>
      </w:r>
      <w:r w:rsidRPr="004542B8">
        <w:rPr>
          <w:rFonts w:ascii="Arial" w:hAnsi="Arial" w:cs="Arial"/>
        </w:rPr>
        <w:t>RPO WL</w:t>
      </w:r>
      <w:r w:rsidR="00E77439" w:rsidRPr="004542B8">
        <w:rPr>
          <w:rFonts w:ascii="Arial" w:hAnsi="Arial" w:cs="Arial"/>
        </w:rPr>
        <w:t xml:space="preserve"> posłużono się szeroką definicją innowacyjności; w celu ujednolicenia podejścia do oceny innowacyjnych i nowych produktów, przyjęto m.in. kryteria stosowane przez OECD (listy wysokiej i średniej techniki); ponadto innowacyjność oceniana była w odniesieniu do branż, w których realizowano projekty (kryterium 0-1), </w:t>
      </w:r>
      <w:r w:rsidRPr="004542B8">
        <w:rPr>
          <w:rFonts w:ascii="Arial" w:hAnsi="Arial" w:cs="Arial"/>
        </w:rPr>
        <w:t xml:space="preserve">a </w:t>
      </w:r>
      <w:r w:rsidR="00E77439" w:rsidRPr="004542B8">
        <w:rPr>
          <w:rFonts w:ascii="Arial" w:hAnsi="Arial" w:cs="Arial"/>
        </w:rPr>
        <w:t xml:space="preserve">nie do samych projektów. </w:t>
      </w:r>
    </w:p>
    <w:p w14:paraId="0DCB9AB8" w14:textId="77777777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</w:p>
    <w:p w14:paraId="56FB3CBD" w14:textId="77777777" w:rsidR="00F538B3" w:rsidRPr="004542B8" w:rsidRDefault="00E77439" w:rsidP="002D5057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Przechodząc do efektów wdrażania RPO WL 2007-2013, Przedstawiciel LAWP</w:t>
      </w:r>
      <w:r w:rsidR="008E3CB2" w:rsidRPr="004542B8">
        <w:rPr>
          <w:rFonts w:ascii="Arial" w:hAnsi="Arial" w:cs="Arial"/>
        </w:rPr>
        <w:t xml:space="preserve"> zaznaczył, </w:t>
      </w:r>
      <w:r w:rsidRPr="004542B8">
        <w:rPr>
          <w:rFonts w:ascii="Arial" w:hAnsi="Arial" w:cs="Arial"/>
        </w:rPr>
        <w:t xml:space="preserve"> że z kompleksową oceną efektów należy się wstrzymać do czasu przeprowadzenia ewaluacji</w:t>
      </w:r>
      <w:r w:rsidR="00F538B3" w:rsidRPr="004542B8">
        <w:rPr>
          <w:rFonts w:ascii="Arial" w:hAnsi="Arial" w:cs="Arial"/>
        </w:rPr>
        <w:t>.</w:t>
      </w:r>
      <w:r w:rsidRPr="004542B8">
        <w:rPr>
          <w:rFonts w:ascii="Arial" w:hAnsi="Arial" w:cs="Arial"/>
        </w:rPr>
        <w:t xml:space="preserve"> </w:t>
      </w:r>
      <w:r w:rsidR="00F538B3" w:rsidRPr="004542B8">
        <w:rPr>
          <w:rFonts w:ascii="Arial" w:hAnsi="Arial" w:cs="Arial"/>
        </w:rPr>
        <w:t xml:space="preserve">W związku z powyższym przedstawił ogólne wnioski z wdrażania RPO </w:t>
      </w:r>
      <w:r w:rsidRPr="004542B8">
        <w:rPr>
          <w:rFonts w:ascii="Arial" w:hAnsi="Arial" w:cs="Arial"/>
        </w:rPr>
        <w:t xml:space="preserve">z punku widzenia reprezentowanej przez siebie Instytucji Pośredniczącej. </w:t>
      </w:r>
    </w:p>
    <w:p w14:paraId="7F560BD4" w14:textId="71F15852" w:rsidR="00F538B3" w:rsidRPr="004542B8" w:rsidRDefault="00F538B3" w:rsidP="008236F0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B</w:t>
      </w:r>
      <w:r w:rsidR="00E77439" w:rsidRPr="004542B8">
        <w:rPr>
          <w:rFonts w:ascii="Arial" w:hAnsi="Arial" w:cs="Arial"/>
        </w:rPr>
        <w:t xml:space="preserve">ezpośrednim efektem w krótkim terminie była możliwość skorzystania przez przedsiębiorców z finansowego wsparcia w okresie spowolnienia gospodarczego, co skłoniło ich do inwestowania oraz </w:t>
      </w:r>
      <w:r w:rsidR="001949A8">
        <w:rPr>
          <w:rFonts w:ascii="Arial" w:hAnsi="Arial" w:cs="Arial"/>
        </w:rPr>
        <w:t>u</w:t>
      </w:r>
      <w:r w:rsidR="00E77439" w:rsidRPr="004542B8">
        <w:rPr>
          <w:rFonts w:ascii="Arial" w:hAnsi="Arial" w:cs="Arial"/>
        </w:rPr>
        <w:t xml:space="preserve">tworzenia określonej </w:t>
      </w:r>
      <w:r w:rsidR="00E77439" w:rsidRPr="004542B8">
        <w:rPr>
          <w:rFonts w:ascii="Arial" w:hAnsi="Arial" w:cs="Arial"/>
        </w:rPr>
        <w:lastRenderedPageBreak/>
        <w:t xml:space="preserve">liczby </w:t>
      </w:r>
      <w:r w:rsidR="001949A8">
        <w:rPr>
          <w:rFonts w:ascii="Arial" w:hAnsi="Arial" w:cs="Arial"/>
        </w:rPr>
        <w:t xml:space="preserve">nowych </w:t>
      </w:r>
      <w:r w:rsidR="00E77439" w:rsidRPr="004542B8">
        <w:rPr>
          <w:rFonts w:ascii="Arial" w:hAnsi="Arial" w:cs="Arial"/>
        </w:rPr>
        <w:t xml:space="preserve">miejsc pracy. Z drugiej strony, obecnie obserwuje się tendencję wnioskowania </w:t>
      </w:r>
      <w:r w:rsidRPr="004542B8">
        <w:rPr>
          <w:rFonts w:ascii="Arial" w:hAnsi="Arial" w:cs="Arial"/>
        </w:rPr>
        <w:t xml:space="preserve">beneficjentów </w:t>
      </w:r>
      <w:r w:rsidR="00E77439" w:rsidRPr="004542B8">
        <w:rPr>
          <w:rFonts w:ascii="Arial" w:hAnsi="Arial" w:cs="Arial"/>
        </w:rPr>
        <w:t xml:space="preserve">o zmniejszenie zadeklarowanych w projektach wskaźników zatrudnieniowych; można więc spodziewać się, że nie wszystkie utworzone miejsca pracy będą utrzymane. </w:t>
      </w:r>
    </w:p>
    <w:p w14:paraId="2310B6CF" w14:textId="6039202C" w:rsidR="00E77439" w:rsidRPr="004542B8" w:rsidRDefault="001949A8" w:rsidP="00E41B2A">
      <w:pPr>
        <w:pStyle w:val="Tre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Spodziewanym e</w:t>
      </w:r>
      <w:r w:rsidR="00E77439" w:rsidRPr="004542B8">
        <w:rPr>
          <w:rFonts w:ascii="Arial" w:hAnsi="Arial" w:cs="Arial"/>
        </w:rPr>
        <w:t>fektem długoterminowym wsparcia może być większa świadomość przedsiębiorców nt istniejących możliwości finansowania zewnętrznego, również poza programem regionalnym (np. w programach krajowych czy programach typu Horyzont 2020).</w:t>
      </w:r>
    </w:p>
    <w:p w14:paraId="2167EA6B" w14:textId="0C243B00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  <w:bCs/>
          <w:iCs/>
        </w:rPr>
        <w:t xml:space="preserve">Zaprezentowano </w:t>
      </w:r>
      <w:r w:rsidR="001949A8">
        <w:rPr>
          <w:rFonts w:ascii="Arial" w:hAnsi="Arial" w:cs="Arial"/>
          <w:bCs/>
          <w:iCs/>
        </w:rPr>
        <w:t xml:space="preserve">kluczowe </w:t>
      </w:r>
      <w:r w:rsidRPr="004542B8">
        <w:rPr>
          <w:rFonts w:ascii="Arial" w:hAnsi="Arial" w:cs="Arial"/>
          <w:bCs/>
          <w:iCs/>
        </w:rPr>
        <w:t xml:space="preserve">obszary w ramach przyjętej w województwie lubelskim Regionalnej Strategii Innowacji (RSI) do 2020 r.: biogospodarka, automatyka i informatyka, odnawialne źródła energii, ochrona zdrowia ludzkiego. Obszary te </w:t>
      </w:r>
      <w:r w:rsidRPr="004542B8">
        <w:rPr>
          <w:rFonts w:ascii="Arial" w:hAnsi="Arial" w:cs="Arial"/>
        </w:rPr>
        <w:t xml:space="preserve">będą preferowane w udzielaniu wsparcia w ramach nowego RPO, m.in. jeśli chodzi o </w:t>
      </w:r>
      <w:r w:rsidR="001949A8">
        <w:rPr>
          <w:rFonts w:ascii="Arial" w:hAnsi="Arial" w:cs="Arial"/>
        </w:rPr>
        <w:t xml:space="preserve">jego </w:t>
      </w:r>
      <w:r w:rsidRPr="004542B8">
        <w:rPr>
          <w:rFonts w:ascii="Arial" w:hAnsi="Arial" w:cs="Arial"/>
        </w:rPr>
        <w:t>form</w:t>
      </w:r>
      <w:r w:rsidR="001949A8">
        <w:rPr>
          <w:rFonts w:ascii="Arial" w:hAnsi="Arial" w:cs="Arial"/>
        </w:rPr>
        <w:t>ę</w:t>
      </w:r>
      <w:r w:rsidRPr="004542B8">
        <w:rPr>
          <w:rFonts w:ascii="Arial" w:hAnsi="Arial" w:cs="Arial"/>
        </w:rPr>
        <w:t xml:space="preserve"> (dotacj</w:t>
      </w:r>
      <w:r w:rsidR="001949A8">
        <w:rPr>
          <w:rFonts w:ascii="Arial" w:hAnsi="Arial" w:cs="Arial"/>
        </w:rPr>
        <w:t>e</w:t>
      </w:r>
      <w:r w:rsidRPr="004542B8">
        <w:rPr>
          <w:rFonts w:ascii="Arial" w:hAnsi="Arial" w:cs="Arial"/>
        </w:rPr>
        <w:t xml:space="preserve"> na projekty wpisujące się w RSI; </w:t>
      </w:r>
      <w:r w:rsidR="001949A8" w:rsidRPr="004542B8">
        <w:rPr>
          <w:rFonts w:ascii="Arial" w:hAnsi="Arial" w:cs="Arial"/>
        </w:rPr>
        <w:t xml:space="preserve">instrumenty zwrotne </w:t>
      </w:r>
      <w:r w:rsidR="001949A8">
        <w:rPr>
          <w:rFonts w:ascii="Arial" w:hAnsi="Arial" w:cs="Arial"/>
        </w:rPr>
        <w:t xml:space="preserve">na </w:t>
      </w:r>
      <w:r w:rsidRPr="004542B8">
        <w:rPr>
          <w:rFonts w:ascii="Arial" w:hAnsi="Arial" w:cs="Arial"/>
        </w:rPr>
        <w:t xml:space="preserve">projekty </w:t>
      </w:r>
      <w:r w:rsidR="001949A8">
        <w:rPr>
          <w:rFonts w:ascii="Arial" w:hAnsi="Arial" w:cs="Arial"/>
        </w:rPr>
        <w:t>s</w:t>
      </w:r>
      <w:r w:rsidRPr="004542B8">
        <w:rPr>
          <w:rFonts w:ascii="Arial" w:hAnsi="Arial" w:cs="Arial"/>
        </w:rPr>
        <w:t>poza Strategi</w:t>
      </w:r>
      <w:r w:rsidR="001949A8">
        <w:rPr>
          <w:rFonts w:ascii="Arial" w:hAnsi="Arial" w:cs="Arial"/>
        </w:rPr>
        <w:t>i</w:t>
      </w:r>
      <w:r w:rsidRPr="004542B8">
        <w:rPr>
          <w:rFonts w:ascii="Arial" w:hAnsi="Arial" w:cs="Arial"/>
        </w:rPr>
        <w:t>). W kontekście instrumentów zwrotnych, Przedstawiciel LAWP poinformował, że w regionie przygotowano już analizę luki finansowej; można oczekiwać, że w nowym RPO WL proporcja instrumentów zwrotnych do dotacyjnych będzie znacznie mniejsza niż 1/3.</w:t>
      </w:r>
    </w:p>
    <w:p w14:paraId="2A98BC66" w14:textId="77777777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</w:p>
    <w:p w14:paraId="4080715E" w14:textId="77777777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Zaprezentowano założenia projektu WL RPO 2014-2020 pod względem wsparcia dla przedsiębiorców:</w:t>
      </w:r>
      <w:r w:rsidR="00F538B3" w:rsidRPr="004542B8">
        <w:rPr>
          <w:rFonts w:ascii="Arial" w:hAnsi="Arial" w:cs="Arial"/>
        </w:rPr>
        <w:t xml:space="preserve"> 1) „</w:t>
      </w:r>
      <w:r w:rsidRPr="004542B8">
        <w:rPr>
          <w:rFonts w:ascii="Arial" w:hAnsi="Arial" w:cs="Arial"/>
        </w:rPr>
        <w:t>Badania i innowacje</w:t>
      </w:r>
      <w:r w:rsidR="00F538B3" w:rsidRPr="004542B8">
        <w:rPr>
          <w:rFonts w:ascii="Arial" w:hAnsi="Arial" w:cs="Arial"/>
        </w:rPr>
        <w:t xml:space="preserve">”, </w:t>
      </w:r>
      <w:r w:rsidRPr="004542B8">
        <w:rPr>
          <w:rFonts w:ascii="Arial" w:hAnsi="Arial" w:cs="Arial"/>
        </w:rPr>
        <w:t>a</w:t>
      </w:r>
      <w:r w:rsidRPr="004542B8">
        <w:rPr>
          <w:rFonts w:ascii="Arial" w:hAnsi="Arial" w:cs="Arial"/>
          <w:bCs/>
        </w:rPr>
        <w:t>lokacja – 45,41 mln EUR, beneficjenci – jednostki naukowe, MŚP;</w:t>
      </w:r>
      <w:r w:rsidR="00F538B3" w:rsidRPr="004542B8">
        <w:rPr>
          <w:rFonts w:ascii="Arial" w:hAnsi="Arial" w:cs="Arial"/>
          <w:bCs/>
        </w:rPr>
        <w:t xml:space="preserve"> 2) „</w:t>
      </w:r>
      <w:r w:rsidRPr="004542B8">
        <w:rPr>
          <w:rFonts w:ascii="Arial" w:hAnsi="Arial" w:cs="Arial"/>
          <w:bCs/>
        </w:rPr>
        <w:t>Cyfrowe Lubelskie</w:t>
      </w:r>
      <w:r w:rsidR="00F538B3" w:rsidRPr="004542B8">
        <w:rPr>
          <w:rFonts w:ascii="Arial" w:hAnsi="Arial" w:cs="Arial"/>
          <w:bCs/>
        </w:rPr>
        <w:t>”,</w:t>
      </w:r>
      <w:r w:rsidRPr="004542B8">
        <w:rPr>
          <w:rFonts w:ascii="Arial" w:hAnsi="Arial" w:cs="Arial"/>
          <w:bCs/>
        </w:rPr>
        <w:t xml:space="preserve"> alokacja – 72,25 mln EUR, beneficjenci: JST, MŚP, IOB, szkoły wyższe, kościoły, zakłady opieki zdrowotnej, jednostki administracji rządowej;</w:t>
      </w:r>
      <w:r w:rsidR="00F538B3" w:rsidRPr="004542B8">
        <w:rPr>
          <w:rFonts w:ascii="Arial" w:hAnsi="Arial" w:cs="Arial"/>
          <w:bCs/>
        </w:rPr>
        <w:t xml:space="preserve"> 3) „</w:t>
      </w:r>
      <w:r w:rsidRPr="004542B8">
        <w:rPr>
          <w:rFonts w:ascii="Arial" w:hAnsi="Arial" w:cs="Arial"/>
          <w:bCs/>
        </w:rPr>
        <w:t>Konkurencyjność przedsiębiorstw</w:t>
      </w:r>
      <w:r w:rsidR="00F538B3" w:rsidRPr="004542B8">
        <w:rPr>
          <w:rFonts w:ascii="Arial" w:hAnsi="Arial" w:cs="Arial"/>
          <w:bCs/>
        </w:rPr>
        <w:t xml:space="preserve">”, </w:t>
      </w:r>
      <w:r w:rsidRPr="004542B8">
        <w:rPr>
          <w:rFonts w:ascii="Arial" w:hAnsi="Arial" w:cs="Arial"/>
          <w:bCs/>
        </w:rPr>
        <w:t>alokacja – 291,63  mln EUR</w:t>
      </w:r>
      <w:r w:rsidR="00F538B3" w:rsidRPr="004542B8">
        <w:rPr>
          <w:rFonts w:ascii="Arial" w:hAnsi="Arial" w:cs="Arial"/>
          <w:bCs/>
        </w:rPr>
        <w:t xml:space="preserve">, </w:t>
      </w:r>
      <w:r w:rsidRPr="004542B8">
        <w:rPr>
          <w:rFonts w:ascii="Arial" w:hAnsi="Arial" w:cs="Arial"/>
          <w:bCs/>
        </w:rPr>
        <w:t xml:space="preserve">beneficjenci:  inkubatory przedsiębiorczości, </w:t>
      </w:r>
      <w:r w:rsidR="00F538B3" w:rsidRPr="004542B8">
        <w:rPr>
          <w:rFonts w:ascii="Arial" w:hAnsi="Arial" w:cs="Arial"/>
          <w:bCs/>
        </w:rPr>
        <w:t>IOB</w:t>
      </w:r>
      <w:r w:rsidRPr="004542B8">
        <w:rPr>
          <w:rFonts w:ascii="Arial" w:hAnsi="Arial" w:cs="Arial"/>
          <w:bCs/>
        </w:rPr>
        <w:t xml:space="preserve">, JST, MŚP, </w:t>
      </w:r>
      <w:r w:rsidR="00F538B3" w:rsidRPr="004542B8">
        <w:rPr>
          <w:rFonts w:ascii="Arial" w:hAnsi="Arial" w:cs="Arial"/>
          <w:bCs/>
        </w:rPr>
        <w:t>JN</w:t>
      </w:r>
      <w:r w:rsidRPr="004542B8">
        <w:rPr>
          <w:rFonts w:ascii="Arial" w:hAnsi="Arial" w:cs="Arial"/>
          <w:bCs/>
        </w:rPr>
        <w:t xml:space="preserve"> prowadzące działalność gospodarczą, klastry, inicjatywy kl</w:t>
      </w:r>
      <w:r w:rsidR="00F538B3" w:rsidRPr="004542B8">
        <w:rPr>
          <w:rFonts w:ascii="Arial" w:hAnsi="Arial" w:cs="Arial"/>
          <w:bCs/>
        </w:rPr>
        <w:t xml:space="preserve">astrowe. </w:t>
      </w:r>
      <w:r w:rsidRPr="004542B8">
        <w:rPr>
          <w:rFonts w:ascii="Arial" w:hAnsi="Arial" w:cs="Arial"/>
        </w:rPr>
        <w:t xml:space="preserve">Zgodnie z powyższym założeniem, do przedsiębiorców trafi ok. 409 mln EUR, przy czym kwota nie uwzględnia środków na OZE (planowana alokacja to 660 mln zł na OZE). </w:t>
      </w:r>
    </w:p>
    <w:p w14:paraId="1A89F499" w14:textId="77777777" w:rsidR="00E77439" w:rsidRPr="004542B8" w:rsidRDefault="00E77439" w:rsidP="008236F0">
      <w:pPr>
        <w:pStyle w:val="Tre"/>
        <w:jc w:val="both"/>
        <w:rPr>
          <w:rFonts w:ascii="Arial" w:hAnsi="Arial" w:cs="Arial"/>
        </w:rPr>
      </w:pPr>
    </w:p>
    <w:p w14:paraId="39795611" w14:textId="77777777" w:rsidR="00E77439" w:rsidRPr="004542B8" w:rsidRDefault="00E77439" w:rsidP="002D5057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Odnosząc się do przedstawionych ram wsparcia, uczestnicy spotkania dyskutowali nt:</w:t>
      </w:r>
    </w:p>
    <w:p w14:paraId="7EE7A4C3" w14:textId="77777777" w:rsidR="00E77439" w:rsidRPr="004542B8" w:rsidRDefault="00E77439" w:rsidP="00AF13E8">
      <w:pPr>
        <w:pStyle w:val="Tre"/>
        <w:numPr>
          <w:ilvl w:val="0"/>
          <w:numId w:val="15"/>
        </w:numPr>
        <w:spacing w:after="60"/>
        <w:ind w:left="357" w:hanging="357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priorytetu „Badania i innowacje” – wyjaśniano, że dotychczas </w:t>
      </w:r>
      <w:r w:rsidR="00D64D3B" w:rsidRPr="004542B8">
        <w:rPr>
          <w:rFonts w:ascii="Arial" w:hAnsi="Arial" w:cs="Arial"/>
        </w:rPr>
        <w:t xml:space="preserve">zakładano </w:t>
      </w:r>
      <w:r w:rsidRPr="004542B8">
        <w:rPr>
          <w:rFonts w:ascii="Arial" w:hAnsi="Arial" w:cs="Arial"/>
        </w:rPr>
        <w:t xml:space="preserve">ograniczenie wsparcia </w:t>
      </w:r>
      <w:r w:rsidR="00D64D3B" w:rsidRPr="004542B8">
        <w:rPr>
          <w:rFonts w:ascii="Arial" w:hAnsi="Arial" w:cs="Arial"/>
        </w:rPr>
        <w:t xml:space="preserve">w celu pierwszym </w:t>
      </w:r>
      <w:r w:rsidRPr="004542B8">
        <w:rPr>
          <w:rFonts w:ascii="Arial" w:hAnsi="Arial" w:cs="Arial"/>
        </w:rPr>
        <w:t>tylko do MSP; wykluczenie dużych przedsiębiorstw nie jest jednak przesądzone, szczególnie w kontekście przewidywanego zwiększenia alokacji w tym obszarze o odpowiednie środki z POPW;</w:t>
      </w:r>
    </w:p>
    <w:p w14:paraId="17A8BDD6" w14:textId="1D3E6048" w:rsidR="00E77439" w:rsidRPr="004542B8" w:rsidRDefault="00E77439" w:rsidP="00AF13E8">
      <w:pPr>
        <w:pStyle w:val="Tre"/>
        <w:numPr>
          <w:ilvl w:val="0"/>
          <w:numId w:val="15"/>
        </w:numPr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priorytetu „Cyfrowe lubelskie” - wątpliwości części dyskutantów wzbudzał przewidywany szeroki zakres grupy beneficjentów, wśród których przedsiębiorstwa odgrywają marginalną rolę (działanie ma być skierowane przede wszystkim do </w:t>
      </w:r>
      <w:r w:rsidR="00D64D3B" w:rsidRPr="004542B8">
        <w:rPr>
          <w:rFonts w:ascii="Arial" w:hAnsi="Arial" w:cs="Arial"/>
        </w:rPr>
        <w:t>JST</w:t>
      </w:r>
      <w:r w:rsidRPr="004542B8">
        <w:rPr>
          <w:rFonts w:ascii="Arial" w:hAnsi="Arial" w:cs="Arial"/>
        </w:rPr>
        <w:t>, m.in. na budowę systemów informacji geograficznej); argumentowano, że środki można byłoby efektywniej wykorzystać m.in. na wspieranie ICT w przedsiębiorstwach, lub przeznacz</w:t>
      </w:r>
      <w:r w:rsidR="001949A8">
        <w:rPr>
          <w:rFonts w:ascii="Arial" w:hAnsi="Arial" w:cs="Arial"/>
        </w:rPr>
        <w:t>yć</w:t>
      </w:r>
      <w:r w:rsidRPr="004542B8">
        <w:rPr>
          <w:rFonts w:ascii="Arial" w:hAnsi="Arial" w:cs="Arial"/>
        </w:rPr>
        <w:t xml:space="preserve"> na wspieranie przedsiębiorczości w ogóle w ramach </w:t>
      </w:r>
      <w:r w:rsidR="00D64D3B" w:rsidRPr="004542B8">
        <w:rPr>
          <w:rFonts w:ascii="Arial" w:hAnsi="Arial" w:cs="Arial"/>
        </w:rPr>
        <w:t xml:space="preserve">celu </w:t>
      </w:r>
      <w:r w:rsidRPr="004542B8">
        <w:rPr>
          <w:rFonts w:ascii="Arial" w:hAnsi="Arial" w:cs="Arial"/>
        </w:rPr>
        <w:t>trzeciego.</w:t>
      </w:r>
    </w:p>
    <w:p w14:paraId="3F876AEC" w14:textId="77777777" w:rsidR="00E77439" w:rsidRPr="004542B8" w:rsidRDefault="00E77439" w:rsidP="008236F0">
      <w:pPr>
        <w:pStyle w:val="Tre"/>
        <w:jc w:val="both"/>
        <w:rPr>
          <w:rFonts w:ascii="Arial" w:hAnsi="Arial" w:cs="Arial"/>
          <w:color w:val="auto"/>
        </w:rPr>
      </w:pPr>
    </w:p>
    <w:p w14:paraId="491DB1B5" w14:textId="77777777" w:rsidR="00E77439" w:rsidRPr="004542B8" w:rsidRDefault="00E77439" w:rsidP="002D5057">
      <w:pPr>
        <w:pStyle w:val="Tre"/>
        <w:spacing w:after="60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>Panowała również zgoda co do konieczności usprawnienia oceny konkursów</w:t>
      </w:r>
      <w:r w:rsidR="00D64D3B" w:rsidRPr="004542B8">
        <w:rPr>
          <w:rFonts w:ascii="Arial" w:hAnsi="Arial" w:cs="Arial"/>
          <w:color w:val="auto"/>
        </w:rPr>
        <w:t xml:space="preserve"> w nowej perspektywie</w:t>
      </w:r>
      <w:r w:rsidRPr="004542B8">
        <w:rPr>
          <w:rFonts w:ascii="Arial" w:hAnsi="Arial" w:cs="Arial"/>
          <w:color w:val="auto"/>
        </w:rPr>
        <w:t xml:space="preserve">: </w:t>
      </w:r>
    </w:p>
    <w:p w14:paraId="13373BA8" w14:textId="77777777" w:rsidR="00E77439" w:rsidRPr="004542B8" w:rsidRDefault="00D64D3B" w:rsidP="00AF13E8">
      <w:pPr>
        <w:pStyle w:val="Tre"/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zdaniem </w:t>
      </w:r>
      <w:r w:rsidR="00E77439" w:rsidRPr="004542B8">
        <w:rPr>
          <w:rFonts w:ascii="Arial" w:hAnsi="Arial" w:cs="Arial"/>
          <w:color w:val="auto"/>
        </w:rPr>
        <w:t>Przedstawiciela LAWP ogłaszanie wielu konkursów z małą alokacją bywa problematyczne - wnioski odrzucone w jednym konkursie często składane są ponownie (w identycznej formie), co oznacza obowiązek ponownego dokonania oceny. Z drugiej strony argumentowano, że możliwość składania wniosku kilkakrotnie w procedurze otwartej (po ewentualnej korekcie) może być zaletą, jeśli pozwala uniknąć uruchamiania setek długotrwałych procedur odwoławczych;</w:t>
      </w:r>
    </w:p>
    <w:p w14:paraId="48F859C6" w14:textId="4E528BC9" w:rsidR="00E77439" w:rsidRPr="004542B8" w:rsidRDefault="00E77439" w:rsidP="00AF13E8">
      <w:pPr>
        <w:pStyle w:val="Tre"/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w regionie lubelskim rozważane jest organizowanie konkursów otwartych, m.in. z możliwością natychmiastowego przyznawania wsparcia wnioskodawcom osiągającym określoną wysoką liczbę punktów, bez </w:t>
      </w:r>
      <w:r w:rsidR="001949A8">
        <w:rPr>
          <w:rFonts w:ascii="Arial" w:hAnsi="Arial" w:cs="Arial"/>
          <w:color w:val="auto"/>
        </w:rPr>
        <w:t>o</w:t>
      </w:r>
      <w:r w:rsidRPr="004542B8">
        <w:rPr>
          <w:rFonts w:ascii="Arial" w:hAnsi="Arial" w:cs="Arial"/>
          <w:color w:val="auto"/>
        </w:rPr>
        <w:t>czek</w:t>
      </w:r>
      <w:r w:rsidR="001949A8">
        <w:rPr>
          <w:rFonts w:ascii="Arial" w:hAnsi="Arial" w:cs="Arial"/>
          <w:color w:val="auto"/>
        </w:rPr>
        <w:t>iw</w:t>
      </w:r>
      <w:r w:rsidRPr="004542B8">
        <w:rPr>
          <w:rFonts w:ascii="Arial" w:hAnsi="Arial" w:cs="Arial"/>
          <w:color w:val="auto"/>
        </w:rPr>
        <w:t>ania na zakończenie całego procesu oceny np. kilkuset wniosków;</w:t>
      </w:r>
    </w:p>
    <w:p w14:paraId="7A98CE2D" w14:textId="77777777" w:rsidR="00E77439" w:rsidRPr="004542B8" w:rsidRDefault="00E77439" w:rsidP="00AF13E8">
      <w:pPr>
        <w:pStyle w:val="Tre"/>
        <w:numPr>
          <w:ilvl w:val="0"/>
          <w:numId w:val="14"/>
        </w:numPr>
        <w:spacing w:after="60"/>
        <w:ind w:left="357" w:hanging="357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zwrócono uwagę na konieczność stosowania się do formuły otwartego konkursu uznawanej przez Komisję Europejską (nabór wniosków na wartość ok. </w:t>
      </w:r>
      <w:r w:rsidRPr="004542B8">
        <w:rPr>
          <w:rFonts w:ascii="Arial" w:hAnsi="Arial" w:cs="Arial"/>
        </w:rPr>
        <w:t xml:space="preserve">4-5 razy </w:t>
      </w:r>
      <w:r w:rsidRPr="004542B8">
        <w:rPr>
          <w:rFonts w:ascii="Arial" w:hAnsi="Arial" w:cs="Arial"/>
          <w:color w:val="auto"/>
        </w:rPr>
        <w:t xml:space="preserve">przekraczającą </w:t>
      </w:r>
      <w:r w:rsidRPr="004542B8">
        <w:rPr>
          <w:rFonts w:ascii="Arial" w:hAnsi="Arial" w:cs="Arial"/>
        </w:rPr>
        <w:t xml:space="preserve">dostępną alokację i przyznawanie wsparcia najlepszym); </w:t>
      </w:r>
    </w:p>
    <w:p w14:paraId="532A9EF7" w14:textId="1B6183B6" w:rsidR="00E77439" w:rsidRPr="004542B8" w:rsidRDefault="00E77439" w:rsidP="00AF13E8">
      <w:pPr>
        <w:pStyle w:val="Tre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t xml:space="preserve">zauważono, że czas rozpatrywania wniosków na początku mijającej perspektywy był znacznie dłuższy niż </w:t>
      </w:r>
      <w:r w:rsidR="00D64D3B" w:rsidRPr="004542B8">
        <w:rPr>
          <w:rFonts w:ascii="Arial" w:hAnsi="Arial" w:cs="Arial"/>
          <w:color w:val="auto"/>
        </w:rPr>
        <w:t xml:space="preserve">np. </w:t>
      </w:r>
      <w:r w:rsidRPr="004542B8">
        <w:rPr>
          <w:rFonts w:ascii="Arial" w:hAnsi="Arial" w:cs="Arial"/>
          <w:color w:val="auto"/>
        </w:rPr>
        <w:t>w bieżącym roku, przy tych samych przepisach i ograniczeniach.</w:t>
      </w:r>
    </w:p>
    <w:p w14:paraId="25214512" w14:textId="77777777" w:rsidR="00E77439" w:rsidRPr="004542B8" w:rsidRDefault="00E77439" w:rsidP="008236F0">
      <w:pPr>
        <w:pStyle w:val="Tre"/>
        <w:ind w:left="360"/>
        <w:jc w:val="both"/>
        <w:rPr>
          <w:rFonts w:ascii="Arial" w:hAnsi="Arial" w:cs="Arial"/>
          <w:color w:val="auto"/>
        </w:rPr>
      </w:pPr>
    </w:p>
    <w:p w14:paraId="08638721" w14:textId="77777777" w:rsidR="00E77439" w:rsidRDefault="00E77439" w:rsidP="008236F0">
      <w:pPr>
        <w:pStyle w:val="Tre"/>
        <w:jc w:val="both"/>
        <w:rPr>
          <w:rFonts w:ascii="Arial" w:hAnsi="Arial" w:cs="Arial"/>
          <w:color w:val="auto"/>
        </w:rPr>
      </w:pPr>
      <w:r w:rsidRPr="004542B8">
        <w:rPr>
          <w:rFonts w:ascii="Arial" w:hAnsi="Arial" w:cs="Arial"/>
          <w:color w:val="auto"/>
        </w:rPr>
        <w:lastRenderedPageBreak/>
        <w:t>Zdaniem Dyrektora Marcina Łaty kwestia usprawnienia systemów oceny jest jednym z głównych punktów do dyskusji, jeśli chodzi o przyszłą perspektywę. Zaproponował, aby zorganizować spotkanie poświęcone temu zagadnieniu w odniesieniu do finansowania przedsiębiorców, w celu wymiany doświadczeń i próby wypracowania lepszych niż dotychczasowe rozwiązań.</w:t>
      </w:r>
    </w:p>
    <w:p w14:paraId="6D43AA51" w14:textId="77777777" w:rsidR="00E17C38" w:rsidRDefault="00E17C38" w:rsidP="008236F0">
      <w:pPr>
        <w:pStyle w:val="Tre"/>
        <w:jc w:val="both"/>
        <w:rPr>
          <w:rFonts w:ascii="Arial" w:hAnsi="Arial" w:cs="Arial"/>
          <w:color w:val="auto"/>
        </w:rPr>
      </w:pPr>
    </w:p>
    <w:p w14:paraId="23A5225C" w14:textId="77777777" w:rsidR="00645CFF" w:rsidRDefault="00645CFF" w:rsidP="008236F0">
      <w:pPr>
        <w:pStyle w:val="Tre"/>
        <w:jc w:val="both"/>
        <w:rPr>
          <w:rFonts w:ascii="Arial" w:hAnsi="Arial" w:cs="Arial"/>
          <w:color w:val="auto"/>
        </w:rPr>
      </w:pPr>
    </w:p>
    <w:p w14:paraId="57E9E182" w14:textId="77777777" w:rsidR="00E17C38" w:rsidRDefault="00E17C38" w:rsidP="008236F0">
      <w:pPr>
        <w:pStyle w:val="Tre"/>
        <w:jc w:val="both"/>
        <w:rPr>
          <w:rFonts w:ascii="Arial" w:hAnsi="Arial" w:cs="Arial"/>
          <w:color w:val="auto"/>
        </w:rPr>
      </w:pPr>
    </w:p>
    <w:p w14:paraId="427D0A46" w14:textId="77777777" w:rsidR="000A39AF" w:rsidRPr="004542B8" w:rsidRDefault="000A39AF" w:rsidP="00AF13E8">
      <w:pPr>
        <w:pStyle w:val="Tre"/>
        <w:numPr>
          <w:ilvl w:val="0"/>
          <w:numId w:val="3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  <w:b/>
        </w:rPr>
        <w:t xml:space="preserve">Działania informacyjne wspierające MŚP w 2014-2020 </w:t>
      </w:r>
      <w:r w:rsidRPr="004542B8">
        <w:rPr>
          <w:rFonts w:ascii="Arial" w:hAnsi="Arial" w:cs="Arial"/>
        </w:rPr>
        <w:t>– czy można przygotować MŚP do realizacji ambitnych projektów i wdrażania innowacji</w:t>
      </w:r>
    </w:p>
    <w:p w14:paraId="51FFF54C" w14:textId="77777777" w:rsidR="000A39AF" w:rsidRPr="004542B8" w:rsidRDefault="000A39AF" w:rsidP="00551FB4">
      <w:pPr>
        <w:pStyle w:val="Tre"/>
        <w:jc w:val="both"/>
        <w:rPr>
          <w:rFonts w:ascii="Arial" w:hAnsi="Arial" w:cs="Arial"/>
        </w:rPr>
      </w:pPr>
    </w:p>
    <w:p w14:paraId="63724497" w14:textId="4A52FBFD" w:rsidR="0044034A" w:rsidRPr="004542B8" w:rsidRDefault="0044034A" w:rsidP="00551FB4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  <w:b/>
        </w:rPr>
        <w:t>Anita Noskowska-Piątkowska, Dyrektor Departamentu Informacji i Promocji w Ministerstwie Infrastruktury i Rozwoju</w:t>
      </w:r>
      <w:r w:rsidRPr="004542B8">
        <w:rPr>
          <w:rFonts w:ascii="Arial" w:hAnsi="Arial" w:cs="Arial"/>
        </w:rPr>
        <w:t xml:space="preserve"> przedstawiła główne założenia nowego systemu informacji i promocji funduszy europejskich na lata 2014-2020, w szczególności pod kątem obowiązków beneficjenta, systemu punktów informacyjnych oraz portali internetowych. Wszystkie działania informacyjno-promocyjne w nowej perspektywie powinny być celowe, dostosowane do poszczególnych grup beneficjentów oraz kosztowo efektyw</w:t>
      </w:r>
      <w:r w:rsidR="004E7CB2">
        <w:rPr>
          <w:rFonts w:ascii="Arial" w:hAnsi="Arial" w:cs="Arial"/>
        </w:rPr>
        <w:t>n</w:t>
      </w:r>
      <w:r w:rsidRPr="004542B8">
        <w:rPr>
          <w:rFonts w:ascii="Arial" w:hAnsi="Arial" w:cs="Arial"/>
        </w:rPr>
        <w:t xml:space="preserve">e; planuje się </w:t>
      </w:r>
      <w:r w:rsidR="005E2426">
        <w:rPr>
          <w:rFonts w:ascii="Arial" w:hAnsi="Arial" w:cs="Arial"/>
        </w:rPr>
        <w:t xml:space="preserve">też </w:t>
      </w:r>
      <w:r w:rsidRPr="004542B8">
        <w:rPr>
          <w:rFonts w:ascii="Arial" w:hAnsi="Arial" w:cs="Arial"/>
        </w:rPr>
        <w:t>rezygn</w:t>
      </w:r>
      <w:r w:rsidR="005E2426">
        <w:rPr>
          <w:rFonts w:ascii="Arial" w:hAnsi="Arial" w:cs="Arial"/>
        </w:rPr>
        <w:t>ację</w:t>
      </w:r>
      <w:r w:rsidRPr="004542B8">
        <w:rPr>
          <w:rFonts w:ascii="Arial" w:hAnsi="Arial" w:cs="Arial"/>
        </w:rPr>
        <w:t xml:space="preserve"> z działań nie tworzących wartości dodanej na poziomie świadomości o funduszach europejskich.</w:t>
      </w:r>
    </w:p>
    <w:p w14:paraId="31BE48D8" w14:textId="77777777" w:rsidR="0044034A" w:rsidRPr="004542B8" w:rsidRDefault="0044034A" w:rsidP="00551FB4">
      <w:pPr>
        <w:pStyle w:val="Tre"/>
        <w:jc w:val="both"/>
        <w:rPr>
          <w:rFonts w:ascii="Arial" w:hAnsi="Arial" w:cs="Arial"/>
        </w:rPr>
      </w:pPr>
    </w:p>
    <w:p w14:paraId="6BFD6733" w14:textId="6C99F572" w:rsidR="0044034A" w:rsidRPr="004542B8" w:rsidRDefault="0044034A" w:rsidP="002D5057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Wśród planowanych zmian w systemie informacyjno-promocyjnym w nowej perspektywie znajdują się:</w:t>
      </w:r>
    </w:p>
    <w:p w14:paraId="736CFC78" w14:textId="77777777" w:rsidR="0044034A" w:rsidRPr="004542B8" w:rsidRDefault="0044034A" w:rsidP="00AF13E8">
      <w:pPr>
        <w:pStyle w:val="Akapitzlist"/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stworzenie </w:t>
      </w:r>
      <w:r w:rsidRPr="004542B8">
        <w:rPr>
          <w:rFonts w:ascii="Arial" w:hAnsi="Arial" w:cs="Arial"/>
          <w:sz w:val="22"/>
          <w:szCs w:val="22"/>
          <w:u w:val="single"/>
        </w:rPr>
        <w:t>jednego</w:t>
      </w:r>
      <w:r w:rsidRPr="004542B8">
        <w:rPr>
          <w:rFonts w:ascii="Arial" w:hAnsi="Arial" w:cs="Arial"/>
          <w:sz w:val="22"/>
          <w:szCs w:val="22"/>
        </w:rPr>
        <w:t xml:space="preserve"> podręcznika dla beneficjenta, obejmującego wszystkie programy operacyjne, zawierającego minimalne wymogi </w:t>
      </w:r>
      <w:r w:rsidR="004E7CB2">
        <w:rPr>
          <w:rFonts w:ascii="Arial" w:hAnsi="Arial" w:cs="Arial"/>
          <w:sz w:val="22"/>
          <w:szCs w:val="22"/>
        </w:rPr>
        <w:t xml:space="preserve">informacyjne </w:t>
      </w:r>
      <w:r w:rsidRPr="004542B8">
        <w:rPr>
          <w:rFonts w:ascii="Arial" w:hAnsi="Arial" w:cs="Arial"/>
          <w:sz w:val="22"/>
          <w:szCs w:val="22"/>
        </w:rPr>
        <w:t>wynikające z rozporządzenia; projekt podręcznika będzie podlegał konsultacjom; założenia: uproszczony język; wersja elektroniczna prowadząca bezpośrednio do wszystkich informacji, załączników i innych dokumentów, jakich potrzebuje beneficjent – w jednym miejscu; atrakcyjna forma graficzna;</w:t>
      </w:r>
    </w:p>
    <w:p w14:paraId="371E8BFE" w14:textId="6969FCC4" w:rsidR="0044034A" w:rsidRPr="004542B8" w:rsidRDefault="0044034A" w:rsidP="00AF13E8">
      <w:pPr>
        <w:pStyle w:val="Akapitzlist"/>
        <w:numPr>
          <w:ilvl w:val="0"/>
          <w:numId w:val="1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>usprawnianie sieci punktów informacyjnych funduszy europejskich (PIFE) równomiernie rozłożonych w kraju, stanowiących jeden system (dotychczas funkcjonowały trzy oddzielne sieci)</w:t>
      </w:r>
      <w:r w:rsidR="005E2426">
        <w:rPr>
          <w:rFonts w:ascii="Arial" w:hAnsi="Arial" w:cs="Arial"/>
          <w:sz w:val="22"/>
          <w:szCs w:val="22"/>
        </w:rPr>
        <w:t xml:space="preserve"> poprzez</w:t>
      </w:r>
      <w:r w:rsidRPr="004542B8">
        <w:rPr>
          <w:rFonts w:ascii="Arial" w:hAnsi="Arial" w:cs="Arial"/>
          <w:sz w:val="22"/>
          <w:szCs w:val="22"/>
        </w:rPr>
        <w:t xml:space="preserve">: większy nacisk na efektywność działania punktów – wprowadzenie tzw. </w:t>
      </w:r>
      <w:r w:rsidRPr="004542B8">
        <w:rPr>
          <w:rFonts w:ascii="Arial" w:hAnsi="Arial" w:cs="Arial"/>
          <w:i/>
          <w:sz w:val="22"/>
          <w:szCs w:val="22"/>
        </w:rPr>
        <w:t>punktów aktywności</w:t>
      </w:r>
      <w:r w:rsidRPr="004542B8">
        <w:rPr>
          <w:rFonts w:ascii="Arial" w:hAnsi="Arial" w:cs="Arial"/>
          <w:sz w:val="22"/>
          <w:szCs w:val="22"/>
        </w:rPr>
        <w:t>; większ</w:t>
      </w:r>
      <w:r w:rsidR="005E2426">
        <w:rPr>
          <w:rFonts w:ascii="Arial" w:hAnsi="Arial" w:cs="Arial"/>
          <w:sz w:val="22"/>
          <w:szCs w:val="22"/>
        </w:rPr>
        <w:t>ą</w:t>
      </w:r>
      <w:r w:rsidRPr="004542B8">
        <w:rPr>
          <w:rFonts w:ascii="Arial" w:hAnsi="Arial" w:cs="Arial"/>
          <w:sz w:val="22"/>
          <w:szCs w:val="22"/>
        </w:rPr>
        <w:t xml:space="preserve"> mobilność punktów informacyjnych w miejscach, w których istnieje potrzeba informacyjna, a np. nie ma punktu; wprowadzenie specjalizacji konsultantów (np. w dziedzinie RPO i przedsiębiorców);</w:t>
      </w:r>
    </w:p>
    <w:p w14:paraId="29ED679E" w14:textId="45D60064" w:rsidR="0044034A" w:rsidRPr="004542B8" w:rsidRDefault="0044034A" w:rsidP="00AF13E8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>unifikacja portali internetowych (jednakowa architektura portalów wszystkich PO krajowych i regionalnych; jeden portal zbierający wszystkie informacj</w:t>
      </w:r>
      <w:r w:rsidR="004E7CB2">
        <w:rPr>
          <w:rFonts w:ascii="Arial" w:hAnsi="Arial" w:cs="Arial"/>
          <w:sz w:val="22"/>
          <w:szCs w:val="22"/>
        </w:rPr>
        <w:t xml:space="preserve">e </w:t>
      </w:r>
      <w:r w:rsidRPr="004542B8">
        <w:rPr>
          <w:rFonts w:ascii="Arial" w:hAnsi="Arial" w:cs="Arial"/>
          <w:sz w:val="22"/>
          <w:szCs w:val="22"/>
        </w:rPr>
        <w:t xml:space="preserve"> z PO krajowych i regionalnych, w tym harmonogramy naborów, bazę ogłoszeń o konkursach, wyniki naborów ze wszystkich konkursów; wyszukiwark</w:t>
      </w:r>
      <w:r w:rsidR="004E7CB2">
        <w:rPr>
          <w:rFonts w:ascii="Arial" w:hAnsi="Arial" w:cs="Arial"/>
          <w:sz w:val="22"/>
          <w:szCs w:val="22"/>
        </w:rPr>
        <w:t>ę</w:t>
      </w:r>
      <w:r w:rsidRPr="004542B8">
        <w:rPr>
          <w:rFonts w:ascii="Arial" w:hAnsi="Arial" w:cs="Arial"/>
          <w:sz w:val="22"/>
          <w:szCs w:val="22"/>
        </w:rPr>
        <w:t xml:space="preserve"> dotacji)</w:t>
      </w:r>
    </w:p>
    <w:p w14:paraId="13ACD1CC" w14:textId="77777777" w:rsidR="0044034A" w:rsidRPr="004542B8" w:rsidRDefault="0044034A" w:rsidP="00551FB4">
      <w:pPr>
        <w:pStyle w:val="Akapitzlis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7F937D4" w14:textId="77777777" w:rsidR="0044034A" w:rsidRPr="004542B8" w:rsidRDefault="0044034A" w:rsidP="002D5057">
      <w:pPr>
        <w:pStyle w:val="Akapitzlist"/>
        <w:spacing w:after="60"/>
        <w:ind w:left="0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W kwestii zmian dotyczących </w:t>
      </w:r>
      <w:r w:rsidRPr="00E41B2A">
        <w:rPr>
          <w:rFonts w:ascii="Arial" w:hAnsi="Arial" w:cs="Arial"/>
          <w:sz w:val="22"/>
          <w:szCs w:val="22"/>
        </w:rPr>
        <w:t>sieci punktów informacyjnych</w:t>
      </w:r>
      <w:r w:rsidRPr="004542B8">
        <w:rPr>
          <w:rFonts w:ascii="Arial" w:hAnsi="Arial" w:cs="Arial"/>
          <w:sz w:val="22"/>
          <w:szCs w:val="22"/>
        </w:rPr>
        <w:t>, która w całości finansowana będzie z PO Pomoc Techniczna, Przedstawicielka MIR informowała m.in. o:</w:t>
      </w:r>
    </w:p>
    <w:p w14:paraId="5EDFAD1C" w14:textId="69A0B9CA" w:rsidR="0044034A" w:rsidRPr="004542B8" w:rsidRDefault="0044034A" w:rsidP="00AF13E8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nowej metodologii negocjowania dotacji dla województw na prowadzenie punktów, uzależniającej jej wielkość od zakładanego poziomu aktywności mierzonej tzw. </w:t>
      </w:r>
      <w:r w:rsidRPr="004542B8">
        <w:rPr>
          <w:rFonts w:ascii="Arial" w:hAnsi="Arial" w:cs="Arial"/>
          <w:i/>
          <w:sz w:val="22"/>
          <w:szCs w:val="22"/>
        </w:rPr>
        <w:t>punktami aktywności</w:t>
      </w:r>
      <w:r w:rsidRPr="004542B8">
        <w:rPr>
          <w:rFonts w:ascii="Arial" w:hAnsi="Arial" w:cs="Arial"/>
          <w:sz w:val="22"/>
          <w:szCs w:val="22"/>
        </w:rPr>
        <w:t xml:space="preserve">, i podlegającej późniejszej weryfikacji; przewidziano też przyznawanie tzw. </w:t>
      </w:r>
      <w:r w:rsidRPr="004542B8">
        <w:rPr>
          <w:rFonts w:ascii="Arial" w:hAnsi="Arial" w:cs="Arial"/>
          <w:i/>
          <w:sz w:val="22"/>
          <w:szCs w:val="22"/>
        </w:rPr>
        <w:t>punktów negatywnych</w:t>
      </w:r>
      <w:r w:rsidRPr="004542B8">
        <w:rPr>
          <w:rFonts w:ascii="Arial" w:hAnsi="Arial" w:cs="Arial"/>
          <w:sz w:val="22"/>
          <w:szCs w:val="22"/>
        </w:rPr>
        <w:t xml:space="preserve"> za niespełnienie przez </w:t>
      </w:r>
      <w:r w:rsidR="005E2426">
        <w:rPr>
          <w:rFonts w:ascii="Arial" w:hAnsi="Arial" w:cs="Arial"/>
          <w:sz w:val="22"/>
          <w:szCs w:val="22"/>
        </w:rPr>
        <w:t>region</w:t>
      </w:r>
      <w:r w:rsidRPr="004542B8">
        <w:rPr>
          <w:rFonts w:ascii="Arial" w:hAnsi="Arial" w:cs="Arial"/>
          <w:sz w:val="22"/>
          <w:szCs w:val="22"/>
        </w:rPr>
        <w:t xml:space="preserve"> zakładanych celów, determinujących wielkość otrzymanej dotacji w kolejnym roku;</w:t>
      </w:r>
    </w:p>
    <w:p w14:paraId="4600F6FE" w14:textId="77777777" w:rsidR="0044034A" w:rsidRPr="004542B8" w:rsidRDefault="0044034A" w:rsidP="00AF13E8">
      <w:pPr>
        <w:pStyle w:val="Akapitzlist"/>
        <w:numPr>
          <w:ilvl w:val="0"/>
          <w:numId w:val="18"/>
        </w:numPr>
        <w:spacing w:after="12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>nowych usługach świadczonych przez PIFE: konsultacje na etapie przygotowywania wniosków/projektów; konsultacje na etapie realizacji projektu; indywidualne konsultacje u klienta (</w:t>
      </w:r>
      <w:r w:rsidR="004E7CB2">
        <w:rPr>
          <w:rFonts w:ascii="Arial" w:hAnsi="Arial" w:cs="Arial"/>
          <w:sz w:val="22"/>
          <w:szCs w:val="22"/>
        </w:rPr>
        <w:t xml:space="preserve">m.in.: </w:t>
      </w:r>
      <w:r w:rsidRPr="004542B8">
        <w:rPr>
          <w:rFonts w:ascii="Arial" w:hAnsi="Arial" w:cs="Arial"/>
          <w:sz w:val="22"/>
          <w:szCs w:val="22"/>
        </w:rPr>
        <w:t>dla osób z niepełnosprawnościami).</w:t>
      </w:r>
    </w:p>
    <w:p w14:paraId="2E1056BA" w14:textId="216A66ED" w:rsidR="0044034A" w:rsidRPr="004542B8" w:rsidRDefault="0044034A" w:rsidP="00551FB4">
      <w:pPr>
        <w:pStyle w:val="Tre"/>
        <w:jc w:val="both"/>
        <w:rPr>
          <w:rFonts w:ascii="Arial" w:hAnsi="Arial" w:cs="Arial"/>
          <w:color w:val="FF0000"/>
        </w:rPr>
      </w:pPr>
      <w:r w:rsidRPr="004542B8">
        <w:rPr>
          <w:rFonts w:ascii="Arial" w:hAnsi="Arial" w:cs="Arial"/>
        </w:rPr>
        <w:t>W odpowiedzi na pytanie ze strony uczestników</w:t>
      </w:r>
      <w:r w:rsidR="005E2426">
        <w:rPr>
          <w:rFonts w:ascii="Arial" w:hAnsi="Arial" w:cs="Arial"/>
        </w:rPr>
        <w:t xml:space="preserve"> posiedzenia</w:t>
      </w:r>
      <w:r w:rsidRPr="004542B8">
        <w:rPr>
          <w:rFonts w:ascii="Arial" w:hAnsi="Arial" w:cs="Arial"/>
        </w:rPr>
        <w:t xml:space="preserve">, wyjaśniono, że rolą punktów funkcjonujących w ramach Krajowego Systemu Usług będzie świadczenie usług doradczych </w:t>
      </w:r>
      <w:r w:rsidRPr="00E41B2A">
        <w:rPr>
          <w:rFonts w:ascii="Arial" w:hAnsi="Arial" w:cs="Arial"/>
          <w:i/>
        </w:rPr>
        <w:t>stricte</w:t>
      </w:r>
      <w:r w:rsidRPr="004542B8">
        <w:rPr>
          <w:rFonts w:ascii="Arial" w:hAnsi="Arial" w:cs="Arial"/>
        </w:rPr>
        <w:t xml:space="preserve"> związanych z działalnością gospodarczą, w tym pomoc w rozpoczynaniu działalności gospodarczej; ich rolą natomiast nie będzie informowanie na temat funduszy europejskich.</w:t>
      </w:r>
    </w:p>
    <w:p w14:paraId="43DBD8FD" w14:textId="77777777" w:rsidR="0044034A" w:rsidRPr="004542B8" w:rsidRDefault="0044034A" w:rsidP="00551FB4">
      <w:pPr>
        <w:pStyle w:val="Tre"/>
        <w:jc w:val="both"/>
        <w:rPr>
          <w:rFonts w:ascii="Arial" w:hAnsi="Arial" w:cs="Arial"/>
        </w:rPr>
      </w:pPr>
    </w:p>
    <w:p w14:paraId="64203D52" w14:textId="5604714B" w:rsidR="0044034A" w:rsidRPr="000025E0" w:rsidRDefault="0044034A" w:rsidP="002D50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sz w:val="22"/>
          <w:szCs w:val="22"/>
        </w:rPr>
        <w:t xml:space="preserve">Przedstawicielka MIR poinformowała o planowanych przez Instytucję Koordynującą (Departament Informacji i Promocji w MIR) działaniach dotyczących horyzontalnej edukacji, w tym realizacji we współpracy z partnerami </w:t>
      </w:r>
      <w:r w:rsidRPr="004542B8">
        <w:rPr>
          <w:rFonts w:ascii="Arial" w:hAnsi="Arial" w:cs="Arial"/>
          <w:sz w:val="22"/>
          <w:szCs w:val="22"/>
        </w:rPr>
        <w:lastRenderedPageBreak/>
        <w:t xml:space="preserve">działań zbliżonych do cyklu szkoleń zorganizowanych na początku mijającej perspektywy (np. „Euro dla przedsiębiorców”, „Euro </w:t>
      </w:r>
      <w:r w:rsidRPr="000025E0">
        <w:rPr>
          <w:rFonts w:ascii="Arial" w:hAnsi="Arial" w:cs="Arial"/>
          <w:sz w:val="22"/>
          <w:szCs w:val="22"/>
        </w:rPr>
        <w:t>na zdrowie” czy „Euro na edukację”). W tym kontekście pytano o:</w:t>
      </w:r>
    </w:p>
    <w:p w14:paraId="43DD63B5" w14:textId="77777777" w:rsidR="0044034A" w:rsidRPr="000025E0" w:rsidRDefault="0044034A" w:rsidP="00AF13E8">
      <w:pPr>
        <w:pStyle w:val="Akapitzlist"/>
        <w:numPr>
          <w:ilvl w:val="0"/>
          <w:numId w:val="19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25E0">
        <w:rPr>
          <w:rFonts w:ascii="Arial" w:hAnsi="Arial" w:cs="Arial"/>
          <w:sz w:val="22"/>
          <w:szCs w:val="22"/>
        </w:rPr>
        <w:t>formę konkursów dotacji na prowadzenie działań informacyjnych;</w:t>
      </w:r>
    </w:p>
    <w:p w14:paraId="1F46E654" w14:textId="336D1A82" w:rsidR="0044034A" w:rsidRPr="000025E0" w:rsidRDefault="0044034A" w:rsidP="00AF13E8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1B2A">
        <w:rPr>
          <w:rFonts w:ascii="Arial" w:hAnsi="Arial" w:cs="Arial"/>
          <w:sz w:val="22"/>
          <w:szCs w:val="22"/>
        </w:rPr>
        <w:t xml:space="preserve">rolę partnerów społeczno-gospodarczych, o której mowa jest w nowej „Strategii komunikacji polityki spójności”; </w:t>
      </w:r>
      <w:r w:rsidR="000025E0">
        <w:rPr>
          <w:rFonts w:ascii="Arial" w:hAnsi="Arial" w:cs="Arial"/>
          <w:sz w:val="22"/>
          <w:szCs w:val="22"/>
        </w:rPr>
        <w:t xml:space="preserve">przypomniano, </w:t>
      </w:r>
      <w:r w:rsidRPr="00E41B2A">
        <w:rPr>
          <w:rFonts w:ascii="Arial" w:hAnsi="Arial" w:cs="Arial"/>
          <w:sz w:val="22"/>
          <w:szCs w:val="22"/>
        </w:rPr>
        <w:t xml:space="preserve">że w ramach </w:t>
      </w:r>
      <w:r w:rsidR="000025E0" w:rsidRPr="002403F8">
        <w:rPr>
          <w:rFonts w:ascii="Arial" w:hAnsi="Arial" w:cs="Arial"/>
          <w:sz w:val="22"/>
          <w:szCs w:val="22"/>
        </w:rPr>
        <w:t xml:space="preserve">obecnie </w:t>
      </w:r>
      <w:r w:rsidRPr="00E41B2A">
        <w:rPr>
          <w:rFonts w:ascii="Arial" w:hAnsi="Arial" w:cs="Arial"/>
          <w:sz w:val="22"/>
          <w:szCs w:val="22"/>
        </w:rPr>
        <w:t>realizowanego projektu „</w:t>
      </w:r>
      <w:r w:rsidRPr="00E41B2A">
        <w:rPr>
          <w:rFonts w:ascii="Arial" w:hAnsi="Arial" w:cs="Arial"/>
          <w:i/>
          <w:sz w:val="22"/>
          <w:szCs w:val="22"/>
        </w:rPr>
        <w:t>Przygotowanie przez partnerów społecznych strategii partnerstwa na lata 2014–2020</w:t>
      </w:r>
      <w:r w:rsidRPr="00E41B2A">
        <w:rPr>
          <w:rFonts w:ascii="Arial" w:hAnsi="Arial" w:cs="Arial"/>
          <w:sz w:val="22"/>
          <w:szCs w:val="22"/>
        </w:rPr>
        <w:t>” partnerzy zdefiniowali zakres możliwych do realizacji działań informacyjno-promocyjnych, które są istotne, jednak nie wynikają wprost ze „Strategii” (m.in. informowanie nt</w:t>
      </w:r>
      <w:r w:rsidR="004E7CB2" w:rsidRPr="00E41B2A">
        <w:rPr>
          <w:rFonts w:ascii="Arial" w:hAnsi="Arial" w:cs="Arial"/>
          <w:sz w:val="22"/>
          <w:szCs w:val="22"/>
        </w:rPr>
        <w:t>.</w:t>
      </w:r>
      <w:r w:rsidRPr="00E41B2A">
        <w:rPr>
          <w:rFonts w:ascii="Arial" w:hAnsi="Arial" w:cs="Arial"/>
          <w:sz w:val="22"/>
          <w:szCs w:val="22"/>
        </w:rPr>
        <w:t xml:space="preserve"> instrumentów zwrotnych</w:t>
      </w:r>
      <w:r w:rsidR="000025E0">
        <w:rPr>
          <w:rFonts w:ascii="Arial" w:hAnsi="Arial" w:cs="Arial"/>
          <w:sz w:val="22"/>
          <w:szCs w:val="22"/>
        </w:rPr>
        <w:t xml:space="preserve">, </w:t>
      </w:r>
      <w:r w:rsidRPr="00E41B2A">
        <w:rPr>
          <w:rFonts w:ascii="Arial" w:hAnsi="Arial" w:cs="Arial"/>
          <w:sz w:val="22"/>
          <w:szCs w:val="22"/>
        </w:rPr>
        <w:t>zacieśniani</w:t>
      </w:r>
      <w:r w:rsidR="004E7CB2" w:rsidRPr="00E41B2A">
        <w:rPr>
          <w:rFonts w:ascii="Arial" w:hAnsi="Arial" w:cs="Arial"/>
          <w:sz w:val="22"/>
          <w:szCs w:val="22"/>
        </w:rPr>
        <w:t>a</w:t>
      </w:r>
      <w:r w:rsidRPr="00E41B2A">
        <w:rPr>
          <w:rFonts w:ascii="Arial" w:hAnsi="Arial" w:cs="Arial"/>
          <w:sz w:val="22"/>
          <w:szCs w:val="22"/>
        </w:rPr>
        <w:t xml:space="preserve"> współpracy między sferą </w:t>
      </w:r>
      <w:r w:rsidR="004E7CB2" w:rsidRPr="00E41B2A">
        <w:rPr>
          <w:rFonts w:ascii="Arial" w:hAnsi="Arial" w:cs="Arial"/>
          <w:sz w:val="22"/>
          <w:szCs w:val="22"/>
        </w:rPr>
        <w:t xml:space="preserve">nauki </w:t>
      </w:r>
      <w:r w:rsidRPr="00E41B2A">
        <w:rPr>
          <w:rFonts w:ascii="Arial" w:hAnsi="Arial" w:cs="Arial"/>
          <w:sz w:val="22"/>
          <w:szCs w:val="22"/>
        </w:rPr>
        <w:t>a MŚP</w:t>
      </w:r>
      <w:r w:rsidR="000025E0">
        <w:rPr>
          <w:rFonts w:ascii="Arial" w:hAnsi="Arial" w:cs="Arial"/>
          <w:sz w:val="22"/>
          <w:szCs w:val="22"/>
        </w:rPr>
        <w:t xml:space="preserve"> czy</w:t>
      </w:r>
      <w:r w:rsidRPr="00E41B2A">
        <w:rPr>
          <w:rFonts w:ascii="Arial" w:hAnsi="Arial" w:cs="Arial"/>
          <w:sz w:val="22"/>
          <w:szCs w:val="22"/>
        </w:rPr>
        <w:t xml:space="preserve"> </w:t>
      </w:r>
      <w:r w:rsidR="000025E0">
        <w:rPr>
          <w:rFonts w:ascii="Arial" w:hAnsi="Arial" w:cs="Arial"/>
          <w:sz w:val="22"/>
          <w:szCs w:val="22"/>
        </w:rPr>
        <w:t xml:space="preserve">funkcjonowania </w:t>
      </w:r>
      <w:r w:rsidRPr="00E41B2A">
        <w:rPr>
          <w:rFonts w:ascii="Arial" w:hAnsi="Arial" w:cs="Arial"/>
          <w:sz w:val="22"/>
          <w:szCs w:val="22"/>
        </w:rPr>
        <w:t>Rejestru Usług Rozwojowych).</w:t>
      </w:r>
    </w:p>
    <w:p w14:paraId="7DFEFA9B" w14:textId="5FAA35F5" w:rsidR="002A68B1" w:rsidRPr="004542B8" w:rsidRDefault="00364B5B" w:rsidP="00551FB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Uczestnicy posiedzenia </w:t>
      </w:r>
      <w:r w:rsidR="0044034A" w:rsidRPr="004542B8">
        <w:rPr>
          <w:rFonts w:ascii="Arial" w:hAnsi="Arial" w:cs="Arial"/>
          <w:sz w:val="22"/>
          <w:szCs w:val="22"/>
        </w:rPr>
        <w:t>zasugerowa</w:t>
      </w:r>
      <w:r>
        <w:rPr>
          <w:rFonts w:ascii="Arial" w:hAnsi="Arial" w:cs="Arial"/>
          <w:sz w:val="22"/>
          <w:szCs w:val="22"/>
        </w:rPr>
        <w:t>li</w:t>
      </w:r>
      <w:r w:rsidR="0044034A" w:rsidRPr="004542B8">
        <w:rPr>
          <w:rFonts w:ascii="Arial" w:hAnsi="Arial" w:cs="Arial"/>
          <w:sz w:val="22"/>
          <w:szCs w:val="22"/>
        </w:rPr>
        <w:t xml:space="preserve"> zorganizowanie przez Departament Informacji i Promocji w MIR roboczego spotkania w celu przedyskutowania możliwych działań z partnerami</w:t>
      </w:r>
      <w:r w:rsidR="00523260">
        <w:rPr>
          <w:rFonts w:ascii="Arial" w:hAnsi="Arial" w:cs="Arial"/>
          <w:sz w:val="22"/>
          <w:szCs w:val="22"/>
        </w:rPr>
        <w:t xml:space="preserve"> oraz</w:t>
      </w:r>
      <w:r w:rsidR="0044034A" w:rsidRPr="004542B8">
        <w:rPr>
          <w:rFonts w:ascii="Arial" w:hAnsi="Arial" w:cs="Arial"/>
          <w:sz w:val="22"/>
          <w:szCs w:val="22"/>
        </w:rPr>
        <w:t xml:space="preserve"> wymiany pomysłów i doświadczeń w tym zakresie</w:t>
      </w:r>
      <w:r w:rsidR="00523260">
        <w:rPr>
          <w:rFonts w:ascii="Arial" w:hAnsi="Arial" w:cs="Arial"/>
          <w:sz w:val="22"/>
          <w:szCs w:val="22"/>
        </w:rPr>
        <w:t>,</w:t>
      </w:r>
      <w:r w:rsidR="0044034A" w:rsidRPr="004542B8">
        <w:rPr>
          <w:rFonts w:ascii="Arial" w:hAnsi="Arial" w:cs="Arial"/>
          <w:sz w:val="22"/>
          <w:szCs w:val="22"/>
        </w:rPr>
        <w:t xml:space="preserve"> tak by współpracę rozpocząć jeszcze przed uruchomieniem działań</w:t>
      </w:r>
      <w:r w:rsidR="00523260">
        <w:rPr>
          <w:rFonts w:ascii="Arial" w:hAnsi="Arial" w:cs="Arial"/>
          <w:sz w:val="22"/>
          <w:szCs w:val="22"/>
        </w:rPr>
        <w:t xml:space="preserve"> </w:t>
      </w:r>
      <w:r w:rsidR="0044034A" w:rsidRPr="004542B8">
        <w:rPr>
          <w:rFonts w:ascii="Arial" w:hAnsi="Arial" w:cs="Arial"/>
          <w:sz w:val="22"/>
          <w:szCs w:val="22"/>
        </w:rPr>
        <w:t>planowanych przez MIR. Przedstawicielka MIR zapewniła o gotowości do zorganizowania takiego spotkania.</w:t>
      </w:r>
    </w:p>
    <w:p w14:paraId="39E10133" w14:textId="77777777" w:rsidR="002A68B1" w:rsidRPr="004542B8" w:rsidRDefault="002A68B1" w:rsidP="00551FB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7F7C2CB" w14:textId="77777777" w:rsidR="00551FB4" w:rsidRPr="004542B8" w:rsidRDefault="00551FB4" w:rsidP="00551FB4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</w:p>
    <w:p w14:paraId="46F8A13D" w14:textId="77777777" w:rsidR="00551FB4" w:rsidRPr="004542B8" w:rsidRDefault="00551FB4" w:rsidP="00551FB4">
      <w:pPr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 w:rsidRPr="004542B8">
        <w:rPr>
          <w:rFonts w:ascii="Arial" w:hAnsi="Arial" w:cs="Arial"/>
          <w:bCs/>
          <w:i/>
          <w:sz w:val="22"/>
          <w:szCs w:val="22"/>
        </w:rPr>
        <w:t>Działania informacyjno-promocyjne skierowane do MŚP i realizowane w ramach PO IR</w:t>
      </w:r>
    </w:p>
    <w:p w14:paraId="4B4E838A" w14:textId="77777777" w:rsidR="00551FB4" w:rsidRPr="004542B8" w:rsidRDefault="00551FB4" w:rsidP="00551FB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E1931EE" w14:textId="5880E7B3" w:rsidR="00551FB4" w:rsidRPr="004542B8" w:rsidRDefault="00551FB4" w:rsidP="002D50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b/>
          <w:sz w:val="22"/>
          <w:szCs w:val="22"/>
        </w:rPr>
        <w:t xml:space="preserve">Łukasz Małecki z Departamentu Konkurencyjności i Innowacyjności w Ministerstwie Infrastruktury i Rozwoju </w:t>
      </w:r>
      <w:r w:rsidRPr="004542B8">
        <w:rPr>
          <w:rFonts w:ascii="Arial" w:hAnsi="Arial" w:cs="Arial"/>
          <w:sz w:val="22"/>
          <w:szCs w:val="22"/>
        </w:rPr>
        <w:t xml:space="preserve">poinformował o </w:t>
      </w:r>
      <w:r w:rsidR="007F75F3">
        <w:rPr>
          <w:rFonts w:ascii="Arial" w:hAnsi="Arial" w:cs="Arial"/>
          <w:sz w:val="22"/>
          <w:szCs w:val="22"/>
        </w:rPr>
        <w:t xml:space="preserve">możliwościach </w:t>
      </w:r>
      <w:r w:rsidRPr="004542B8">
        <w:rPr>
          <w:rFonts w:ascii="Arial" w:hAnsi="Arial" w:cs="Arial"/>
          <w:sz w:val="22"/>
          <w:szCs w:val="22"/>
        </w:rPr>
        <w:t xml:space="preserve">wsparcia </w:t>
      </w:r>
      <w:r w:rsidR="007F75F3">
        <w:rPr>
          <w:rFonts w:ascii="Arial" w:hAnsi="Arial" w:cs="Arial"/>
          <w:sz w:val="22"/>
          <w:szCs w:val="22"/>
        </w:rPr>
        <w:t>działań informacyjno-promocyjnych</w:t>
      </w:r>
      <w:r w:rsidR="007F75F3" w:rsidRPr="004542B8">
        <w:rPr>
          <w:rFonts w:ascii="Arial" w:hAnsi="Arial" w:cs="Arial"/>
          <w:sz w:val="22"/>
          <w:szCs w:val="22"/>
        </w:rPr>
        <w:t xml:space="preserve"> </w:t>
      </w:r>
      <w:r w:rsidRPr="004542B8">
        <w:rPr>
          <w:rFonts w:ascii="Arial" w:hAnsi="Arial" w:cs="Arial"/>
          <w:sz w:val="22"/>
          <w:szCs w:val="22"/>
        </w:rPr>
        <w:t xml:space="preserve">w przyszłym PO Inteligentny Rozwój, </w:t>
      </w:r>
      <w:r w:rsidR="007F75F3">
        <w:rPr>
          <w:rFonts w:ascii="Arial" w:hAnsi="Arial" w:cs="Arial"/>
          <w:sz w:val="22"/>
          <w:szCs w:val="22"/>
        </w:rPr>
        <w:t xml:space="preserve">ukierunkowanych na </w:t>
      </w:r>
      <w:r w:rsidRPr="004542B8">
        <w:rPr>
          <w:rFonts w:ascii="Arial" w:hAnsi="Arial" w:cs="Arial"/>
          <w:sz w:val="22"/>
          <w:szCs w:val="22"/>
        </w:rPr>
        <w:t xml:space="preserve">wzmocnienie podaży </w:t>
      </w:r>
      <w:r w:rsidR="007F75F3">
        <w:rPr>
          <w:rFonts w:ascii="Arial" w:hAnsi="Arial" w:cs="Arial"/>
          <w:sz w:val="22"/>
          <w:szCs w:val="22"/>
        </w:rPr>
        <w:t xml:space="preserve">jakościowo </w:t>
      </w:r>
      <w:r w:rsidRPr="004542B8">
        <w:rPr>
          <w:rFonts w:ascii="Arial" w:hAnsi="Arial" w:cs="Arial"/>
          <w:sz w:val="22"/>
          <w:szCs w:val="22"/>
        </w:rPr>
        <w:t>dobrych projektów innowacyjnych i badawczo-rozwojowych. W osi III Programu przewiduje się realizację następujących instrumentów:</w:t>
      </w:r>
    </w:p>
    <w:p w14:paraId="479D4769" w14:textId="15F756E0" w:rsidR="00551FB4" w:rsidRPr="004542B8" w:rsidRDefault="00551FB4" w:rsidP="00AF13E8">
      <w:pPr>
        <w:pStyle w:val="Tre"/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  <w:i/>
          <w:iCs/>
        </w:rPr>
        <w:t>Wsparcie współpracy nauki i biznesu, kształtowanie i promocja innowacyjności jako źródła konkurencyjności gospodarki</w:t>
      </w:r>
      <w:r w:rsidRPr="004542B8">
        <w:rPr>
          <w:rFonts w:ascii="Arial" w:hAnsi="Arial" w:cs="Arial"/>
        </w:rPr>
        <w:t xml:space="preserve"> - realizacja projektów o charakterze systemowym, zwiększ</w:t>
      </w:r>
      <w:r w:rsidR="007F75F3">
        <w:rPr>
          <w:rFonts w:ascii="Arial" w:hAnsi="Arial" w:cs="Arial"/>
        </w:rPr>
        <w:t>ających</w:t>
      </w:r>
      <w:r w:rsidRPr="004542B8">
        <w:rPr>
          <w:rFonts w:ascii="Arial" w:hAnsi="Arial" w:cs="Arial"/>
        </w:rPr>
        <w:t xml:space="preserve"> wiedz</w:t>
      </w:r>
      <w:r w:rsidR="007F75F3">
        <w:rPr>
          <w:rFonts w:ascii="Arial" w:hAnsi="Arial" w:cs="Arial"/>
        </w:rPr>
        <w:t>ę</w:t>
      </w:r>
      <w:r w:rsidRPr="004542B8">
        <w:rPr>
          <w:rFonts w:ascii="Arial" w:hAnsi="Arial" w:cs="Arial"/>
        </w:rPr>
        <w:t xml:space="preserve"> oraz skłonnoś</w:t>
      </w:r>
      <w:r w:rsidR="007F75F3">
        <w:rPr>
          <w:rFonts w:ascii="Arial" w:hAnsi="Arial" w:cs="Arial"/>
        </w:rPr>
        <w:t>ć</w:t>
      </w:r>
      <w:r w:rsidRPr="004542B8">
        <w:rPr>
          <w:rFonts w:ascii="Arial" w:hAnsi="Arial" w:cs="Arial"/>
        </w:rPr>
        <w:t xml:space="preserve"> przedsiębiorstw do podejmowania działalności innowacyjnej. Przedstawiciel MIR zachęcał do zgłaszania pomysłów na realizację takiego wsparcia;</w:t>
      </w:r>
    </w:p>
    <w:p w14:paraId="77C959B6" w14:textId="598D7BF1" w:rsidR="00551FB4" w:rsidRPr="004542B8" w:rsidRDefault="00551FB4" w:rsidP="00AF13E8">
      <w:pPr>
        <w:pStyle w:val="Tre"/>
        <w:numPr>
          <w:ilvl w:val="0"/>
          <w:numId w:val="20"/>
        </w:numPr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  <w:i/>
          <w:iCs/>
        </w:rPr>
        <w:t>Wsparcie internacjonalizacji innowacyjnych przedsiębiorstw</w:t>
      </w:r>
      <w:r w:rsidRPr="004542B8">
        <w:rPr>
          <w:rFonts w:ascii="Arial" w:hAnsi="Arial" w:cs="Arial"/>
        </w:rPr>
        <w:t xml:space="preserve"> </w:t>
      </w:r>
      <w:r w:rsidR="007F75F3">
        <w:rPr>
          <w:rFonts w:ascii="Arial" w:hAnsi="Arial" w:cs="Arial"/>
        </w:rPr>
        <w:t>–</w:t>
      </w:r>
      <w:r w:rsidRPr="004542B8">
        <w:rPr>
          <w:rFonts w:ascii="Arial" w:hAnsi="Arial" w:cs="Arial"/>
        </w:rPr>
        <w:t xml:space="preserve"> </w:t>
      </w:r>
      <w:r w:rsidR="007F75F3">
        <w:rPr>
          <w:rFonts w:ascii="Arial" w:hAnsi="Arial" w:cs="Arial"/>
        </w:rPr>
        <w:t xml:space="preserve">będą nim </w:t>
      </w:r>
      <w:r w:rsidRPr="004542B8">
        <w:rPr>
          <w:rFonts w:ascii="Arial" w:hAnsi="Arial" w:cs="Arial"/>
        </w:rPr>
        <w:t xml:space="preserve">objęte projekty takie jak: </w:t>
      </w:r>
      <w:r w:rsidRPr="004542B8">
        <w:rPr>
          <w:rFonts w:ascii="Arial" w:hAnsi="Arial" w:cs="Arial"/>
          <w:bCs/>
        </w:rPr>
        <w:t>programy promocji</w:t>
      </w:r>
      <w:r w:rsidRPr="004542B8">
        <w:rPr>
          <w:rFonts w:ascii="Arial" w:hAnsi="Arial" w:cs="Arial"/>
        </w:rPr>
        <w:t xml:space="preserve">, służące zwiększeniu dostępu przedsiębiorstw sektora MŚP do tradycyjnych oraz perspektywicznych rynków; </w:t>
      </w:r>
      <w:r w:rsidRPr="004542B8">
        <w:rPr>
          <w:rFonts w:ascii="Arial" w:hAnsi="Arial" w:cs="Arial"/>
          <w:bCs/>
        </w:rPr>
        <w:t>kampanie informacyjne</w:t>
      </w:r>
      <w:r w:rsidRPr="004542B8">
        <w:rPr>
          <w:rFonts w:ascii="Arial" w:hAnsi="Arial" w:cs="Arial"/>
        </w:rPr>
        <w:t xml:space="preserve">, promujące podejmowanie działalności międzynarodowej przez MŚP oraz </w:t>
      </w:r>
      <w:r w:rsidRPr="004542B8">
        <w:rPr>
          <w:rFonts w:ascii="Arial" w:hAnsi="Arial" w:cs="Arial"/>
          <w:bCs/>
        </w:rPr>
        <w:t xml:space="preserve">zwiększanie dostępu do źródeł informacji na temat rozpoczynania i prowadzenia działalności gospodarczej za granicą i </w:t>
      </w:r>
      <w:r w:rsidRPr="004542B8">
        <w:rPr>
          <w:rFonts w:ascii="Arial" w:hAnsi="Arial" w:cs="Arial"/>
        </w:rPr>
        <w:t>prowadzenie specjalistycznych szkoleń w formie e-learning’u.</w:t>
      </w:r>
    </w:p>
    <w:p w14:paraId="0283A1C4" w14:textId="77777777" w:rsidR="00551FB4" w:rsidRPr="004542B8" w:rsidRDefault="00551FB4" w:rsidP="00551FB4">
      <w:pPr>
        <w:pStyle w:val="Tre"/>
        <w:ind w:left="284"/>
        <w:jc w:val="both"/>
        <w:rPr>
          <w:rFonts w:ascii="Arial" w:hAnsi="Arial" w:cs="Arial"/>
        </w:rPr>
      </w:pPr>
    </w:p>
    <w:p w14:paraId="0EE19F6B" w14:textId="28A5F708" w:rsidR="00551FB4" w:rsidRPr="004542B8" w:rsidRDefault="008E4167" w:rsidP="00E41B2A">
      <w:pPr>
        <w:pStyle w:val="Tre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posiedzenia </w:t>
      </w:r>
      <w:r w:rsidR="00551FB4" w:rsidRPr="004542B8">
        <w:rPr>
          <w:rFonts w:ascii="Arial" w:hAnsi="Arial" w:cs="Arial"/>
        </w:rPr>
        <w:t>zgłosi</w:t>
      </w:r>
      <w:r>
        <w:rPr>
          <w:rFonts w:ascii="Arial" w:hAnsi="Arial" w:cs="Arial"/>
        </w:rPr>
        <w:t>li</w:t>
      </w:r>
      <w:r w:rsidR="00551FB4" w:rsidRPr="004542B8">
        <w:rPr>
          <w:rFonts w:ascii="Arial" w:hAnsi="Arial" w:cs="Arial"/>
        </w:rPr>
        <w:t xml:space="preserve"> pomysł </w:t>
      </w:r>
      <w:r w:rsidR="007F75F3">
        <w:rPr>
          <w:rFonts w:ascii="Arial" w:hAnsi="Arial" w:cs="Arial"/>
        </w:rPr>
        <w:t xml:space="preserve">wypracowania </w:t>
      </w:r>
      <w:r w:rsidR="00551FB4" w:rsidRPr="004542B8">
        <w:rPr>
          <w:rFonts w:ascii="Arial" w:hAnsi="Arial" w:cs="Arial"/>
        </w:rPr>
        <w:t xml:space="preserve">wsparcia dla uczelni technicznych na organizowanie </w:t>
      </w:r>
      <w:r w:rsidR="007F75F3">
        <w:rPr>
          <w:rFonts w:ascii="Arial" w:hAnsi="Arial" w:cs="Arial"/>
        </w:rPr>
        <w:t xml:space="preserve">tzw. </w:t>
      </w:r>
      <w:r w:rsidR="00551FB4" w:rsidRPr="004542B8">
        <w:rPr>
          <w:rFonts w:ascii="Arial" w:hAnsi="Arial" w:cs="Arial"/>
        </w:rPr>
        <w:t>„Dni otwartych dla MSP”, podczas których</w:t>
      </w:r>
      <w:r w:rsidR="007F75F3">
        <w:rPr>
          <w:rFonts w:ascii="Arial" w:hAnsi="Arial" w:cs="Arial"/>
        </w:rPr>
        <w:t>,</w:t>
      </w:r>
      <w:r w:rsidR="00551FB4" w:rsidRPr="004542B8">
        <w:rPr>
          <w:rFonts w:ascii="Arial" w:hAnsi="Arial" w:cs="Arial"/>
        </w:rPr>
        <w:t xml:space="preserve"> </w:t>
      </w:r>
      <w:r w:rsidR="007F75F3" w:rsidRPr="004542B8">
        <w:rPr>
          <w:rFonts w:ascii="Arial" w:hAnsi="Arial" w:cs="Arial"/>
        </w:rPr>
        <w:t>prezent</w:t>
      </w:r>
      <w:r w:rsidR="007F75F3">
        <w:rPr>
          <w:rFonts w:ascii="Arial" w:hAnsi="Arial" w:cs="Arial"/>
        </w:rPr>
        <w:t>ując</w:t>
      </w:r>
      <w:r w:rsidR="007F75F3" w:rsidRPr="004542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prowadzone przez siebie badania i tworzą</w:t>
      </w:r>
      <w:r w:rsidR="007F62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warunki dla bezpośrednich rozmów naukowców prowadzących te badania z przedstawicielami firm</w:t>
      </w:r>
      <w:r w:rsidR="007F75F3">
        <w:rPr>
          <w:rFonts w:ascii="Arial" w:hAnsi="Arial" w:cs="Arial"/>
        </w:rPr>
        <w:t>,</w:t>
      </w:r>
      <w:r w:rsidR="007F75F3" w:rsidRPr="004542B8">
        <w:rPr>
          <w:rFonts w:ascii="Arial" w:hAnsi="Arial" w:cs="Arial"/>
        </w:rPr>
        <w:t xml:space="preserve"> </w:t>
      </w:r>
      <w:r w:rsidR="00551FB4" w:rsidRPr="004542B8">
        <w:rPr>
          <w:rFonts w:ascii="Arial" w:hAnsi="Arial" w:cs="Arial"/>
        </w:rPr>
        <w:t xml:space="preserve">mogłyby </w:t>
      </w:r>
      <w:r w:rsidR="007F75F3">
        <w:rPr>
          <w:rFonts w:ascii="Arial" w:hAnsi="Arial" w:cs="Arial"/>
        </w:rPr>
        <w:t xml:space="preserve">one </w:t>
      </w:r>
      <w:r w:rsidR="007F75F3" w:rsidRPr="004542B8">
        <w:rPr>
          <w:rFonts w:ascii="Arial" w:hAnsi="Arial" w:cs="Arial"/>
        </w:rPr>
        <w:t>zachęcać przedsiębiorstwa do współpracy</w:t>
      </w:r>
      <w:r w:rsidR="00551FB4" w:rsidRPr="004542B8">
        <w:rPr>
          <w:rFonts w:ascii="Arial" w:hAnsi="Arial" w:cs="Arial"/>
        </w:rPr>
        <w:t>.</w:t>
      </w:r>
    </w:p>
    <w:p w14:paraId="1A96C689" w14:textId="4DE7DAD3" w:rsidR="00551FB4" w:rsidRPr="004542B8" w:rsidRDefault="00551FB4" w:rsidP="002D5057">
      <w:pPr>
        <w:pStyle w:val="Tre"/>
        <w:spacing w:after="60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Poza powyższymi instrumentami, rozpatrywane są możliwości zagospodarowania środków przeznaczonych w POIR na pomoc techniczną, które </w:t>
      </w:r>
      <w:r w:rsidR="00933304">
        <w:rPr>
          <w:rFonts w:ascii="Arial" w:hAnsi="Arial" w:cs="Arial"/>
        </w:rPr>
        <w:t xml:space="preserve">będą </w:t>
      </w:r>
      <w:r w:rsidRPr="004542B8">
        <w:rPr>
          <w:rFonts w:ascii="Arial" w:hAnsi="Arial" w:cs="Arial"/>
        </w:rPr>
        <w:t>mog</w:t>
      </w:r>
      <w:r w:rsidR="00933304">
        <w:rPr>
          <w:rFonts w:ascii="Arial" w:hAnsi="Arial" w:cs="Arial"/>
        </w:rPr>
        <w:t>ły</w:t>
      </w:r>
      <w:r w:rsidRPr="004542B8">
        <w:rPr>
          <w:rFonts w:ascii="Arial" w:hAnsi="Arial" w:cs="Arial"/>
        </w:rPr>
        <w:t xml:space="preserve"> być przeznaczone na inne obszary niż </w:t>
      </w:r>
      <w:r w:rsidR="00933304">
        <w:rPr>
          <w:rFonts w:ascii="Arial" w:hAnsi="Arial" w:cs="Arial"/>
        </w:rPr>
        <w:t xml:space="preserve">np. </w:t>
      </w:r>
      <w:r w:rsidRPr="004542B8">
        <w:rPr>
          <w:rFonts w:ascii="Arial" w:hAnsi="Arial" w:cs="Arial"/>
        </w:rPr>
        <w:t>zwiększanie potencjału instytucji. Rozważanym pomysłem jest m.in. realizowanie różnych działań sprofilowanych dla poszczególnych grup odbiorców, np.</w:t>
      </w:r>
    </w:p>
    <w:p w14:paraId="254B3CE1" w14:textId="77777777" w:rsidR="00551FB4" w:rsidRPr="004542B8" w:rsidRDefault="00551FB4" w:rsidP="00AF13E8">
      <w:pPr>
        <w:pStyle w:val="Tre"/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docieranie z informacją o działaniach aktywizujących doktorantów poprzez organizacje pozarządowe</w:t>
      </w:r>
      <w:r w:rsidRPr="004542B8">
        <w:rPr>
          <w:rFonts w:ascii="Arial" w:hAnsi="Arial" w:cs="Arial"/>
          <w:b/>
        </w:rPr>
        <w:t xml:space="preserve"> </w:t>
      </w:r>
      <w:r w:rsidRPr="004542B8">
        <w:rPr>
          <w:rFonts w:ascii="Arial" w:hAnsi="Arial" w:cs="Arial"/>
        </w:rPr>
        <w:t>(konkurs), posiadające rozeznanie w środowisku akademickim;</w:t>
      </w:r>
    </w:p>
    <w:p w14:paraId="526B512D" w14:textId="121629CF" w:rsidR="00551FB4" w:rsidRPr="004542B8" w:rsidRDefault="00551FB4" w:rsidP="00AF13E8">
      <w:pPr>
        <w:pStyle w:val="Tre"/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wykorzystanie potencjału i doświadczenia przedsiębiorstw, które dzięki </w:t>
      </w:r>
      <w:r w:rsidR="00933304">
        <w:rPr>
          <w:rFonts w:ascii="Arial" w:hAnsi="Arial" w:cs="Arial"/>
        </w:rPr>
        <w:t xml:space="preserve">wykorzystaniu </w:t>
      </w:r>
      <w:r w:rsidRPr="004542B8">
        <w:rPr>
          <w:rFonts w:ascii="Arial" w:hAnsi="Arial" w:cs="Arial"/>
        </w:rPr>
        <w:t>dofinansowani</w:t>
      </w:r>
      <w:r w:rsidR="00933304">
        <w:rPr>
          <w:rFonts w:ascii="Arial" w:hAnsi="Arial" w:cs="Arial"/>
        </w:rPr>
        <w:t>a</w:t>
      </w:r>
      <w:r w:rsidRPr="004542B8">
        <w:rPr>
          <w:rFonts w:ascii="Arial" w:hAnsi="Arial" w:cs="Arial"/>
        </w:rPr>
        <w:t xml:space="preserve"> osiągnęły sukces (ambasadorzy innowacyjności);</w:t>
      </w:r>
    </w:p>
    <w:p w14:paraId="7A160DD6" w14:textId="02E3FE67" w:rsidR="00551FB4" w:rsidRPr="004542B8" w:rsidRDefault="00551FB4" w:rsidP="00AF13E8">
      <w:pPr>
        <w:pStyle w:val="Tre"/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 xml:space="preserve">angażowanie partnerów społeczno-gospodarczych </w:t>
      </w:r>
      <w:r w:rsidR="00933304">
        <w:rPr>
          <w:rFonts w:ascii="Arial" w:hAnsi="Arial" w:cs="Arial"/>
        </w:rPr>
        <w:t xml:space="preserve">do </w:t>
      </w:r>
      <w:r w:rsidRPr="004542B8">
        <w:rPr>
          <w:rFonts w:ascii="Arial" w:hAnsi="Arial" w:cs="Arial"/>
        </w:rPr>
        <w:t>działa</w:t>
      </w:r>
      <w:r w:rsidR="00933304">
        <w:rPr>
          <w:rFonts w:ascii="Arial" w:hAnsi="Arial" w:cs="Arial"/>
        </w:rPr>
        <w:t xml:space="preserve">ń </w:t>
      </w:r>
      <w:r w:rsidRPr="004542B8">
        <w:rPr>
          <w:rFonts w:ascii="Arial" w:hAnsi="Arial" w:cs="Arial"/>
        </w:rPr>
        <w:t>usprawnia</w:t>
      </w:r>
      <w:r w:rsidR="00933304">
        <w:rPr>
          <w:rFonts w:ascii="Arial" w:hAnsi="Arial" w:cs="Arial"/>
        </w:rPr>
        <w:t>jących</w:t>
      </w:r>
      <w:r w:rsidRPr="004542B8">
        <w:rPr>
          <w:rFonts w:ascii="Arial" w:hAnsi="Arial" w:cs="Arial"/>
        </w:rPr>
        <w:t xml:space="preserve"> komunikacj</w:t>
      </w:r>
      <w:r w:rsidR="00933304">
        <w:rPr>
          <w:rFonts w:ascii="Arial" w:hAnsi="Arial" w:cs="Arial"/>
        </w:rPr>
        <w:t>ę</w:t>
      </w:r>
      <w:r w:rsidRPr="004542B8">
        <w:rPr>
          <w:rFonts w:ascii="Arial" w:hAnsi="Arial" w:cs="Arial"/>
        </w:rPr>
        <w:t xml:space="preserve"> </w:t>
      </w:r>
      <w:r w:rsidR="00933304">
        <w:rPr>
          <w:rFonts w:ascii="Arial" w:hAnsi="Arial" w:cs="Arial"/>
        </w:rPr>
        <w:t xml:space="preserve">z </w:t>
      </w:r>
      <w:r w:rsidRPr="004542B8">
        <w:rPr>
          <w:rFonts w:ascii="Arial" w:hAnsi="Arial" w:cs="Arial"/>
        </w:rPr>
        <w:t>określony</w:t>
      </w:r>
      <w:r w:rsidR="00933304">
        <w:rPr>
          <w:rFonts w:ascii="Arial" w:hAnsi="Arial" w:cs="Arial"/>
        </w:rPr>
        <w:t>mi</w:t>
      </w:r>
      <w:r w:rsidRPr="004542B8">
        <w:rPr>
          <w:rFonts w:ascii="Arial" w:hAnsi="Arial" w:cs="Arial"/>
        </w:rPr>
        <w:t xml:space="preserve"> grupa</w:t>
      </w:r>
      <w:r w:rsidR="00933304">
        <w:rPr>
          <w:rFonts w:ascii="Arial" w:hAnsi="Arial" w:cs="Arial"/>
        </w:rPr>
        <w:t>mi</w:t>
      </w:r>
      <w:r w:rsidRPr="004542B8">
        <w:rPr>
          <w:rFonts w:ascii="Arial" w:hAnsi="Arial" w:cs="Arial"/>
        </w:rPr>
        <w:t xml:space="preserve"> docelowy</w:t>
      </w:r>
      <w:r w:rsidR="00933304">
        <w:rPr>
          <w:rFonts w:ascii="Arial" w:hAnsi="Arial" w:cs="Arial"/>
        </w:rPr>
        <w:t>mi</w:t>
      </w:r>
      <w:r w:rsidRPr="004542B8">
        <w:rPr>
          <w:rFonts w:ascii="Arial" w:hAnsi="Arial" w:cs="Arial"/>
        </w:rPr>
        <w:t xml:space="preserve">, </w:t>
      </w:r>
      <w:r w:rsidR="00933304">
        <w:rPr>
          <w:rFonts w:ascii="Arial" w:hAnsi="Arial" w:cs="Arial"/>
        </w:rPr>
        <w:t>poz</w:t>
      </w:r>
      <w:r w:rsidRPr="004542B8">
        <w:rPr>
          <w:rFonts w:ascii="Arial" w:hAnsi="Arial" w:cs="Arial"/>
        </w:rPr>
        <w:t>ysk</w:t>
      </w:r>
      <w:r w:rsidR="00933304">
        <w:rPr>
          <w:rFonts w:ascii="Arial" w:hAnsi="Arial" w:cs="Arial"/>
        </w:rPr>
        <w:t>iw</w:t>
      </w:r>
      <w:r w:rsidRPr="004542B8">
        <w:rPr>
          <w:rFonts w:ascii="Arial" w:hAnsi="Arial" w:cs="Arial"/>
        </w:rPr>
        <w:t xml:space="preserve">anie informacji zwrotnej nt ich potrzeb </w:t>
      </w:r>
      <w:r w:rsidR="00933304">
        <w:rPr>
          <w:rFonts w:ascii="Arial" w:hAnsi="Arial" w:cs="Arial"/>
        </w:rPr>
        <w:t xml:space="preserve">i oczekiwać, a także </w:t>
      </w:r>
      <w:r w:rsidRPr="004542B8">
        <w:rPr>
          <w:rFonts w:ascii="Arial" w:hAnsi="Arial" w:cs="Arial"/>
        </w:rPr>
        <w:t>pozysk</w:t>
      </w:r>
      <w:r w:rsidR="00933304">
        <w:rPr>
          <w:rFonts w:ascii="Arial" w:hAnsi="Arial" w:cs="Arial"/>
        </w:rPr>
        <w:t>iw</w:t>
      </w:r>
      <w:r w:rsidRPr="004542B8">
        <w:rPr>
          <w:rFonts w:ascii="Arial" w:hAnsi="Arial" w:cs="Arial"/>
        </w:rPr>
        <w:t>anie ekspertów do oceny</w:t>
      </w:r>
      <w:r w:rsidR="00933304">
        <w:rPr>
          <w:rFonts w:ascii="Arial" w:hAnsi="Arial" w:cs="Arial"/>
        </w:rPr>
        <w:t xml:space="preserve"> projektów</w:t>
      </w:r>
      <w:r w:rsidRPr="004542B8">
        <w:rPr>
          <w:rFonts w:ascii="Arial" w:hAnsi="Arial" w:cs="Arial"/>
        </w:rPr>
        <w:t>;</w:t>
      </w:r>
    </w:p>
    <w:p w14:paraId="3B1DD536" w14:textId="7FA35555" w:rsidR="00551FB4" w:rsidRPr="004542B8" w:rsidRDefault="00551FB4" w:rsidP="00AF13E8">
      <w:pPr>
        <w:pStyle w:val="Tre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4542B8">
        <w:rPr>
          <w:rFonts w:ascii="Arial" w:hAnsi="Arial" w:cs="Arial"/>
          <w:bCs/>
        </w:rPr>
        <w:t xml:space="preserve">angażowanie polskiej diaspory w realizację POIR </w:t>
      </w:r>
      <w:r w:rsidRPr="004542B8">
        <w:rPr>
          <w:rFonts w:ascii="Arial" w:hAnsi="Arial" w:cs="Arial"/>
        </w:rPr>
        <w:t>-  jako eksperci, inwestorzy, potencjalni beneficjenci Programu, itp.</w:t>
      </w:r>
    </w:p>
    <w:p w14:paraId="028945DF" w14:textId="77777777" w:rsidR="00551FB4" w:rsidRPr="004542B8" w:rsidRDefault="00551FB4" w:rsidP="00551FB4">
      <w:pPr>
        <w:pStyle w:val="Tre"/>
        <w:jc w:val="both"/>
        <w:rPr>
          <w:rFonts w:ascii="Arial" w:hAnsi="Arial" w:cs="Arial"/>
        </w:rPr>
      </w:pPr>
    </w:p>
    <w:p w14:paraId="674A39E7" w14:textId="3B65EDB8" w:rsidR="00551FB4" w:rsidRPr="004542B8" w:rsidRDefault="00551FB4" w:rsidP="00551FB4">
      <w:pPr>
        <w:pStyle w:val="Tre"/>
        <w:jc w:val="both"/>
        <w:rPr>
          <w:rFonts w:ascii="Arial" w:hAnsi="Arial" w:cs="Arial"/>
        </w:rPr>
      </w:pPr>
      <w:r w:rsidRPr="004542B8">
        <w:rPr>
          <w:rFonts w:ascii="Arial" w:hAnsi="Arial" w:cs="Arial"/>
        </w:rPr>
        <w:t>Przedstawiciel MIR podkreśl</w:t>
      </w:r>
      <w:r w:rsidR="009A45CE">
        <w:rPr>
          <w:rFonts w:ascii="Arial" w:hAnsi="Arial" w:cs="Arial"/>
        </w:rPr>
        <w:t>ił</w:t>
      </w:r>
      <w:r w:rsidRPr="004542B8">
        <w:rPr>
          <w:rFonts w:ascii="Arial" w:hAnsi="Arial" w:cs="Arial"/>
        </w:rPr>
        <w:t xml:space="preserve"> gotowość reprezentowanej Instytucji do kontynuowania dyskusji i współpracy</w:t>
      </w:r>
      <w:r w:rsidR="009A45CE">
        <w:rPr>
          <w:rFonts w:ascii="Arial" w:hAnsi="Arial" w:cs="Arial"/>
        </w:rPr>
        <w:t xml:space="preserve"> we wszystkich omawianych obszarach</w:t>
      </w:r>
      <w:r w:rsidRPr="004542B8">
        <w:rPr>
          <w:rFonts w:ascii="Arial" w:hAnsi="Arial" w:cs="Arial"/>
        </w:rPr>
        <w:t xml:space="preserve">. </w:t>
      </w:r>
    </w:p>
    <w:p w14:paraId="259C2E1C" w14:textId="77777777" w:rsidR="00551FB4" w:rsidRPr="004542B8" w:rsidRDefault="00551FB4" w:rsidP="00551FB4">
      <w:pPr>
        <w:pStyle w:val="Tre"/>
        <w:jc w:val="both"/>
        <w:rPr>
          <w:rFonts w:ascii="Arial" w:hAnsi="Arial" w:cs="Arial"/>
        </w:rPr>
      </w:pPr>
    </w:p>
    <w:p w14:paraId="73A1B4D2" w14:textId="77777777" w:rsidR="002A68B1" w:rsidRPr="004542B8" w:rsidRDefault="002A68B1" w:rsidP="00551FB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A2D587" w14:textId="77777777" w:rsidR="002A68B1" w:rsidRPr="004542B8" w:rsidRDefault="002A68B1" w:rsidP="00AF13E8">
      <w:pPr>
        <w:pStyle w:val="Akapitzlist"/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542B8">
        <w:rPr>
          <w:rFonts w:ascii="Arial" w:hAnsi="Arial" w:cs="Arial"/>
          <w:b/>
          <w:sz w:val="22"/>
          <w:szCs w:val="22"/>
        </w:rPr>
        <w:t xml:space="preserve">Monitoring wdrażania programów wsparcia MŚP na poziomie centralnym i regionalnym </w:t>
      </w:r>
    </w:p>
    <w:p w14:paraId="0AE64BA0" w14:textId="77777777" w:rsidR="002A68B1" w:rsidRDefault="002A68B1" w:rsidP="00551FB4">
      <w:pPr>
        <w:pStyle w:val="Tre"/>
        <w:jc w:val="both"/>
        <w:rPr>
          <w:rFonts w:ascii="Arial" w:hAnsi="Arial" w:cs="Arial"/>
        </w:rPr>
      </w:pPr>
    </w:p>
    <w:p w14:paraId="5C9368F2" w14:textId="77777777" w:rsidR="004A42E7" w:rsidRDefault="004A42E7" w:rsidP="004A42E7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1E2E041A" w14:textId="77777777" w:rsidR="004A42E7" w:rsidRDefault="004A42E7" w:rsidP="004A42E7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666025DF" w14:textId="77777777" w:rsidR="004A42E7" w:rsidRDefault="004A42E7" w:rsidP="004A42E7">
      <w:pPr>
        <w:jc w:val="both"/>
        <w:rPr>
          <w:rFonts w:ascii="Arial" w:hAnsi="Arial" w:cs="Arial"/>
          <w:color w:val="808080"/>
          <w:sz w:val="22"/>
          <w:szCs w:val="22"/>
        </w:rPr>
      </w:pPr>
    </w:p>
    <w:p w14:paraId="69145E45" w14:textId="014203AB" w:rsidR="004A42E7" w:rsidRDefault="004A42E7" w:rsidP="004A42E7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24 lipca 2014 r.</w:t>
      </w:r>
    </w:p>
    <w:p w14:paraId="2AD283BB" w14:textId="77777777" w:rsidR="004A42E7" w:rsidRDefault="004A42E7" w:rsidP="004A42E7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Akceptowała: Małgorzata Starczewska – Krzysztoszek</w:t>
      </w:r>
    </w:p>
    <w:p w14:paraId="6876E818" w14:textId="77777777" w:rsidR="004A42E7" w:rsidRPr="004542B8" w:rsidRDefault="004A42E7" w:rsidP="00551FB4">
      <w:pPr>
        <w:pStyle w:val="Tre"/>
        <w:jc w:val="both"/>
        <w:rPr>
          <w:rFonts w:ascii="Arial" w:hAnsi="Arial" w:cs="Arial"/>
        </w:rPr>
      </w:pPr>
    </w:p>
    <w:sectPr w:rsidR="004A42E7" w:rsidRPr="004542B8" w:rsidSect="004C10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3C07" w14:textId="77777777" w:rsidR="00B72D50" w:rsidRDefault="00B72D50" w:rsidP="00F832AA">
      <w:r>
        <w:separator/>
      </w:r>
    </w:p>
  </w:endnote>
  <w:endnote w:type="continuationSeparator" w:id="0">
    <w:p w14:paraId="3C531695" w14:textId="77777777" w:rsidR="00B72D50" w:rsidRDefault="00B72D50" w:rsidP="00F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8329"/>
      <w:docPartObj>
        <w:docPartGallery w:val="Page Numbers (Bottom of Page)"/>
        <w:docPartUnique/>
      </w:docPartObj>
    </w:sdtPr>
    <w:sdtEndPr/>
    <w:sdtContent>
      <w:p w14:paraId="0781D3F5" w14:textId="77777777" w:rsidR="00B84750" w:rsidRDefault="00B847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AD18FA" w14:textId="77777777" w:rsidR="00B84750" w:rsidRDefault="00B84750" w:rsidP="009D1DFA">
    <w:pPr>
      <w:pStyle w:val="Stopka"/>
      <w:jc w:val="center"/>
    </w:pPr>
    <w:r w:rsidRPr="009D1DFA">
      <w:rPr>
        <w:noProof/>
      </w:rPr>
      <w:drawing>
        <wp:inline distT="0" distB="0" distL="0" distR="0" wp14:anchorId="0766FF5C" wp14:editId="155F11E4">
          <wp:extent cx="4684395" cy="62992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BD4A" w14:textId="77777777" w:rsidR="00B72D50" w:rsidRDefault="00B72D50" w:rsidP="00F832AA">
      <w:r>
        <w:separator/>
      </w:r>
    </w:p>
  </w:footnote>
  <w:footnote w:type="continuationSeparator" w:id="0">
    <w:p w14:paraId="6052CDEB" w14:textId="77777777" w:rsidR="00B72D50" w:rsidRDefault="00B72D50" w:rsidP="00F8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8A9"/>
    <w:multiLevelType w:val="hybridMultilevel"/>
    <w:tmpl w:val="37B234A2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FBF"/>
    <w:multiLevelType w:val="hybridMultilevel"/>
    <w:tmpl w:val="433CA4C4"/>
    <w:lvl w:ilvl="0" w:tplc="B010C9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35CB"/>
    <w:multiLevelType w:val="hybridMultilevel"/>
    <w:tmpl w:val="C240C206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52263"/>
    <w:multiLevelType w:val="hybridMultilevel"/>
    <w:tmpl w:val="DC424FA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11F"/>
    <w:multiLevelType w:val="hybridMultilevel"/>
    <w:tmpl w:val="70CA6E06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605AB"/>
    <w:multiLevelType w:val="hybridMultilevel"/>
    <w:tmpl w:val="BECAFD7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1228AB"/>
    <w:multiLevelType w:val="hybridMultilevel"/>
    <w:tmpl w:val="9F7C06CC"/>
    <w:lvl w:ilvl="0" w:tplc="16C83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15137E"/>
    <w:multiLevelType w:val="hybridMultilevel"/>
    <w:tmpl w:val="FCA4D12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9C44C0"/>
    <w:multiLevelType w:val="hybridMultilevel"/>
    <w:tmpl w:val="53985BF0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41C8C"/>
    <w:multiLevelType w:val="hybridMultilevel"/>
    <w:tmpl w:val="9E08105E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13C00"/>
    <w:multiLevelType w:val="hybridMultilevel"/>
    <w:tmpl w:val="FE76894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104F"/>
    <w:multiLevelType w:val="hybridMultilevel"/>
    <w:tmpl w:val="D2A46FC0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6B6043"/>
    <w:multiLevelType w:val="hybridMultilevel"/>
    <w:tmpl w:val="45B80D1C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4799"/>
    <w:multiLevelType w:val="hybridMultilevel"/>
    <w:tmpl w:val="EF88FE9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7C79"/>
    <w:multiLevelType w:val="hybridMultilevel"/>
    <w:tmpl w:val="1DC8C2B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459D1"/>
    <w:multiLevelType w:val="hybridMultilevel"/>
    <w:tmpl w:val="0644A39E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292551"/>
    <w:multiLevelType w:val="hybridMultilevel"/>
    <w:tmpl w:val="BD0050B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772B6E"/>
    <w:multiLevelType w:val="hybridMultilevel"/>
    <w:tmpl w:val="658884A0"/>
    <w:lvl w:ilvl="0" w:tplc="73F6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93C3E"/>
    <w:multiLevelType w:val="hybridMultilevel"/>
    <w:tmpl w:val="A106ECB8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25E66"/>
    <w:multiLevelType w:val="hybridMultilevel"/>
    <w:tmpl w:val="87821F04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CB2AE0"/>
    <w:multiLevelType w:val="hybridMultilevel"/>
    <w:tmpl w:val="F7D8BAF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19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F"/>
    <w:rsid w:val="00000781"/>
    <w:rsid w:val="00001B35"/>
    <w:rsid w:val="000025E0"/>
    <w:rsid w:val="00002F6B"/>
    <w:rsid w:val="00021F02"/>
    <w:rsid w:val="00026BC7"/>
    <w:rsid w:val="000352A0"/>
    <w:rsid w:val="000362E6"/>
    <w:rsid w:val="00036E7D"/>
    <w:rsid w:val="00056256"/>
    <w:rsid w:val="00073D3E"/>
    <w:rsid w:val="00087F9E"/>
    <w:rsid w:val="000A39AF"/>
    <w:rsid w:val="000B77D7"/>
    <w:rsid w:val="000E0052"/>
    <w:rsid w:val="000E1F02"/>
    <w:rsid w:val="000E6ABC"/>
    <w:rsid w:val="000F0432"/>
    <w:rsid w:val="001008C8"/>
    <w:rsid w:val="00103CBF"/>
    <w:rsid w:val="00106334"/>
    <w:rsid w:val="0011506B"/>
    <w:rsid w:val="00142B6A"/>
    <w:rsid w:val="00144B6B"/>
    <w:rsid w:val="00145DA9"/>
    <w:rsid w:val="00156314"/>
    <w:rsid w:val="00171204"/>
    <w:rsid w:val="00177B11"/>
    <w:rsid w:val="001921EE"/>
    <w:rsid w:val="001949A8"/>
    <w:rsid w:val="001B2104"/>
    <w:rsid w:val="001B5BB4"/>
    <w:rsid w:val="001B7727"/>
    <w:rsid w:val="001C2750"/>
    <w:rsid w:val="001D58D9"/>
    <w:rsid w:val="001F49A6"/>
    <w:rsid w:val="0020107C"/>
    <w:rsid w:val="00207F78"/>
    <w:rsid w:val="002100BE"/>
    <w:rsid w:val="00217D41"/>
    <w:rsid w:val="00236DB5"/>
    <w:rsid w:val="002372FE"/>
    <w:rsid w:val="00264DBA"/>
    <w:rsid w:val="0026621C"/>
    <w:rsid w:val="00275C60"/>
    <w:rsid w:val="0028799A"/>
    <w:rsid w:val="002A68B1"/>
    <w:rsid w:val="002A6FBE"/>
    <w:rsid w:val="002C1DBB"/>
    <w:rsid w:val="002C69ED"/>
    <w:rsid w:val="002D5057"/>
    <w:rsid w:val="002E16FB"/>
    <w:rsid w:val="002E6D0F"/>
    <w:rsid w:val="00307D00"/>
    <w:rsid w:val="00317C2E"/>
    <w:rsid w:val="003212E4"/>
    <w:rsid w:val="0032164D"/>
    <w:rsid w:val="0032289D"/>
    <w:rsid w:val="00324BD1"/>
    <w:rsid w:val="00326837"/>
    <w:rsid w:val="00336790"/>
    <w:rsid w:val="00362275"/>
    <w:rsid w:val="00364B5B"/>
    <w:rsid w:val="0038100C"/>
    <w:rsid w:val="003A706A"/>
    <w:rsid w:val="003D16AB"/>
    <w:rsid w:val="003D1C3D"/>
    <w:rsid w:val="003F3881"/>
    <w:rsid w:val="004078B1"/>
    <w:rsid w:val="0044034A"/>
    <w:rsid w:val="00445173"/>
    <w:rsid w:val="004477EC"/>
    <w:rsid w:val="004542B8"/>
    <w:rsid w:val="00463569"/>
    <w:rsid w:val="0046490A"/>
    <w:rsid w:val="004650E6"/>
    <w:rsid w:val="00466CC6"/>
    <w:rsid w:val="00484E14"/>
    <w:rsid w:val="004A1C92"/>
    <w:rsid w:val="004A42E7"/>
    <w:rsid w:val="004C1086"/>
    <w:rsid w:val="004D2693"/>
    <w:rsid w:val="004D383E"/>
    <w:rsid w:val="004D7626"/>
    <w:rsid w:val="004E0F2E"/>
    <w:rsid w:val="004E575A"/>
    <w:rsid w:val="004E7CB2"/>
    <w:rsid w:val="004F76BE"/>
    <w:rsid w:val="005050BC"/>
    <w:rsid w:val="00506216"/>
    <w:rsid w:val="005113CC"/>
    <w:rsid w:val="005176F4"/>
    <w:rsid w:val="005203E2"/>
    <w:rsid w:val="00522DA6"/>
    <w:rsid w:val="00523260"/>
    <w:rsid w:val="005466B5"/>
    <w:rsid w:val="00551FB4"/>
    <w:rsid w:val="0055288C"/>
    <w:rsid w:val="00563782"/>
    <w:rsid w:val="00567721"/>
    <w:rsid w:val="00573359"/>
    <w:rsid w:val="00580743"/>
    <w:rsid w:val="00582B6E"/>
    <w:rsid w:val="005A564A"/>
    <w:rsid w:val="005B1E00"/>
    <w:rsid w:val="005C6E4F"/>
    <w:rsid w:val="005D32F6"/>
    <w:rsid w:val="005E09FC"/>
    <w:rsid w:val="005E2426"/>
    <w:rsid w:val="00616516"/>
    <w:rsid w:val="0062283B"/>
    <w:rsid w:val="00633248"/>
    <w:rsid w:val="006379BE"/>
    <w:rsid w:val="00645CFF"/>
    <w:rsid w:val="00656E3D"/>
    <w:rsid w:val="006827BF"/>
    <w:rsid w:val="00685130"/>
    <w:rsid w:val="0069502C"/>
    <w:rsid w:val="0069725D"/>
    <w:rsid w:val="006D539E"/>
    <w:rsid w:val="006D730E"/>
    <w:rsid w:val="006E3C62"/>
    <w:rsid w:val="007059FB"/>
    <w:rsid w:val="0072180B"/>
    <w:rsid w:val="00740570"/>
    <w:rsid w:val="0074231E"/>
    <w:rsid w:val="00765CA0"/>
    <w:rsid w:val="0076703A"/>
    <w:rsid w:val="0079304A"/>
    <w:rsid w:val="0079375E"/>
    <w:rsid w:val="007B4F81"/>
    <w:rsid w:val="007C2911"/>
    <w:rsid w:val="007D0F82"/>
    <w:rsid w:val="007F622E"/>
    <w:rsid w:val="007F7273"/>
    <w:rsid w:val="007F75F3"/>
    <w:rsid w:val="0080037C"/>
    <w:rsid w:val="00814A14"/>
    <w:rsid w:val="008236F0"/>
    <w:rsid w:val="008349EE"/>
    <w:rsid w:val="00834DE4"/>
    <w:rsid w:val="00837966"/>
    <w:rsid w:val="008455C1"/>
    <w:rsid w:val="00845D5F"/>
    <w:rsid w:val="00851D00"/>
    <w:rsid w:val="00862F30"/>
    <w:rsid w:val="00866073"/>
    <w:rsid w:val="0086651E"/>
    <w:rsid w:val="00866967"/>
    <w:rsid w:val="00877204"/>
    <w:rsid w:val="0088715C"/>
    <w:rsid w:val="0089080B"/>
    <w:rsid w:val="00890F62"/>
    <w:rsid w:val="0089734F"/>
    <w:rsid w:val="008A3E43"/>
    <w:rsid w:val="008A467A"/>
    <w:rsid w:val="008C5F73"/>
    <w:rsid w:val="008C7918"/>
    <w:rsid w:val="008D6F27"/>
    <w:rsid w:val="008D722B"/>
    <w:rsid w:val="008D7794"/>
    <w:rsid w:val="008E3CB2"/>
    <w:rsid w:val="008E4167"/>
    <w:rsid w:val="008E7E6C"/>
    <w:rsid w:val="00904D79"/>
    <w:rsid w:val="0091343E"/>
    <w:rsid w:val="00915F7C"/>
    <w:rsid w:val="00923030"/>
    <w:rsid w:val="00930508"/>
    <w:rsid w:val="00930536"/>
    <w:rsid w:val="00933304"/>
    <w:rsid w:val="00955B83"/>
    <w:rsid w:val="00966ECF"/>
    <w:rsid w:val="00970EEC"/>
    <w:rsid w:val="0097501F"/>
    <w:rsid w:val="00982BB0"/>
    <w:rsid w:val="00985577"/>
    <w:rsid w:val="00987E17"/>
    <w:rsid w:val="009A2A69"/>
    <w:rsid w:val="009A45CE"/>
    <w:rsid w:val="009A760E"/>
    <w:rsid w:val="009B3685"/>
    <w:rsid w:val="009C7E0E"/>
    <w:rsid w:val="009D1DFA"/>
    <w:rsid w:val="009D4777"/>
    <w:rsid w:val="009D5338"/>
    <w:rsid w:val="009E52AC"/>
    <w:rsid w:val="00A26E60"/>
    <w:rsid w:val="00A67E0C"/>
    <w:rsid w:val="00A71BE9"/>
    <w:rsid w:val="00A85EAB"/>
    <w:rsid w:val="00AC1C8A"/>
    <w:rsid w:val="00AC4D9C"/>
    <w:rsid w:val="00AC6392"/>
    <w:rsid w:val="00AC66A8"/>
    <w:rsid w:val="00AE18B4"/>
    <w:rsid w:val="00AF13E8"/>
    <w:rsid w:val="00AF3624"/>
    <w:rsid w:val="00B0118B"/>
    <w:rsid w:val="00B25CBB"/>
    <w:rsid w:val="00B3719E"/>
    <w:rsid w:val="00B449E0"/>
    <w:rsid w:val="00B46D7A"/>
    <w:rsid w:val="00B523C0"/>
    <w:rsid w:val="00B6496B"/>
    <w:rsid w:val="00B70D71"/>
    <w:rsid w:val="00B71C9E"/>
    <w:rsid w:val="00B72D50"/>
    <w:rsid w:val="00B81906"/>
    <w:rsid w:val="00B8352E"/>
    <w:rsid w:val="00B84750"/>
    <w:rsid w:val="00B947E7"/>
    <w:rsid w:val="00BA1BDC"/>
    <w:rsid w:val="00BB7599"/>
    <w:rsid w:val="00BC5CC7"/>
    <w:rsid w:val="00BC6D43"/>
    <w:rsid w:val="00BD41BD"/>
    <w:rsid w:val="00BF6115"/>
    <w:rsid w:val="00C110D0"/>
    <w:rsid w:val="00C17C00"/>
    <w:rsid w:val="00C4309A"/>
    <w:rsid w:val="00C433AE"/>
    <w:rsid w:val="00C541FF"/>
    <w:rsid w:val="00C57F1E"/>
    <w:rsid w:val="00C816A5"/>
    <w:rsid w:val="00C828C6"/>
    <w:rsid w:val="00C86C8A"/>
    <w:rsid w:val="00C86E13"/>
    <w:rsid w:val="00C9219B"/>
    <w:rsid w:val="00CC000B"/>
    <w:rsid w:val="00CC363A"/>
    <w:rsid w:val="00CC4C55"/>
    <w:rsid w:val="00CC6170"/>
    <w:rsid w:val="00CD1E97"/>
    <w:rsid w:val="00D0318B"/>
    <w:rsid w:val="00D1230B"/>
    <w:rsid w:val="00D15638"/>
    <w:rsid w:val="00D31F25"/>
    <w:rsid w:val="00D32AD6"/>
    <w:rsid w:val="00D36494"/>
    <w:rsid w:val="00D3728F"/>
    <w:rsid w:val="00D406F8"/>
    <w:rsid w:val="00D4695C"/>
    <w:rsid w:val="00D476F4"/>
    <w:rsid w:val="00D5091F"/>
    <w:rsid w:val="00D51CC1"/>
    <w:rsid w:val="00D53085"/>
    <w:rsid w:val="00D62344"/>
    <w:rsid w:val="00D64D3B"/>
    <w:rsid w:val="00D66EB3"/>
    <w:rsid w:val="00D70B82"/>
    <w:rsid w:val="00DB37FB"/>
    <w:rsid w:val="00DB6FFA"/>
    <w:rsid w:val="00DF29D3"/>
    <w:rsid w:val="00E02631"/>
    <w:rsid w:val="00E170FF"/>
    <w:rsid w:val="00E17C38"/>
    <w:rsid w:val="00E34305"/>
    <w:rsid w:val="00E41B2A"/>
    <w:rsid w:val="00E5190D"/>
    <w:rsid w:val="00E51F88"/>
    <w:rsid w:val="00E53678"/>
    <w:rsid w:val="00E64101"/>
    <w:rsid w:val="00E724FE"/>
    <w:rsid w:val="00E77439"/>
    <w:rsid w:val="00E931AD"/>
    <w:rsid w:val="00EA0D69"/>
    <w:rsid w:val="00EA2F36"/>
    <w:rsid w:val="00EA3D06"/>
    <w:rsid w:val="00EA3DD0"/>
    <w:rsid w:val="00EC5298"/>
    <w:rsid w:val="00ED75D1"/>
    <w:rsid w:val="00EE08E0"/>
    <w:rsid w:val="00EE69C5"/>
    <w:rsid w:val="00EF08DF"/>
    <w:rsid w:val="00EF77F2"/>
    <w:rsid w:val="00F407E5"/>
    <w:rsid w:val="00F538B3"/>
    <w:rsid w:val="00F756B7"/>
    <w:rsid w:val="00F832AA"/>
    <w:rsid w:val="00F92AD4"/>
    <w:rsid w:val="00F94E99"/>
    <w:rsid w:val="00FA27C0"/>
    <w:rsid w:val="00FA3FCC"/>
    <w:rsid w:val="00FB47BE"/>
    <w:rsid w:val="00FC22DC"/>
    <w:rsid w:val="00FD25FC"/>
    <w:rsid w:val="00FD6967"/>
    <w:rsid w:val="00FF1A8C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0CE9"/>
  <w15:docId w15:val="{0F8D06F2-C0FC-4EE4-BE65-84E8CF59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501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F83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5D1"/>
    <w:rPr>
      <w:color w:val="0000FF"/>
      <w:u w:val="single"/>
    </w:rPr>
  </w:style>
  <w:style w:type="paragraph" w:customStyle="1" w:styleId="Tre">
    <w:name w:val="Treść"/>
    <w:rsid w:val="00CC000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character" w:customStyle="1" w:styleId="st">
    <w:name w:val="st"/>
    <w:basedOn w:val="Domylnaczcionkaakapitu"/>
    <w:rsid w:val="00171204"/>
  </w:style>
  <w:style w:type="character" w:styleId="Pogrubienie">
    <w:name w:val="Strong"/>
    <w:basedOn w:val="Domylnaczcionkaakapitu"/>
    <w:uiPriority w:val="22"/>
    <w:qFormat/>
    <w:rsid w:val="00E77439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4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16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52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7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78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914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45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7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0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3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D6C1-837C-4B36-8E46-B0545CB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5499</Words>
  <Characters>32995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ldyba</dc:creator>
  <cp:lastModifiedBy>Łukasz Dyba</cp:lastModifiedBy>
  <cp:revision>2</cp:revision>
  <cp:lastPrinted>2014-07-24T10:47:00Z</cp:lastPrinted>
  <dcterms:created xsi:type="dcterms:W3CDTF">2014-07-24T13:54:00Z</dcterms:created>
  <dcterms:modified xsi:type="dcterms:W3CDTF">2014-07-24T13:54:00Z</dcterms:modified>
</cp:coreProperties>
</file>