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958200993"/>
    <w:bookmarkEnd w:id="0"/>
    <w:p w:rsidR="00AC7820" w:rsidRPr="00C30CC6" w:rsidRDefault="00AC7820" w:rsidP="00AC7820">
      <w:pPr>
        <w:spacing w:after="0" w:line="240" w:lineRule="auto"/>
        <w:jc w:val="center"/>
        <w:rPr>
          <w:b/>
        </w:rPr>
      </w:pPr>
      <w:r w:rsidRPr="004961B5">
        <w:rPr>
          <w:rFonts w:ascii="Times New Roman" w:hAnsi="Times New Roman"/>
          <w:b/>
        </w:rPr>
        <w:object w:dxaOrig="4275" w:dyaOrig="3927" w14:anchorId="43A6D7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1pt;height:101.25pt" o:ole="" fillcolor="window">
            <v:imagedata r:id="rId8" o:title=""/>
          </v:shape>
          <o:OLEObject Type="Embed" ProgID="Word.Picture.8" ShapeID="_x0000_i1025" DrawAspect="Content" ObjectID="_1546330225" r:id="rId9"/>
        </w:object>
      </w:r>
    </w:p>
    <w:p w:rsidR="00AC7820" w:rsidRPr="00C30CC6" w:rsidRDefault="00AC7820" w:rsidP="00AC7820">
      <w:pPr>
        <w:spacing w:after="0" w:line="240" w:lineRule="auto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C7820" w:rsidRPr="00C30CC6" w:rsidTr="005D321D">
        <w:trPr>
          <w:cantSplit/>
        </w:trPr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AC7820" w:rsidRPr="00C30CC6" w:rsidRDefault="00AC7820" w:rsidP="005D321D">
            <w:pPr>
              <w:spacing w:after="0" w:line="240" w:lineRule="auto"/>
              <w:jc w:val="center"/>
              <w:rPr>
                <w:b/>
                <w:smallCaps/>
                <w:sz w:val="28"/>
              </w:rPr>
            </w:pPr>
          </w:p>
          <w:p w:rsidR="00AC7820" w:rsidRPr="00C30CC6" w:rsidRDefault="00AC7820" w:rsidP="005D321D">
            <w:pPr>
              <w:spacing w:after="0" w:line="240" w:lineRule="auto"/>
              <w:jc w:val="center"/>
              <w:rPr>
                <w:b/>
                <w:smallCaps/>
                <w:sz w:val="36"/>
              </w:rPr>
            </w:pPr>
            <w:r w:rsidRPr="00C30CC6">
              <w:rPr>
                <w:b/>
                <w:smallCaps/>
                <w:sz w:val="36"/>
              </w:rPr>
              <w:t>Projekt Stanowiska RP</w:t>
            </w:r>
          </w:p>
          <w:p w:rsidR="00AC7820" w:rsidRPr="00C30CC6" w:rsidRDefault="00AC7820" w:rsidP="005D321D">
            <w:pPr>
              <w:pStyle w:val="Nagwek3"/>
              <w:shd w:val="pct12" w:color="auto" w:fill="FFFFFF"/>
              <w:spacing w:before="0" w:after="0"/>
              <w:jc w:val="center"/>
              <w:rPr>
                <w:rFonts w:ascii="Calibri" w:hAnsi="Calibri"/>
                <w:b/>
                <w:smallCaps/>
              </w:rPr>
            </w:pPr>
          </w:p>
          <w:p w:rsidR="00AC7820" w:rsidRPr="00C30CC6" w:rsidRDefault="00AC7820" w:rsidP="005D321D">
            <w:pPr>
              <w:spacing w:after="0" w:line="240" w:lineRule="auto"/>
              <w:jc w:val="center"/>
              <w:rPr>
                <w:i/>
              </w:rPr>
            </w:pPr>
            <w:r w:rsidRPr="00C30CC6">
              <w:rPr>
                <w:i/>
              </w:rPr>
              <w:t xml:space="preserve">przygotowany w związku z art. 7 ustawy z dnia 8 października 2010 r. </w:t>
            </w:r>
          </w:p>
          <w:p w:rsidR="00AC7820" w:rsidRPr="00C30CC6" w:rsidRDefault="00AC7820" w:rsidP="005D321D">
            <w:pPr>
              <w:spacing w:after="0" w:line="240" w:lineRule="auto"/>
              <w:jc w:val="center"/>
              <w:rPr>
                <w:i/>
              </w:rPr>
            </w:pPr>
            <w:r w:rsidRPr="00C30CC6">
              <w:rPr>
                <w:i/>
              </w:rPr>
              <w:t>o współpracy Rady Ministrów z Sejmem i Senatem w sprawach związanych z członkostwem Rzeczypospolitej Polskiej w Unii Europejskiej (Dz. U. Nr 213, poz. 1395)</w:t>
            </w:r>
          </w:p>
          <w:p w:rsidR="00AC7820" w:rsidRPr="00C30CC6" w:rsidRDefault="00AC7820" w:rsidP="005D321D">
            <w:pPr>
              <w:spacing w:after="0" w:line="240" w:lineRule="auto"/>
              <w:jc w:val="center"/>
              <w:rPr>
                <w:i/>
              </w:rPr>
            </w:pPr>
          </w:p>
        </w:tc>
      </w:tr>
    </w:tbl>
    <w:p w:rsidR="00AC7820" w:rsidRPr="00C30CC6" w:rsidRDefault="00AC7820" w:rsidP="00AC7820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AC7820" w:rsidRPr="00C30CC6" w:rsidTr="005D321D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AC7820" w:rsidRPr="00C30CC6" w:rsidRDefault="00AC7820" w:rsidP="005D321D">
            <w:pPr>
              <w:spacing w:after="0" w:line="240" w:lineRule="auto"/>
              <w:rPr>
                <w:sz w:val="26"/>
              </w:rPr>
            </w:pPr>
            <w:r w:rsidRPr="00C30CC6">
              <w:rPr>
                <w:b/>
                <w:sz w:val="26"/>
              </w:rPr>
              <w:t>Dotyczy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C7820" w:rsidRPr="00C30CC6" w:rsidRDefault="00AC7820" w:rsidP="005D321D">
            <w:pPr>
              <w:spacing w:after="0" w:line="240" w:lineRule="auto"/>
              <w:jc w:val="both"/>
            </w:pPr>
            <w:r>
              <w:rPr>
                <w:sz w:val="26"/>
              </w:rPr>
              <w:t>Wniosek DYREKTYWA PARLAMENTU EUROPEJSKIEGO I RADY zmieniająca dyrektywę 2013/36/UE w odniesieniu do podmiotów wyłączonych, finansowych spółek holdingowych, finansowych spółek holdingowych o działalności mieszanej, wynagrodzeń, środków i uprawnień nadzorczych oraz środków ochrony kapitału</w:t>
            </w:r>
          </w:p>
        </w:tc>
      </w:tr>
    </w:tbl>
    <w:p w:rsidR="00AC7820" w:rsidRPr="00C30CC6" w:rsidRDefault="00AC7820" w:rsidP="00AC7820">
      <w:pPr>
        <w:spacing w:after="0" w:line="240" w:lineRule="auto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AC7820" w:rsidRPr="00C30CC6" w:rsidTr="005D321D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AC7820" w:rsidRPr="00C30CC6" w:rsidRDefault="00AC7820" w:rsidP="005D321D">
            <w:pPr>
              <w:spacing w:after="0" w:line="240" w:lineRule="auto"/>
              <w:rPr>
                <w:sz w:val="26"/>
              </w:rPr>
            </w:pPr>
            <w:r w:rsidRPr="00C30CC6">
              <w:rPr>
                <w:b/>
                <w:sz w:val="26"/>
              </w:rPr>
              <w:t>Data przekazania Polsce dokumentu przez instytucje UE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820" w:rsidRPr="00C30CC6" w:rsidRDefault="00AC7820" w:rsidP="005D321D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17 stycznia 2017 r.</w:t>
            </w:r>
          </w:p>
        </w:tc>
      </w:tr>
    </w:tbl>
    <w:p w:rsidR="00AC7820" w:rsidRPr="00C30CC6" w:rsidRDefault="00AC7820" w:rsidP="00AC7820">
      <w:pPr>
        <w:spacing w:after="0" w:line="240" w:lineRule="auto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402"/>
        <w:gridCol w:w="2905"/>
      </w:tblGrid>
      <w:tr w:rsidR="00AC7820" w:rsidRPr="00C30CC6" w:rsidTr="005D321D">
        <w:trPr>
          <w:cantSplit/>
        </w:trPr>
        <w:tc>
          <w:tcPr>
            <w:tcW w:w="2905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pct12" w:color="auto" w:fill="FFFFFF"/>
            <w:vAlign w:val="center"/>
          </w:tcPr>
          <w:p w:rsidR="00AC7820" w:rsidRPr="00C30CC6" w:rsidRDefault="00AC7820" w:rsidP="005D321D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>Sygnatura dokumentu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820" w:rsidRPr="00C30CC6" w:rsidRDefault="00AC7820" w:rsidP="005D321D">
            <w:pPr>
              <w:spacing w:after="0" w:line="240" w:lineRule="auto"/>
              <w:rPr>
                <w:sz w:val="26"/>
              </w:rPr>
            </w:pPr>
            <w:r w:rsidRPr="00C30CC6">
              <w:rPr>
                <w:sz w:val="26"/>
              </w:rPr>
              <w:t>Komisja Europejska</w:t>
            </w:r>
          </w:p>
        </w:tc>
        <w:tc>
          <w:tcPr>
            <w:tcW w:w="29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C7820" w:rsidRPr="00C30CC6" w:rsidRDefault="00AC7820" w:rsidP="005D321D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COM(2016) 854</w:t>
            </w:r>
          </w:p>
        </w:tc>
      </w:tr>
      <w:tr w:rsidR="00AC7820" w:rsidRPr="00C30CC6" w:rsidTr="005D321D">
        <w:trPr>
          <w:cantSplit/>
        </w:trPr>
        <w:tc>
          <w:tcPr>
            <w:tcW w:w="2905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pct12" w:color="auto" w:fill="FFFFFF"/>
            <w:vAlign w:val="center"/>
          </w:tcPr>
          <w:p w:rsidR="00AC7820" w:rsidRPr="00C30CC6" w:rsidRDefault="00AC7820" w:rsidP="005D321D">
            <w:pPr>
              <w:spacing w:after="0" w:line="240" w:lineRule="auto"/>
              <w:rPr>
                <w:b/>
                <w:sz w:val="26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820" w:rsidRPr="00C30CC6" w:rsidRDefault="00AC7820" w:rsidP="005D321D">
            <w:pPr>
              <w:spacing w:after="0" w:line="240" w:lineRule="auto"/>
              <w:rPr>
                <w:sz w:val="26"/>
              </w:rPr>
            </w:pPr>
            <w:r w:rsidRPr="00C30CC6">
              <w:rPr>
                <w:sz w:val="26"/>
              </w:rPr>
              <w:t>Numer międzyinstytucjonalny</w:t>
            </w:r>
          </w:p>
        </w:tc>
        <w:tc>
          <w:tcPr>
            <w:tcW w:w="290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AC7820" w:rsidRPr="00C30CC6" w:rsidRDefault="00AC7820" w:rsidP="005D321D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2016/0364  (COD)</w:t>
            </w:r>
          </w:p>
        </w:tc>
      </w:tr>
    </w:tbl>
    <w:p w:rsidR="00AC7820" w:rsidRPr="00C30CC6" w:rsidRDefault="00AC7820" w:rsidP="00AC7820">
      <w:pPr>
        <w:spacing w:after="0" w:line="240" w:lineRule="auto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AC7820" w:rsidRPr="00C30CC6" w:rsidTr="005D321D">
        <w:trPr>
          <w:trHeight w:val="466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AC7820" w:rsidRPr="00C30CC6" w:rsidRDefault="00AC7820" w:rsidP="005D321D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>Procedura decyzyjna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820" w:rsidRPr="00C30CC6" w:rsidRDefault="00AC7820" w:rsidP="005D321D">
            <w:pPr>
              <w:spacing w:after="0" w:line="240" w:lineRule="auto"/>
              <w:rPr>
                <w:sz w:val="26"/>
              </w:rPr>
            </w:pPr>
            <w:r>
              <w:rPr>
                <w:sz w:val="26"/>
              </w:rPr>
              <w:t>zwykła procedura ustawodawcza</w:t>
            </w:r>
          </w:p>
        </w:tc>
      </w:tr>
    </w:tbl>
    <w:p w:rsidR="00AC7820" w:rsidRPr="00C30CC6" w:rsidRDefault="00AC7820" w:rsidP="00AC7820">
      <w:pPr>
        <w:spacing w:after="0" w:line="240" w:lineRule="auto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AC7820" w:rsidRPr="00C30CC6" w:rsidTr="005D321D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AC7820" w:rsidRPr="00C30CC6" w:rsidRDefault="00AC7820" w:rsidP="005D321D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>Tryb głosowania w Radzie UE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820" w:rsidRPr="00C30CC6" w:rsidRDefault="00AC7820" w:rsidP="005D321D">
            <w:pPr>
              <w:spacing w:after="0" w:line="240" w:lineRule="auto"/>
            </w:pPr>
            <w:r w:rsidRPr="00512276">
              <w:rPr>
                <w:sz w:val="26"/>
                <w:szCs w:val="26"/>
              </w:rPr>
              <w:t>większość kwalifikowana</w:t>
            </w:r>
          </w:p>
        </w:tc>
      </w:tr>
    </w:tbl>
    <w:p w:rsidR="00AC7820" w:rsidRPr="00C30CC6" w:rsidRDefault="00AC7820" w:rsidP="00AC7820">
      <w:pPr>
        <w:spacing w:after="0" w:line="240" w:lineRule="auto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AC7820" w:rsidRPr="00C30CC6" w:rsidTr="005D321D">
        <w:trPr>
          <w:trHeight w:val="488"/>
        </w:trPr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AC7820" w:rsidRPr="00C30CC6" w:rsidRDefault="00AC7820" w:rsidP="005D321D">
            <w:pPr>
              <w:pStyle w:val="Nagwek1"/>
              <w:rPr>
                <w:rFonts w:ascii="Calibri" w:hAnsi="Calibri"/>
              </w:rPr>
            </w:pPr>
            <w:r w:rsidRPr="00C30CC6">
              <w:rPr>
                <w:rFonts w:ascii="Calibri" w:hAnsi="Calibri"/>
              </w:rPr>
              <w:t xml:space="preserve">Instytucja wiodąca 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820" w:rsidRPr="00C30CC6" w:rsidRDefault="00AC7820" w:rsidP="005D321D">
            <w:pPr>
              <w:spacing w:after="0" w:line="240" w:lineRule="auto"/>
            </w:pPr>
            <w:r>
              <w:rPr>
                <w:sz w:val="26"/>
              </w:rPr>
              <w:t>Ministerstwo Finansów</w:t>
            </w:r>
          </w:p>
        </w:tc>
      </w:tr>
    </w:tbl>
    <w:p w:rsidR="00AC7820" w:rsidRPr="00C30CC6" w:rsidRDefault="00AC7820" w:rsidP="00AC7820">
      <w:pPr>
        <w:spacing w:after="0" w:line="240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AC7820" w:rsidRPr="00C30CC6" w:rsidTr="005D321D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AC7820" w:rsidRPr="00C30CC6" w:rsidRDefault="00AC7820" w:rsidP="005D321D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 xml:space="preserve">Instytucje współpracujące 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820" w:rsidRPr="00C30CC6" w:rsidRDefault="00AC7820" w:rsidP="005D321D">
            <w:pPr>
              <w:spacing w:after="0" w:line="240" w:lineRule="auto"/>
            </w:pPr>
            <w:r>
              <w:rPr>
                <w:sz w:val="26"/>
              </w:rPr>
              <w:t>Komisja Nadzoru Finansowego, Narodowy Bank Polski</w:t>
            </w:r>
          </w:p>
        </w:tc>
      </w:tr>
    </w:tbl>
    <w:p w:rsidR="00AC7820" w:rsidRPr="00C30CC6" w:rsidRDefault="00AC7820" w:rsidP="00AC7820">
      <w:pPr>
        <w:spacing w:after="0" w:line="240" w:lineRule="auto"/>
        <w:rPr>
          <w:b/>
          <w:sz w:val="26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AC7820" w:rsidRPr="00C30CC6" w:rsidTr="005D321D">
        <w:tc>
          <w:tcPr>
            <w:tcW w:w="29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2" w:color="auto" w:fill="FFFFFF"/>
            <w:vAlign w:val="center"/>
          </w:tcPr>
          <w:p w:rsidR="00AC7820" w:rsidRDefault="00AC7820" w:rsidP="005D321D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 xml:space="preserve">Data przyjęcia </w:t>
            </w:r>
          </w:p>
          <w:p w:rsidR="00AC7820" w:rsidRPr="00C30CC6" w:rsidRDefault="00AC7820" w:rsidP="005D321D">
            <w:pPr>
              <w:spacing w:after="0" w:line="240" w:lineRule="auto"/>
              <w:rPr>
                <w:b/>
                <w:sz w:val="26"/>
              </w:rPr>
            </w:pPr>
            <w:r w:rsidRPr="00C30CC6">
              <w:rPr>
                <w:b/>
                <w:sz w:val="26"/>
              </w:rPr>
              <w:t>przez KSE</w:t>
            </w:r>
          </w:p>
        </w:tc>
        <w:tc>
          <w:tcPr>
            <w:tcW w:w="6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7820" w:rsidRPr="00C30CC6" w:rsidRDefault="00AC7820" w:rsidP="005D321D">
            <w:pPr>
              <w:pStyle w:val="Nagwek8"/>
              <w:rPr>
                <w:rFonts w:ascii="Calibri" w:hAnsi="Calibri"/>
                <w:i w:val="0"/>
              </w:rPr>
            </w:pPr>
            <w:r>
              <w:rPr>
                <w:rFonts w:ascii="Calibri" w:hAnsi="Calibri"/>
                <w:i w:val="0"/>
              </w:rPr>
              <w:t>31 stycznia 2017 r.</w:t>
            </w:r>
          </w:p>
        </w:tc>
      </w:tr>
    </w:tbl>
    <w:p w:rsidR="004961B5" w:rsidRPr="00C30CC6" w:rsidRDefault="004961B5" w:rsidP="004961B5">
      <w:pPr>
        <w:spacing w:after="0" w:line="240" w:lineRule="auto"/>
        <w:rPr>
          <w:b/>
          <w:sz w:val="26"/>
        </w:rPr>
        <w:sectPr w:rsidR="004961B5" w:rsidRPr="00C30CC6">
          <w:headerReference w:type="default" r:id="rId10"/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961B5" w:rsidRPr="00C30CC6" w:rsidRDefault="004961B5" w:rsidP="004961B5">
      <w:pPr>
        <w:pStyle w:val="Nagwek5"/>
        <w:rPr>
          <w:rFonts w:ascii="Calibri" w:hAnsi="Calibri"/>
        </w:rPr>
      </w:pPr>
      <w:r w:rsidRPr="00C30CC6">
        <w:rPr>
          <w:rFonts w:ascii="Calibri" w:hAnsi="Calibri"/>
        </w:rPr>
        <w:lastRenderedPageBreak/>
        <w:t>Cel projektu aktu prawnego</w:t>
      </w:r>
    </w:p>
    <w:p w:rsidR="007075DE" w:rsidRPr="00096BC2" w:rsidRDefault="007075DE" w:rsidP="00096BC2">
      <w:pPr>
        <w:pStyle w:val="Tekstpodstawowy"/>
        <w:jc w:val="both"/>
        <w:rPr>
          <w:rFonts w:asciiTheme="minorHAnsi" w:hAnsiTheme="minorHAnsi"/>
          <w:sz w:val="24"/>
          <w:szCs w:val="24"/>
        </w:rPr>
      </w:pPr>
    </w:p>
    <w:p w:rsidR="000C154F" w:rsidRPr="00096BC2" w:rsidRDefault="000C154F" w:rsidP="000C154F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096BC2">
        <w:rPr>
          <w:rFonts w:asciiTheme="minorHAnsi" w:hAnsiTheme="minorHAnsi"/>
          <w:sz w:val="24"/>
          <w:szCs w:val="24"/>
        </w:rPr>
        <w:t>Przepisy prawne przyjęte w odpowiedzi na kryzys z 2008 roku znacząco przyczyniły się do</w:t>
      </w:r>
      <w:r w:rsidR="00B644D2">
        <w:rPr>
          <w:rFonts w:asciiTheme="minorHAnsi" w:hAnsiTheme="minorHAnsi"/>
          <w:sz w:val="24"/>
          <w:szCs w:val="24"/>
        </w:rPr>
        <w:t> </w:t>
      </w:r>
      <w:r w:rsidRPr="00096BC2">
        <w:rPr>
          <w:rFonts w:asciiTheme="minorHAnsi" w:hAnsiTheme="minorHAnsi"/>
          <w:sz w:val="24"/>
          <w:szCs w:val="24"/>
        </w:rPr>
        <w:t>poprawy odporności systemu finansowego na przyszłe szoki, nie uregulowały jednak wszystkich kwestii kompleksowo. Pro</w:t>
      </w:r>
      <w:r>
        <w:rPr>
          <w:rFonts w:asciiTheme="minorHAnsi" w:hAnsiTheme="minorHAnsi"/>
          <w:sz w:val="24"/>
          <w:szCs w:val="24"/>
        </w:rPr>
        <w:t>ponowane</w:t>
      </w:r>
      <w:r w:rsidRPr="00096BC2">
        <w:rPr>
          <w:rFonts w:asciiTheme="minorHAnsi" w:hAnsiTheme="minorHAnsi"/>
          <w:sz w:val="24"/>
          <w:szCs w:val="24"/>
        </w:rPr>
        <w:t xml:space="preserve"> we wniosku</w:t>
      </w:r>
      <w:r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zmiany</w:t>
      </w:r>
      <w:r w:rsidRPr="00096BC2">
        <w:rPr>
          <w:rFonts w:asciiTheme="minorHAnsi" w:hAnsiTheme="minorHAnsi"/>
          <w:sz w:val="24"/>
          <w:szCs w:val="24"/>
        </w:rPr>
        <w:t xml:space="preserve"> mają na celu uzupełnienie braków w ramach prawnych regulujących funkcjonowanie systemu finansowego, a także wprowadzenie</w:t>
      </w:r>
      <w:r>
        <w:rPr>
          <w:rFonts w:asciiTheme="minorHAnsi" w:hAnsiTheme="minorHAnsi"/>
          <w:sz w:val="24"/>
          <w:szCs w:val="24"/>
        </w:rPr>
        <w:t xml:space="preserve"> nowych</w:t>
      </w:r>
      <w:r w:rsidRPr="00096BC2">
        <w:rPr>
          <w:rFonts w:asciiTheme="minorHAnsi" w:hAnsiTheme="minorHAnsi"/>
          <w:sz w:val="24"/>
          <w:szCs w:val="24"/>
        </w:rPr>
        <w:t xml:space="preserve"> rozwiązań mających istotne znaczenie dla jego bezpieczeństwa.</w:t>
      </w:r>
      <w:r>
        <w:rPr>
          <w:rFonts w:asciiTheme="minorHAnsi" w:hAnsiTheme="minorHAnsi"/>
          <w:sz w:val="24"/>
          <w:szCs w:val="24"/>
        </w:rPr>
        <w:t xml:space="preserve"> Ma to stanowić jednocześnie krok w kierunku </w:t>
      </w:r>
      <w:r w:rsidR="00E93209">
        <w:rPr>
          <w:rFonts w:asciiTheme="minorHAnsi" w:hAnsiTheme="minorHAnsi"/>
          <w:sz w:val="24"/>
          <w:szCs w:val="24"/>
        </w:rPr>
        <w:t>dalszej</w:t>
      </w:r>
      <w:r>
        <w:rPr>
          <w:rFonts w:asciiTheme="minorHAnsi" w:hAnsiTheme="minorHAnsi"/>
          <w:sz w:val="24"/>
          <w:szCs w:val="24"/>
        </w:rPr>
        <w:t xml:space="preserve"> integracji Unii Bankowej. </w:t>
      </w:r>
      <w:bookmarkStart w:id="1" w:name="_GoBack"/>
      <w:bookmarkEnd w:id="1"/>
    </w:p>
    <w:p w:rsidR="000C154F" w:rsidRDefault="000C154F" w:rsidP="000C154F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096BC2">
        <w:rPr>
          <w:rFonts w:asciiTheme="minorHAnsi" w:hAnsiTheme="minorHAnsi"/>
          <w:sz w:val="24"/>
          <w:szCs w:val="24"/>
        </w:rPr>
        <w:t xml:space="preserve">Projektowane zmiany w zakresie </w:t>
      </w:r>
      <w:r w:rsidR="00B644D2">
        <w:rPr>
          <w:rFonts w:asciiTheme="minorHAnsi" w:hAnsiTheme="minorHAnsi"/>
          <w:sz w:val="24"/>
          <w:szCs w:val="24"/>
        </w:rPr>
        <w:t>pakietu</w:t>
      </w:r>
      <w:r w:rsidR="00B644D2" w:rsidRPr="00096BC2">
        <w:rPr>
          <w:rFonts w:asciiTheme="minorHAnsi" w:hAnsiTheme="minorHAnsi"/>
          <w:sz w:val="24"/>
          <w:szCs w:val="24"/>
        </w:rPr>
        <w:t xml:space="preserve"> </w:t>
      </w:r>
      <w:r w:rsidRPr="00096BC2">
        <w:rPr>
          <w:rFonts w:asciiTheme="minorHAnsi" w:hAnsiTheme="minorHAnsi"/>
          <w:sz w:val="24"/>
          <w:szCs w:val="24"/>
        </w:rPr>
        <w:t>aktów prawnych</w:t>
      </w:r>
      <w:r w:rsidR="00B644D2">
        <w:rPr>
          <w:rFonts w:asciiTheme="minorHAnsi" w:hAnsiTheme="minorHAnsi"/>
          <w:sz w:val="24"/>
          <w:szCs w:val="24"/>
        </w:rPr>
        <w:t>,</w:t>
      </w:r>
      <w:r w:rsidRPr="00096BC2">
        <w:rPr>
          <w:rFonts w:asciiTheme="minorHAnsi" w:hAnsiTheme="minorHAnsi"/>
          <w:sz w:val="24"/>
          <w:szCs w:val="24"/>
        </w:rPr>
        <w:t xml:space="preserve"> </w:t>
      </w:r>
      <w:r w:rsidR="00B644D2" w:rsidRPr="00B644D2">
        <w:rPr>
          <w:rFonts w:asciiTheme="minorHAnsi" w:hAnsiTheme="minorHAnsi"/>
          <w:sz w:val="24"/>
          <w:szCs w:val="24"/>
        </w:rPr>
        <w:t>obejmując</w:t>
      </w:r>
      <w:r w:rsidR="00B644D2">
        <w:rPr>
          <w:rFonts w:asciiTheme="minorHAnsi" w:hAnsiTheme="minorHAnsi"/>
          <w:sz w:val="24"/>
          <w:szCs w:val="24"/>
        </w:rPr>
        <w:t>ego</w:t>
      </w:r>
      <w:r w:rsidR="00B644D2" w:rsidRPr="00B644D2">
        <w:rPr>
          <w:rFonts w:asciiTheme="minorHAnsi" w:hAnsiTheme="minorHAnsi"/>
          <w:sz w:val="24"/>
          <w:szCs w:val="24"/>
        </w:rPr>
        <w:t xml:space="preserve"> rozporządzenie Parlamentu Europejskiego i Rady (UE) nr 575/2013 z dnia 26 czerwca 2013 r. w sprawie wymogów ostrożnościowych dla instytucji kredytowych i firm inwestycyjnych (</w:t>
      </w:r>
      <w:r w:rsidR="00B644D2" w:rsidRPr="00B644D2">
        <w:rPr>
          <w:rFonts w:asciiTheme="minorHAnsi" w:hAnsiTheme="minorHAnsi"/>
          <w:b/>
          <w:sz w:val="24"/>
          <w:szCs w:val="24"/>
        </w:rPr>
        <w:t>dalej rozporządzenie CRR</w:t>
      </w:r>
      <w:r w:rsidR="00B644D2" w:rsidRPr="00B644D2">
        <w:rPr>
          <w:rFonts w:asciiTheme="minorHAnsi" w:hAnsiTheme="minorHAnsi"/>
          <w:sz w:val="24"/>
          <w:szCs w:val="24"/>
        </w:rPr>
        <w:t>) oraz dyrektywę Parlamentu Europejskiego i Rady 2013/36/UE z</w:t>
      </w:r>
      <w:r w:rsidR="00B644D2">
        <w:rPr>
          <w:rFonts w:asciiTheme="minorHAnsi" w:hAnsiTheme="minorHAnsi"/>
          <w:sz w:val="24"/>
          <w:szCs w:val="24"/>
        </w:rPr>
        <w:t> </w:t>
      </w:r>
      <w:r w:rsidR="00B644D2" w:rsidRPr="00B644D2">
        <w:rPr>
          <w:rFonts w:asciiTheme="minorHAnsi" w:hAnsiTheme="minorHAnsi"/>
          <w:sz w:val="24"/>
          <w:szCs w:val="24"/>
        </w:rPr>
        <w:t>dnia 26 czerwca 2013 r. w sprawie warunków dopuszczenia instytucji kredytowych do</w:t>
      </w:r>
      <w:r w:rsidR="00B644D2">
        <w:rPr>
          <w:rFonts w:asciiTheme="minorHAnsi" w:hAnsiTheme="minorHAnsi"/>
          <w:sz w:val="24"/>
          <w:szCs w:val="24"/>
        </w:rPr>
        <w:t> </w:t>
      </w:r>
      <w:r w:rsidR="00B644D2" w:rsidRPr="00B644D2">
        <w:rPr>
          <w:rFonts w:asciiTheme="minorHAnsi" w:hAnsiTheme="minorHAnsi"/>
          <w:sz w:val="24"/>
          <w:szCs w:val="24"/>
        </w:rPr>
        <w:t>działalności oraz nadzoru ostrożnościowego nad instytucjami kredytowymi i firmami inwestycyjnymi (</w:t>
      </w:r>
      <w:r w:rsidR="00B644D2" w:rsidRPr="00B644D2">
        <w:rPr>
          <w:rFonts w:asciiTheme="minorHAnsi" w:hAnsiTheme="minorHAnsi"/>
          <w:b/>
          <w:sz w:val="24"/>
          <w:szCs w:val="24"/>
        </w:rPr>
        <w:t>dalej dyrektywa CRD</w:t>
      </w:r>
      <w:r w:rsidR="00B644D2" w:rsidRPr="00B644D2">
        <w:rPr>
          <w:rFonts w:asciiTheme="minorHAnsi" w:hAnsiTheme="minorHAnsi"/>
          <w:sz w:val="24"/>
          <w:szCs w:val="24"/>
        </w:rPr>
        <w:t>)</w:t>
      </w:r>
      <w:r w:rsidR="00B644D2">
        <w:rPr>
          <w:rFonts w:asciiTheme="minorHAnsi" w:hAnsiTheme="minorHAnsi"/>
          <w:sz w:val="24"/>
          <w:szCs w:val="24"/>
        </w:rPr>
        <w:t xml:space="preserve">, </w:t>
      </w:r>
      <w:r w:rsidRPr="00096BC2">
        <w:rPr>
          <w:rFonts w:asciiTheme="minorHAnsi" w:hAnsiTheme="minorHAnsi"/>
          <w:sz w:val="24"/>
          <w:szCs w:val="24"/>
        </w:rPr>
        <w:t xml:space="preserve">mają </w:t>
      </w:r>
      <w:r>
        <w:rPr>
          <w:rFonts w:asciiTheme="minorHAnsi" w:hAnsiTheme="minorHAnsi"/>
          <w:sz w:val="24"/>
          <w:szCs w:val="24"/>
        </w:rPr>
        <w:t>przede wszystkim wzmocnić bezpieczeństwo</w:t>
      </w:r>
      <w:r w:rsidRPr="00096BC2">
        <w:rPr>
          <w:rFonts w:asciiTheme="minorHAnsi" w:hAnsiTheme="minorHAnsi"/>
          <w:sz w:val="24"/>
          <w:szCs w:val="24"/>
        </w:rPr>
        <w:t xml:space="preserve"> system</w:t>
      </w:r>
      <w:r>
        <w:rPr>
          <w:rFonts w:asciiTheme="minorHAnsi" w:hAnsiTheme="minorHAnsi"/>
          <w:sz w:val="24"/>
          <w:szCs w:val="24"/>
        </w:rPr>
        <w:t>u finansowego oraz udoskonalić</w:t>
      </w:r>
      <w:r w:rsidRPr="00096BC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stosowane obecnie regulacje</w:t>
      </w:r>
      <w:r w:rsidRPr="00096BC2">
        <w:rPr>
          <w:rFonts w:asciiTheme="minorHAnsi" w:hAnsiTheme="minorHAnsi"/>
          <w:sz w:val="24"/>
          <w:szCs w:val="24"/>
        </w:rPr>
        <w:t>. W szczególności mają zapewnić właściwą identyfikację ryzyka związanego z</w:t>
      </w:r>
      <w:r w:rsidR="0094019F">
        <w:rPr>
          <w:rFonts w:asciiTheme="minorHAnsi" w:hAnsiTheme="minorHAnsi"/>
          <w:sz w:val="24"/>
          <w:szCs w:val="24"/>
        </w:rPr>
        <w:t> </w:t>
      </w:r>
      <w:r w:rsidRPr="00096BC2">
        <w:rPr>
          <w:rFonts w:asciiTheme="minorHAnsi" w:hAnsiTheme="minorHAnsi"/>
          <w:sz w:val="24"/>
          <w:szCs w:val="24"/>
        </w:rPr>
        <w:t>prowadzeniem działalności na rynku</w:t>
      </w:r>
      <w:r>
        <w:rPr>
          <w:rFonts w:asciiTheme="minorHAnsi" w:hAnsiTheme="minorHAnsi"/>
          <w:sz w:val="24"/>
          <w:szCs w:val="24"/>
        </w:rPr>
        <w:t xml:space="preserve"> usług</w:t>
      </w:r>
      <w:r w:rsidRPr="00096BC2">
        <w:rPr>
          <w:rFonts w:asciiTheme="minorHAnsi" w:hAnsiTheme="minorHAnsi"/>
          <w:sz w:val="24"/>
          <w:szCs w:val="24"/>
        </w:rPr>
        <w:t xml:space="preserve"> finans</w:t>
      </w:r>
      <w:r>
        <w:rPr>
          <w:rFonts w:asciiTheme="minorHAnsi" w:hAnsiTheme="minorHAnsi"/>
          <w:sz w:val="24"/>
          <w:szCs w:val="24"/>
        </w:rPr>
        <w:t>owych</w:t>
      </w:r>
      <w:r w:rsidRPr="00096BC2">
        <w:rPr>
          <w:rFonts w:asciiTheme="minorHAnsi" w:hAnsiTheme="minorHAnsi"/>
          <w:sz w:val="24"/>
          <w:szCs w:val="24"/>
        </w:rPr>
        <w:t xml:space="preserve">, a także </w:t>
      </w:r>
      <w:r w:rsidRPr="00BC46D5">
        <w:rPr>
          <w:rFonts w:asciiTheme="minorHAnsi" w:hAnsiTheme="minorHAnsi"/>
          <w:sz w:val="24"/>
          <w:szCs w:val="24"/>
        </w:rPr>
        <w:t xml:space="preserve">zagwarantować </w:t>
      </w:r>
      <w:r w:rsidRPr="00096BC2">
        <w:rPr>
          <w:rFonts w:asciiTheme="minorHAnsi" w:hAnsiTheme="minorHAnsi"/>
          <w:sz w:val="24"/>
          <w:szCs w:val="24"/>
        </w:rPr>
        <w:t>utrzymywanie odpowiedniej bazy kapitałowej i</w:t>
      </w:r>
      <w:r w:rsidR="00B644D2">
        <w:rPr>
          <w:rFonts w:asciiTheme="minorHAnsi" w:hAnsiTheme="minorHAnsi"/>
          <w:sz w:val="24"/>
          <w:szCs w:val="24"/>
        </w:rPr>
        <w:t> </w:t>
      </w:r>
      <w:r w:rsidRPr="00096BC2">
        <w:rPr>
          <w:rFonts w:asciiTheme="minorHAnsi" w:hAnsiTheme="minorHAnsi"/>
          <w:sz w:val="24"/>
          <w:szCs w:val="24"/>
        </w:rPr>
        <w:t>płynności finansowej przez instytucje kredytowe</w:t>
      </w:r>
      <w:r>
        <w:rPr>
          <w:rFonts w:asciiTheme="minorHAnsi" w:hAnsiTheme="minorHAnsi"/>
          <w:sz w:val="24"/>
          <w:szCs w:val="24"/>
        </w:rPr>
        <w:t>.</w:t>
      </w:r>
      <w:r w:rsidRPr="00096BC2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Efektem implementacji przepisów będących przedmiotem wniosku ma być ograniczenie</w:t>
      </w:r>
      <w:r w:rsidRPr="00096BC2">
        <w:rPr>
          <w:rFonts w:asciiTheme="minorHAnsi" w:hAnsiTheme="minorHAnsi"/>
          <w:sz w:val="24"/>
          <w:szCs w:val="24"/>
        </w:rPr>
        <w:t xml:space="preserve"> ryzyka zaangażowania środków publicznych i środków deponentów w przypadku wystąpienia nieoczekiwanych wstrząsów na rynku</w:t>
      </w:r>
      <w:r>
        <w:rPr>
          <w:rFonts w:asciiTheme="minorHAnsi" w:hAnsiTheme="minorHAnsi"/>
          <w:sz w:val="24"/>
          <w:szCs w:val="24"/>
        </w:rPr>
        <w:t xml:space="preserve"> finansowym</w:t>
      </w:r>
      <w:r w:rsidRPr="00096BC2">
        <w:rPr>
          <w:rFonts w:asciiTheme="minorHAnsi" w:hAnsiTheme="minorHAnsi"/>
          <w:sz w:val="24"/>
          <w:szCs w:val="24"/>
        </w:rPr>
        <w:t>.</w:t>
      </w:r>
    </w:p>
    <w:p w:rsidR="00344695" w:rsidRPr="00096BC2" w:rsidRDefault="002967E8" w:rsidP="002967E8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Projekt zmieniający dyrektywę</w:t>
      </w:r>
      <w:r w:rsidR="00B644D2">
        <w:rPr>
          <w:rFonts w:asciiTheme="minorHAnsi" w:hAnsiTheme="minorHAnsi"/>
          <w:sz w:val="24"/>
          <w:szCs w:val="24"/>
        </w:rPr>
        <w:t xml:space="preserve"> CRD</w:t>
      </w:r>
      <w:r>
        <w:rPr>
          <w:rFonts w:asciiTheme="minorHAnsi" w:hAnsiTheme="minorHAnsi"/>
          <w:sz w:val="24"/>
          <w:szCs w:val="24"/>
        </w:rPr>
        <w:t xml:space="preserve"> zawiera przepisy </w:t>
      </w:r>
      <w:r w:rsidR="00EB3C48" w:rsidRPr="00096BC2">
        <w:rPr>
          <w:rFonts w:asciiTheme="minorHAnsi" w:hAnsiTheme="minorHAnsi"/>
          <w:sz w:val="24"/>
          <w:szCs w:val="24"/>
        </w:rPr>
        <w:t>obejmują</w:t>
      </w:r>
      <w:r w:rsidR="00B644D2">
        <w:rPr>
          <w:rFonts w:asciiTheme="minorHAnsi" w:hAnsiTheme="minorHAnsi"/>
          <w:sz w:val="24"/>
          <w:szCs w:val="24"/>
        </w:rPr>
        <w:t>ce</w:t>
      </w:r>
      <w:r w:rsidR="00D04AEC">
        <w:rPr>
          <w:rFonts w:asciiTheme="minorHAnsi" w:hAnsiTheme="minorHAnsi"/>
          <w:sz w:val="24"/>
          <w:szCs w:val="24"/>
        </w:rPr>
        <w:t xml:space="preserve"> m.in.</w:t>
      </w:r>
      <w:r w:rsidR="00EB3C48" w:rsidRPr="00096BC2">
        <w:rPr>
          <w:rFonts w:asciiTheme="minorHAnsi" w:hAnsiTheme="minorHAnsi"/>
          <w:sz w:val="24"/>
          <w:szCs w:val="24"/>
        </w:rPr>
        <w:t xml:space="preserve"> </w:t>
      </w:r>
      <w:r w:rsidR="00B93865" w:rsidRPr="00096BC2">
        <w:rPr>
          <w:rFonts w:asciiTheme="minorHAnsi" w:hAnsiTheme="minorHAnsi"/>
          <w:sz w:val="24"/>
          <w:szCs w:val="24"/>
        </w:rPr>
        <w:t>korzystanie z uprawnień nad</w:t>
      </w:r>
      <w:r w:rsidR="00175B0B">
        <w:rPr>
          <w:rFonts w:asciiTheme="minorHAnsi" w:hAnsiTheme="minorHAnsi"/>
          <w:sz w:val="24"/>
          <w:szCs w:val="24"/>
        </w:rPr>
        <w:t>zorczych w ramach tzw. II filara</w:t>
      </w:r>
      <w:r w:rsidR="00DE1890" w:rsidRPr="00096BC2">
        <w:rPr>
          <w:rFonts w:asciiTheme="minorHAnsi" w:hAnsiTheme="minorHAnsi"/>
          <w:sz w:val="24"/>
          <w:szCs w:val="24"/>
        </w:rPr>
        <w:t xml:space="preserve">. </w:t>
      </w:r>
      <w:r w:rsidR="00360435">
        <w:rPr>
          <w:rFonts w:asciiTheme="minorHAnsi" w:hAnsiTheme="minorHAnsi"/>
          <w:sz w:val="24"/>
          <w:szCs w:val="24"/>
        </w:rPr>
        <w:t xml:space="preserve">Dotychczasowe brzmienie przepisów prowadziło do zróżnicowanych interpretacji w zakresie dopuszczalności </w:t>
      </w:r>
      <w:r w:rsidR="00634A99">
        <w:rPr>
          <w:rFonts w:asciiTheme="minorHAnsi" w:hAnsiTheme="minorHAnsi"/>
          <w:sz w:val="24"/>
          <w:szCs w:val="24"/>
        </w:rPr>
        <w:t>nakładania</w:t>
      </w:r>
      <w:r w:rsidR="00360435">
        <w:rPr>
          <w:rFonts w:asciiTheme="minorHAnsi" w:hAnsiTheme="minorHAnsi"/>
          <w:sz w:val="24"/>
          <w:szCs w:val="24"/>
        </w:rPr>
        <w:t xml:space="preserve"> dodatkowych wymogów </w:t>
      </w:r>
      <w:r w:rsidR="00634A99">
        <w:rPr>
          <w:rFonts w:asciiTheme="minorHAnsi" w:hAnsiTheme="minorHAnsi"/>
          <w:sz w:val="24"/>
          <w:szCs w:val="24"/>
        </w:rPr>
        <w:t>ostrożnościowych</w:t>
      </w:r>
      <w:r w:rsidR="00360435">
        <w:rPr>
          <w:rFonts w:asciiTheme="minorHAnsi" w:hAnsiTheme="minorHAnsi"/>
          <w:sz w:val="24"/>
          <w:szCs w:val="24"/>
        </w:rPr>
        <w:t xml:space="preserve"> przez organy nadzorcze. </w:t>
      </w:r>
      <w:r w:rsidR="00DE1890" w:rsidRPr="00096BC2">
        <w:rPr>
          <w:rFonts w:asciiTheme="minorHAnsi" w:hAnsiTheme="minorHAnsi"/>
          <w:sz w:val="24"/>
          <w:szCs w:val="24"/>
        </w:rPr>
        <w:t xml:space="preserve">Nowe przepisy konkretyzują zasady </w:t>
      </w:r>
      <w:r w:rsidR="00D04AEC">
        <w:rPr>
          <w:rFonts w:asciiTheme="minorHAnsi" w:hAnsiTheme="minorHAnsi"/>
          <w:sz w:val="24"/>
          <w:szCs w:val="24"/>
        </w:rPr>
        <w:t xml:space="preserve">dyskrecjonalnego </w:t>
      </w:r>
      <w:r w:rsidR="00DE1890" w:rsidRPr="00096BC2">
        <w:rPr>
          <w:rFonts w:asciiTheme="minorHAnsi" w:hAnsiTheme="minorHAnsi"/>
          <w:sz w:val="24"/>
          <w:szCs w:val="24"/>
        </w:rPr>
        <w:t>oddziaływania organów nadzorczych na instytucje kredytowe, określając</w:t>
      </w:r>
      <w:r w:rsidR="00927BFE" w:rsidRPr="00096BC2">
        <w:rPr>
          <w:rFonts w:asciiTheme="minorHAnsi" w:hAnsiTheme="minorHAnsi"/>
          <w:sz w:val="24"/>
          <w:szCs w:val="24"/>
        </w:rPr>
        <w:t xml:space="preserve"> między innymi</w:t>
      </w:r>
      <w:r w:rsidR="00344695" w:rsidRPr="00096BC2">
        <w:rPr>
          <w:rFonts w:asciiTheme="minorHAnsi" w:hAnsiTheme="minorHAnsi"/>
          <w:sz w:val="24"/>
          <w:szCs w:val="24"/>
        </w:rPr>
        <w:t>:</w:t>
      </w:r>
    </w:p>
    <w:p w:rsidR="00344695" w:rsidRPr="00096BC2" w:rsidRDefault="00DE1890" w:rsidP="00344695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096BC2">
        <w:rPr>
          <w:rFonts w:asciiTheme="minorHAnsi" w:hAnsiTheme="minorHAnsi"/>
          <w:sz w:val="24"/>
          <w:szCs w:val="24"/>
        </w:rPr>
        <w:t>kryteria</w:t>
      </w:r>
      <w:r w:rsidR="007208E2" w:rsidRPr="00096BC2">
        <w:rPr>
          <w:rFonts w:asciiTheme="minorHAnsi" w:hAnsiTheme="minorHAnsi"/>
          <w:sz w:val="24"/>
          <w:szCs w:val="24"/>
        </w:rPr>
        <w:t xml:space="preserve"> nakładania dodatkowych wymogów kapitałowych</w:t>
      </w:r>
      <w:r w:rsidR="00344695" w:rsidRPr="00096BC2">
        <w:rPr>
          <w:rFonts w:asciiTheme="minorHAnsi" w:hAnsiTheme="minorHAnsi"/>
          <w:sz w:val="24"/>
          <w:szCs w:val="24"/>
        </w:rPr>
        <w:t xml:space="preserve">, </w:t>
      </w:r>
    </w:p>
    <w:p w:rsidR="00344695" w:rsidRPr="00096BC2" w:rsidRDefault="007208E2" w:rsidP="00344695">
      <w:pPr>
        <w:pStyle w:val="Tekstpodstawowy"/>
        <w:numPr>
          <w:ilvl w:val="0"/>
          <w:numId w:val="1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096BC2">
        <w:rPr>
          <w:rFonts w:asciiTheme="minorHAnsi" w:hAnsiTheme="minorHAnsi"/>
          <w:sz w:val="24"/>
          <w:szCs w:val="24"/>
        </w:rPr>
        <w:t>zasady przeprowadzania procesu oceny ade</w:t>
      </w:r>
      <w:r w:rsidR="00344695" w:rsidRPr="00096BC2">
        <w:rPr>
          <w:rFonts w:asciiTheme="minorHAnsi" w:hAnsiTheme="minorHAnsi"/>
          <w:sz w:val="24"/>
          <w:szCs w:val="24"/>
        </w:rPr>
        <w:t>kwatności kapitału wewnętrznego,</w:t>
      </w:r>
    </w:p>
    <w:p w:rsidR="001042CF" w:rsidRPr="00096BC2" w:rsidRDefault="00B868DB" w:rsidP="00B868DB">
      <w:pPr>
        <w:pStyle w:val="Tekstpodstawowy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B868DB">
        <w:rPr>
          <w:rFonts w:asciiTheme="minorHAnsi" w:hAnsiTheme="minorHAnsi"/>
          <w:sz w:val="24"/>
          <w:szCs w:val="24"/>
        </w:rPr>
        <w:t xml:space="preserve">kryteria </w:t>
      </w:r>
      <w:r w:rsidR="00344695" w:rsidRPr="00096BC2">
        <w:rPr>
          <w:rFonts w:asciiTheme="minorHAnsi" w:hAnsiTheme="minorHAnsi"/>
          <w:sz w:val="24"/>
          <w:szCs w:val="24"/>
        </w:rPr>
        <w:t>nakładania dodatkowych obowiązków w zakresie sprawozdawczości i</w:t>
      </w:r>
      <w:r w:rsidR="00EE2C38">
        <w:rPr>
          <w:rFonts w:asciiTheme="minorHAnsi" w:hAnsiTheme="minorHAnsi"/>
          <w:sz w:val="24"/>
          <w:szCs w:val="24"/>
        </w:rPr>
        <w:t> </w:t>
      </w:r>
      <w:r w:rsidR="00344695" w:rsidRPr="00096BC2">
        <w:rPr>
          <w:rFonts w:asciiTheme="minorHAnsi" w:hAnsiTheme="minorHAnsi"/>
          <w:sz w:val="24"/>
          <w:szCs w:val="24"/>
        </w:rPr>
        <w:t xml:space="preserve">ujawniania informacji. </w:t>
      </w:r>
    </w:p>
    <w:p w:rsidR="0074267A" w:rsidRDefault="00344695" w:rsidP="00344695">
      <w:pPr>
        <w:pStyle w:val="Tekstpodstawowy"/>
        <w:spacing w:after="0"/>
        <w:jc w:val="both"/>
        <w:rPr>
          <w:rFonts w:asciiTheme="minorHAnsi" w:hAnsiTheme="minorHAnsi"/>
          <w:sz w:val="24"/>
          <w:szCs w:val="24"/>
        </w:rPr>
      </w:pPr>
      <w:r w:rsidRPr="00096BC2">
        <w:rPr>
          <w:rFonts w:asciiTheme="minorHAnsi" w:hAnsiTheme="minorHAnsi"/>
          <w:sz w:val="24"/>
          <w:szCs w:val="24"/>
        </w:rPr>
        <w:t xml:space="preserve">Ponadto wniosek zawiera </w:t>
      </w:r>
      <w:r w:rsidR="00D04AEC">
        <w:rPr>
          <w:rFonts w:asciiTheme="minorHAnsi" w:hAnsiTheme="minorHAnsi"/>
          <w:sz w:val="24"/>
          <w:szCs w:val="24"/>
        </w:rPr>
        <w:t>zmiany w zakresie</w:t>
      </w:r>
      <w:r w:rsidRPr="00096BC2">
        <w:rPr>
          <w:rFonts w:asciiTheme="minorHAnsi" w:hAnsiTheme="minorHAnsi"/>
          <w:sz w:val="24"/>
          <w:szCs w:val="24"/>
        </w:rPr>
        <w:t xml:space="preserve"> polityki wynagrodzeń w odniesieniu do</w:t>
      </w:r>
      <w:r w:rsidR="00EE2C38">
        <w:rPr>
          <w:rFonts w:asciiTheme="minorHAnsi" w:hAnsiTheme="minorHAnsi"/>
          <w:sz w:val="24"/>
          <w:szCs w:val="24"/>
        </w:rPr>
        <w:t> </w:t>
      </w:r>
      <w:r w:rsidRPr="00096BC2">
        <w:rPr>
          <w:rFonts w:asciiTheme="minorHAnsi" w:hAnsiTheme="minorHAnsi"/>
          <w:sz w:val="24"/>
          <w:szCs w:val="24"/>
        </w:rPr>
        <w:t>pracowników instytucji</w:t>
      </w:r>
      <w:r w:rsidR="00D04AEC">
        <w:rPr>
          <w:rFonts w:asciiTheme="minorHAnsi" w:hAnsiTheme="minorHAnsi"/>
          <w:sz w:val="24"/>
          <w:szCs w:val="24"/>
        </w:rPr>
        <w:t xml:space="preserve"> kredytowych</w:t>
      </w:r>
      <w:r w:rsidRPr="00096BC2">
        <w:rPr>
          <w:rFonts w:asciiTheme="minorHAnsi" w:hAnsiTheme="minorHAnsi"/>
          <w:sz w:val="24"/>
          <w:szCs w:val="24"/>
        </w:rPr>
        <w:t xml:space="preserve"> mających</w:t>
      </w:r>
      <w:r w:rsidR="00927BFE" w:rsidRPr="00096BC2">
        <w:rPr>
          <w:rFonts w:asciiTheme="minorHAnsi" w:hAnsiTheme="minorHAnsi"/>
          <w:sz w:val="24"/>
          <w:szCs w:val="24"/>
        </w:rPr>
        <w:t xml:space="preserve"> istotny</w:t>
      </w:r>
      <w:r w:rsidRPr="00096BC2">
        <w:rPr>
          <w:rFonts w:asciiTheme="minorHAnsi" w:hAnsiTheme="minorHAnsi"/>
          <w:sz w:val="24"/>
          <w:szCs w:val="24"/>
        </w:rPr>
        <w:t xml:space="preserve"> wpływ na </w:t>
      </w:r>
      <w:r w:rsidR="00927BFE" w:rsidRPr="00096BC2">
        <w:rPr>
          <w:rFonts w:asciiTheme="minorHAnsi" w:hAnsiTheme="minorHAnsi"/>
          <w:sz w:val="24"/>
          <w:szCs w:val="24"/>
        </w:rPr>
        <w:t>profil r</w:t>
      </w:r>
      <w:r w:rsidR="00596CBB">
        <w:rPr>
          <w:rFonts w:asciiTheme="minorHAnsi" w:hAnsiTheme="minorHAnsi"/>
          <w:sz w:val="24"/>
          <w:szCs w:val="24"/>
        </w:rPr>
        <w:t>yzyka działalności</w:t>
      </w:r>
      <w:r w:rsidR="00897148">
        <w:rPr>
          <w:rFonts w:asciiTheme="minorHAnsi" w:hAnsiTheme="minorHAnsi"/>
          <w:sz w:val="24"/>
          <w:szCs w:val="24"/>
        </w:rPr>
        <w:t xml:space="preserve">. </w:t>
      </w:r>
      <w:r w:rsidR="00D04AEC">
        <w:rPr>
          <w:rFonts w:asciiTheme="minorHAnsi" w:hAnsiTheme="minorHAnsi"/>
          <w:sz w:val="24"/>
          <w:szCs w:val="24"/>
        </w:rPr>
        <w:t>Obecnie obowiązujące rozwiązania</w:t>
      </w:r>
      <w:r w:rsidR="00870D51">
        <w:rPr>
          <w:rFonts w:asciiTheme="minorHAnsi" w:hAnsiTheme="minorHAnsi"/>
          <w:sz w:val="24"/>
          <w:szCs w:val="24"/>
        </w:rPr>
        <w:t xml:space="preserve"> </w:t>
      </w:r>
      <w:r w:rsidR="007055FE">
        <w:rPr>
          <w:rFonts w:asciiTheme="minorHAnsi" w:hAnsiTheme="minorHAnsi"/>
          <w:sz w:val="24"/>
          <w:szCs w:val="24"/>
        </w:rPr>
        <w:t>stanowiące o konieczności</w:t>
      </w:r>
      <w:r w:rsidR="00870D51">
        <w:rPr>
          <w:rFonts w:asciiTheme="minorHAnsi" w:hAnsiTheme="minorHAnsi"/>
          <w:sz w:val="24"/>
          <w:szCs w:val="24"/>
        </w:rPr>
        <w:t xml:space="preserve"> odraczania wypłaty części wynagrodzeń oraz wypłaty wynagrodzenia w instrumentach finansowych</w:t>
      </w:r>
      <w:r w:rsidR="00D04AEC">
        <w:rPr>
          <w:rFonts w:asciiTheme="minorHAnsi" w:hAnsiTheme="minorHAnsi"/>
          <w:sz w:val="24"/>
          <w:szCs w:val="24"/>
        </w:rPr>
        <w:t xml:space="preserve"> w</w:t>
      </w:r>
      <w:r w:rsidR="00EE2C38">
        <w:rPr>
          <w:rFonts w:asciiTheme="minorHAnsi" w:hAnsiTheme="minorHAnsi"/>
          <w:sz w:val="24"/>
          <w:szCs w:val="24"/>
        </w:rPr>
        <w:t> </w:t>
      </w:r>
      <w:r w:rsidR="00D04AEC">
        <w:rPr>
          <w:rFonts w:asciiTheme="minorHAnsi" w:hAnsiTheme="minorHAnsi"/>
          <w:sz w:val="24"/>
          <w:szCs w:val="24"/>
        </w:rPr>
        <w:t>wielu przypadkach okazywały się niedostos</w:t>
      </w:r>
      <w:r w:rsidR="00870D51">
        <w:rPr>
          <w:rFonts w:asciiTheme="minorHAnsi" w:hAnsiTheme="minorHAnsi"/>
          <w:sz w:val="24"/>
          <w:szCs w:val="24"/>
        </w:rPr>
        <w:t>o</w:t>
      </w:r>
      <w:r w:rsidR="00D04AEC">
        <w:rPr>
          <w:rFonts w:asciiTheme="minorHAnsi" w:hAnsiTheme="minorHAnsi"/>
          <w:sz w:val="24"/>
          <w:szCs w:val="24"/>
        </w:rPr>
        <w:t>wan</w:t>
      </w:r>
      <w:r w:rsidR="00870D51">
        <w:rPr>
          <w:rFonts w:asciiTheme="minorHAnsi" w:hAnsiTheme="minorHAnsi"/>
          <w:sz w:val="24"/>
          <w:szCs w:val="24"/>
        </w:rPr>
        <w:t>e do uwarunkowań prawnych obejmującyc</w:t>
      </w:r>
      <w:r w:rsidR="00175B0B">
        <w:rPr>
          <w:rFonts w:asciiTheme="minorHAnsi" w:hAnsiTheme="minorHAnsi"/>
          <w:sz w:val="24"/>
          <w:szCs w:val="24"/>
        </w:rPr>
        <w:t>h mniejsze instytucje kredytowe</w:t>
      </w:r>
      <w:r w:rsidR="00870D51">
        <w:rPr>
          <w:rFonts w:asciiTheme="minorHAnsi" w:hAnsiTheme="minorHAnsi"/>
          <w:sz w:val="24"/>
          <w:szCs w:val="24"/>
        </w:rPr>
        <w:t xml:space="preserve"> w poszczególnych Państwach Członkowskich. Proponowane </w:t>
      </w:r>
      <w:r w:rsidR="00870D51">
        <w:rPr>
          <w:rFonts w:asciiTheme="minorHAnsi" w:hAnsiTheme="minorHAnsi"/>
          <w:sz w:val="24"/>
          <w:szCs w:val="24"/>
        </w:rPr>
        <w:lastRenderedPageBreak/>
        <w:t xml:space="preserve">przepisy </w:t>
      </w:r>
      <w:r w:rsidR="00D04AEC">
        <w:rPr>
          <w:rFonts w:asciiTheme="minorHAnsi" w:hAnsiTheme="minorHAnsi"/>
          <w:sz w:val="24"/>
          <w:szCs w:val="24"/>
        </w:rPr>
        <w:t>dostosowują wymogi dyrektywy</w:t>
      </w:r>
      <w:r w:rsidR="00897148">
        <w:rPr>
          <w:rFonts w:asciiTheme="minorHAnsi" w:hAnsiTheme="minorHAnsi"/>
          <w:sz w:val="24"/>
          <w:szCs w:val="24"/>
        </w:rPr>
        <w:t xml:space="preserve"> CRD</w:t>
      </w:r>
      <w:r w:rsidR="00D04AEC">
        <w:rPr>
          <w:rFonts w:asciiTheme="minorHAnsi" w:hAnsiTheme="minorHAnsi"/>
          <w:sz w:val="24"/>
          <w:szCs w:val="24"/>
        </w:rPr>
        <w:t xml:space="preserve"> do</w:t>
      </w:r>
      <w:r w:rsidR="00897148">
        <w:rPr>
          <w:rFonts w:asciiTheme="minorHAnsi" w:hAnsiTheme="minorHAnsi"/>
          <w:sz w:val="24"/>
          <w:szCs w:val="24"/>
        </w:rPr>
        <w:t xml:space="preserve"> </w:t>
      </w:r>
      <w:r w:rsidR="00D04AEC">
        <w:rPr>
          <w:rFonts w:asciiTheme="minorHAnsi" w:hAnsiTheme="minorHAnsi"/>
          <w:sz w:val="24"/>
          <w:szCs w:val="24"/>
        </w:rPr>
        <w:t xml:space="preserve">skali i charakteru działalności </w:t>
      </w:r>
      <w:r w:rsidR="00870D51">
        <w:rPr>
          <w:rFonts w:asciiTheme="minorHAnsi" w:hAnsiTheme="minorHAnsi"/>
          <w:sz w:val="24"/>
          <w:szCs w:val="24"/>
        </w:rPr>
        <w:t>tych instytucji</w:t>
      </w:r>
      <w:r w:rsidR="007055FE">
        <w:rPr>
          <w:rFonts w:asciiTheme="minorHAnsi" w:hAnsiTheme="minorHAnsi"/>
          <w:sz w:val="24"/>
          <w:szCs w:val="24"/>
        </w:rPr>
        <w:t>,</w:t>
      </w:r>
      <w:r w:rsidR="00D04AEC">
        <w:rPr>
          <w:rFonts w:asciiTheme="minorHAnsi" w:hAnsiTheme="minorHAnsi"/>
          <w:sz w:val="24"/>
          <w:szCs w:val="24"/>
        </w:rPr>
        <w:t xml:space="preserve"> w</w:t>
      </w:r>
      <w:r w:rsidR="00870D51">
        <w:rPr>
          <w:rFonts w:asciiTheme="minorHAnsi" w:hAnsiTheme="minorHAnsi"/>
          <w:sz w:val="24"/>
          <w:szCs w:val="24"/>
        </w:rPr>
        <w:t xml:space="preserve"> myśl zasady proporcjonalności, eliminując jednocześnie wspomniane problemy.</w:t>
      </w:r>
      <w:r w:rsidR="002F7256">
        <w:rPr>
          <w:rFonts w:asciiTheme="minorHAnsi" w:hAnsiTheme="minorHAnsi"/>
          <w:sz w:val="24"/>
          <w:szCs w:val="24"/>
        </w:rPr>
        <w:t xml:space="preserve"> </w:t>
      </w:r>
      <w:r w:rsidR="0074267A">
        <w:rPr>
          <w:rFonts w:asciiTheme="minorHAnsi" w:hAnsiTheme="minorHAnsi"/>
          <w:sz w:val="24"/>
          <w:szCs w:val="24"/>
        </w:rPr>
        <w:t>Wniosek obejmuje również przepisy dotyczące pomiaru ryzyka stóp procentowych, czy funkcjonowania holdingów finansowych. Ich wprowadzenie zapewni kompleksow</w:t>
      </w:r>
      <w:r w:rsidR="002F7256">
        <w:rPr>
          <w:rFonts w:asciiTheme="minorHAnsi" w:hAnsiTheme="minorHAnsi"/>
          <w:sz w:val="24"/>
          <w:szCs w:val="24"/>
        </w:rPr>
        <w:t>e</w:t>
      </w:r>
      <w:r w:rsidR="0074267A">
        <w:rPr>
          <w:rFonts w:asciiTheme="minorHAnsi" w:hAnsiTheme="minorHAnsi"/>
          <w:sz w:val="24"/>
          <w:szCs w:val="24"/>
        </w:rPr>
        <w:t xml:space="preserve"> </w:t>
      </w:r>
      <w:r w:rsidR="002F7256">
        <w:rPr>
          <w:rFonts w:asciiTheme="minorHAnsi" w:hAnsiTheme="minorHAnsi"/>
          <w:sz w:val="24"/>
          <w:szCs w:val="24"/>
        </w:rPr>
        <w:t>i</w:t>
      </w:r>
      <w:r w:rsidR="00EE2C38">
        <w:rPr>
          <w:rFonts w:asciiTheme="minorHAnsi" w:hAnsiTheme="minorHAnsi"/>
          <w:sz w:val="24"/>
          <w:szCs w:val="24"/>
        </w:rPr>
        <w:t> </w:t>
      </w:r>
      <w:r w:rsidR="002F7256">
        <w:rPr>
          <w:rFonts w:asciiTheme="minorHAnsi" w:hAnsiTheme="minorHAnsi"/>
          <w:sz w:val="24"/>
          <w:szCs w:val="24"/>
        </w:rPr>
        <w:t>jednolite zasady nadzo</w:t>
      </w:r>
      <w:r w:rsidR="0074267A">
        <w:rPr>
          <w:rFonts w:asciiTheme="minorHAnsi" w:hAnsiTheme="minorHAnsi"/>
          <w:sz w:val="24"/>
          <w:szCs w:val="24"/>
        </w:rPr>
        <w:t>r</w:t>
      </w:r>
      <w:r w:rsidR="002F7256">
        <w:rPr>
          <w:rFonts w:asciiTheme="minorHAnsi" w:hAnsiTheme="minorHAnsi"/>
          <w:sz w:val="24"/>
          <w:szCs w:val="24"/>
        </w:rPr>
        <w:t>u</w:t>
      </w:r>
      <w:r w:rsidR="0074267A">
        <w:rPr>
          <w:rFonts w:asciiTheme="minorHAnsi" w:hAnsiTheme="minorHAnsi"/>
          <w:sz w:val="24"/>
          <w:szCs w:val="24"/>
        </w:rPr>
        <w:t xml:space="preserve"> nad </w:t>
      </w:r>
      <w:r w:rsidR="002F7256">
        <w:rPr>
          <w:rFonts w:asciiTheme="minorHAnsi" w:hAnsiTheme="minorHAnsi"/>
          <w:sz w:val="24"/>
          <w:szCs w:val="24"/>
        </w:rPr>
        <w:t>rynkiem finansowym w UE.</w:t>
      </w:r>
    </w:p>
    <w:p w:rsidR="004961B5" w:rsidRPr="00C30CC6" w:rsidRDefault="004961B5" w:rsidP="00C26D46">
      <w:pPr>
        <w:pStyle w:val="Tekstpodstawowy"/>
        <w:spacing w:after="0" w:line="240" w:lineRule="auto"/>
        <w:jc w:val="both"/>
      </w:pPr>
    </w:p>
    <w:p w:rsidR="004961B5" w:rsidRPr="00C30CC6" w:rsidRDefault="004961B5" w:rsidP="004961B5">
      <w:pPr>
        <w:pStyle w:val="Nagwek5"/>
        <w:rPr>
          <w:rFonts w:ascii="Calibri" w:hAnsi="Calibri"/>
        </w:rPr>
      </w:pPr>
      <w:r w:rsidRPr="00C30CC6">
        <w:rPr>
          <w:rFonts w:ascii="Calibri" w:hAnsi="Calibri"/>
        </w:rPr>
        <w:t xml:space="preserve">Stanowisko RP </w:t>
      </w:r>
    </w:p>
    <w:p w:rsidR="007A119E" w:rsidRDefault="007A119E" w:rsidP="004961B5">
      <w:pPr>
        <w:spacing w:after="0" w:line="240" w:lineRule="auto"/>
      </w:pPr>
    </w:p>
    <w:p w:rsidR="00D67A82" w:rsidRDefault="00D67A82" w:rsidP="00476ADD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D67A82">
        <w:rPr>
          <w:rFonts w:asciiTheme="minorHAnsi" w:hAnsiTheme="minorHAnsi"/>
          <w:sz w:val="24"/>
          <w:szCs w:val="24"/>
        </w:rPr>
        <w:t xml:space="preserve">Rząd Rzeczypospolitej Polskiej </w:t>
      </w:r>
      <w:r w:rsidR="00250F8A">
        <w:rPr>
          <w:rFonts w:asciiTheme="minorHAnsi" w:hAnsiTheme="minorHAnsi"/>
          <w:sz w:val="24"/>
          <w:szCs w:val="24"/>
        </w:rPr>
        <w:t>docenia</w:t>
      </w:r>
      <w:r w:rsidR="00CA25ED">
        <w:rPr>
          <w:rFonts w:asciiTheme="minorHAnsi" w:hAnsiTheme="minorHAnsi"/>
          <w:sz w:val="24"/>
          <w:szCs w:val="24"/>
        </w:rPr>
        <w:t xml:space="preserve"> działania</w:t>
      </w:r>
      <w:r w:rsidRPr="00D67A82">
        <w:rPr>
          <w:rFonts w:asciiTheme="minorHAnsi" w:hAnsiTheme="minorHAnsi"/>
          <w:sz w:val="24"/>
          <w:szCs w:val="24"/>
        </w:rPr>
        <w:t xml:space="preserve"> pod</w:t>
      </w:r>
      <w:r w:rsidR="00CA25ED">
        <w:rPr>
          <w:rFonts w:asciiTheme="minorHAnsi" w:hAnsiTheme="minorHAnsi"/>
          <w:sz w:val="24"/>
          <w:szCs w:val="24"/>
        </w:rPr>
        <w:t>ejmowane</w:t>
      </w:r>
      <w:r w:rsidR="007055FE">
        <w:rPr>
          <w:rFonts w:asciiTheme="minorHAnsi" w:hAnsiTheme="minorHAnsi"/>
          <w:sz w:val="24"/>
          <w:szCs w:val="24"/>
        </w:rPr>
        <w:t xml:space="preserve"> dotychczas</w:t>
      </w:r>
      <w:r w:rsidRPr="00D67A82">
        <w:rPr>
          <w:rFonts w:asciiTheme="minorHAnsi" w:hAnsiTheme="minorHAnsi"/>
          <w:sz w:val="24"/>
          <w:szCs w:val="24"/>
        </w:rPr>
        <w:t xml:space="preserve"> na</w:t>
      </w:r>
      <w:r w:rsidR="00EE2C38">
        <w:rPr>
          <w:rFonts w:asciiTheme="minorHAnsi" w:hAnsiTheme="minorHAnsi"/>
          <w:sz w:val="24"/>
          <w:szCs w:val="24"/>
        </w:rPr>
        <w:t> </w:t>
      </w:r>
      <w:r w:rsidRPr="00D67A82">
        <w:rPr>
          <w:rFonts w:asciiTheme="minorHAnsi" w:hAnsiTheme="minorHAnsi"/>
          <w:sz w:val="24"/>
          <w:szCs w:val="24"/>
        </w:rPr>
        <w:t>szczeblu europejskim</w:t>
      </w:r>
      <w:r w:rsidR="002F7256">
        <w:rPr>
          <w:rFonts w:asciiTheme="minorHAnsi" w:hAnsiTheme="minorHAnsi"/>
          <w:sz w:val="24"/>
          <w:szCs w:val="24"/>
        </w:rPr>
        <w:t>,</w:t>
      </w:r>
      <w:r w:rsidRPr="00D67A82">
        <w:rPr>
          <w:rFonts w:asciiTheme="minorHAnsi" w:hAnsiTheme="minorHAnsi"/>
          <w:sz w:val="24"/>
          <w:szCs w:val="24"/>
        </w:rPr>
        <w:t xml:space="preserve"> zmierzające do ograniczenia ryzyka zagrażającego</w:t>
      </w:r>
      <w:r w:rsidR="00476ADD">
        <w:rPr>
          <w:rFonts w:asciiTheme="minorHAnsi" w:hAnsiTheme="minorHAnsi"/>
          <w:sz w:val="24"/>
          <w:szCs w:val="24"/>
        </w:rPr>
        <w:t xml:space="preserve"> stabilności </w:t>
      </w:r>
      <w:r w:rsidR="002F7256">
        <w:rPr>
          <w:rFonts w:asciiTheme="minorHAnsi" w:hAnsiTheme="minorHAnsi"/>
          <w:sz w:val="24"/>
          <w:szCs w:val="24"/>
        </w:rPr>
        <w:t>systemu finansowego</w:t>
      </w:r>
      <w:r w:rsidR="00476ADD">
        <w:rPr>
          <w:rFonts w:asciiTheme="minorHAnsi" w:hAnsiTheme="minorHAnsi"/>
          <w:sz w:val="24"/>
          <w:szCs w:val="24"/>
        </w:rPr>
        <w:t xml:space="preserve">. </w:t>
      </w:r>
      <w:r w:rsidR="00476ADD" w:rsidRPr="006F453F">
        <w:rPr>
          <w:sz w:val="24"/>
          <w:szCs w:val="24"/>
        </w:rPr>
        <w:t>Doświadczenia światowego kryzysu finansowego</w:t>
      </w:r>
      <w:r w:rsidR="00476ADD">
        <w:rPr>
          <w:sz w:val="24"/>
          <w:szCs w:val="24"/>
        </w:rPr>
        <w:t xml:space="preserve"> pokazują, jak istotne jest zapewnienie właściwych norm ostrożnościowych oraz odpowiednich uprawnień nadzorczych w odniesieniu do rynku finansowego.</w:t>
      </w:r>
      <w:r w:rsidR="007055FE">
        <w:rPr>
          <w:sz w:val="24"/>
          <w:szCs w:val="24"/>
        </w:rPr>
        <w:t xml:space="preserve"> </w:t>
      </w:r>
      <w:r w:rsidR="007055FE">
        <w:rPr>
          <w:rFonts w:asciiTheme="minorHAnsi" w:hAnsiTheme="minorHAnsi"/>
          <w:sz w:val="24"/>
          <w:szCs w:val="24"/>
        </w:rPr>
        <w:t xml:space="preserve">Tym samym Rząd </w:t>
      </w:r>
      <w:r w:rsidRPr="00D67A82">
        <w:rPr>
          <w:rFonts w:asciiTheme="minorHAnsi" w:hAnsiTheme="minorHAnsi"/>
          <w:sz w:val="24"/>
          <w:szCs w:val="24"/>
        </w:rPr>
        <w:t xml:space="preserve">z zainteresowaniem przyjmuje projekt </w:t>
      </w:r>
      <w:r>
        <w:rPr>
          <w:rFonts w:asciiTheme="minorHAnsi" w:hAnsiTheme="minorHAnsi"/>
          <w:sz w:val="24"/>
          <w:szCs w:val="24"/>
        </w:rPr>
        <w:t>zmian dyrektywy</w:t>
      </w:r>
      <w:r w:rsidRPr="00096BC2">
        <w:rPr>
          <w:rFonts w:asciiTheme="minorHAnsi" w:hAnsiTheme="minorHAnsi"/>
          <w:sz w:val="24"/>
          <w:szCs w:val="24"/>
        </w:rPr>
        <w:t xml:space="preserve"> Parlamentu Eu</w:t>
      </w:r>
      <w:r>
        <w:rPr>
          <w:rFonts w:asciiTheme="minorHAnsi" w:hAnsiTheme="minorHAnsi"/>
          <w:sz w:val="24"/>
          <w:szCs w:val="24"/>
        </w:rPr>
        <w:t>ropejskiego i Rady 2013/36/UE</w:t>
      </w:r>
      <w:r w:rsidR="00175B0B" w:rsidRPr="00175B0B">
        <w:rPr>
          <w:rFonts w:asciiTheme="minorHAnsi" w:hAnsiTheme="minorHAnsi"/>
          <w:sz w:val="24"/>
          <w:szCs w:val="24"/>
        </w:rPr>
        <w:t xml:space="preserve"> </w:t>
      </w:r>
      <w:r w:rsidR="00175B0B" w:rsidRPr="00096BC2">
        <w:rPr>
          <w:rFonts w:asciiTheme="minorHAnsi" w:hAnsiTheme="minorHAnsi"/>
          <w:sz w:val="24"/>
          <w:szCs w:val="24"/>
        </w:rPr>
        <w:t xml:space="preserve">z dnia 26 czerwca 2013 r. </w:t>
      </w:r>
      <w:r w:rsidRPr="00096BC2">
        <w:rPr>
          <w:rFonts w:asciiTheme="minorHAnsi" w:hAnsiTheme="minorHAnsi"/>
          <w:sz w:val="24"/>
          <w:szCs w:val="24"/>
        </w:rPr>
        <w:t>w</w:t>
      </w:r>
      <w:r w:rsidR="00175B0B">
        <w:rPr>
          <w:rFonts w:asciiTheme="minorHAnsi" w:hAnsiTheme="minorHAnsi"/>
          <w:sz w:val="24"/>
          <w:szCs w:val="24"/>
        </w:rPr>
        <w:t> </w:t>
      </w:r>
      <w:r w:rsidRPr="00096BC2">
        <w:rPr>
          <w:rFonts w:asciiTheme="minorHAnsi" w:hAnsiTheme="minorHAnsi"/>
          <w:sz w:val="24"/>
          <w:szCs w:val="24"/>
        </w:rPr>
        <w:t>sprawie warunków dopuszczenia instytucji kredytowych do działalności oraz nadzoru ostrożnościowego nad instytucjami kredytowymi i firmami inwestycyjnymi</w:t>
      </w:r>
      <w:r>
        <w:rPr>
          <w:rFonts w:asciiTheme="minorHAnsi" w:hAnsiTheme="minorHAnsi"/>
          <w:sz w:val="24"/>
          <w:szCs w:val="24"/>
        </w:rPr>
        <w:t>.</w:t>
      </w:r>
    </w:p>
    <w:p w:rsidR="00476ADD" w:rsidRDefault="00EE2C38" w:rsidP="00476ADD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 szczególności </w:t>
      </w:r>
      <w:r w:rsidR="00476ADD" w:rsidRPr="00CA25ED">
        <w:rPr>
          <w:rFonts w:asciiTheme="minorHAnsi" w:hAnsiTheme="minorHAnsi"/>
          <w:sz w:val="24"/>
          <w:szCs w:val="24"/>
        </w:rPr>
        <w:t xml:space="preserve">Rząd Rzeczypospolitej Polskiej </w:t>
      </w:r>
      <w:r w:rsidR="00476ADD" w:rsidRPr="00476ADD">
        <w:rPr>
          <w:rFonts w:asciiTheme="minorHAnsi" w:hAnsiTheme="minorHAnsi"/>
          <w:sz w:val="24"/>
          <w:szCs w:val="24"/>
        </w:rPr>
        <w:t>popiera</w:t>
      </w:r>
      <w:r w:rsidR="00476ADD">
        <w:rPr>
          <w:rFonts w:asciiTheme="minorHAnsi" w:hAnsiTheme="minorHAnsi"/>
          <w:sz w:val="24"/>
          <w:szCs w:val="24"/>
        </w:rPr>
        <w:t xml:space="preserve"> zmiany w</w:t>
      </w:r>
      <w:r w:rsidR="00B26366">
        <w:rPr>
          <w:rFonts w:asciiTheme="minorHAnsi" w:hAnsiTheme="minorHAnsi"/>
          <w:sz w:val="24"/>
          <w:szCs w:val="24"/>
        </w:rPr>
        <w:t xml:space="preserve"> zakresie polityki wynagrodzeń, odnoszące się do </w:t>
      </w:r>
      <w:r w:rsidR="00B26366" w:rsidRPr="00096BC2">
        <w:rPr>
          <w:rFonts w:asciiTheme="minorHAnsi" w:hAnsiTheme="minorHAnsi"/>
          <w:sz w:val="24"/>
          <w:szCs w:val="24"/>
        </w:rPr>
        <w:t>pracowników instytucji</w:t>
      </w:r>
      <w:r w:rsidR="00B26366">
        <w:rPr>
          <w:rFonts w:asciiTheme="minorHAnsi" w:hAnsiTheme="minorHAnsi"/>
          <w:sz w:val="24"/>
          <w:szCs w:val="24"/>
        </w:rPr>
        <w:t xml:space="preserve"> kredytowych</w:t>
      </w:r>
      <w:r w:rsidR="00B26366" w:rsidRPr="00096BC2">
        <w:rPr>
          <w:rFonts w:asciiTheme="minorHAnsi" w:hAnsiTheme="minorHAnsi"/>
          <w:sz w:val="24"/>
          <w:szCs w:val="24"/>
        </w:rPr>
        <w:t xml:space="preserve"> mających istotny wpływ na profil r</w:t>
      </w:r>
      <w:r w:rsidR="00B26366">
        <w:rPr>
          <w:rFonts w:asciiTheme="minorHAnsi" w:hAnsiTheme="minorHAnsi"/>
          <w:sz w:val="24"/>
          <w:szCs w:val="24"/>
        </w:rPr>
        <w:t xml:space="preserve">yzyka działalności. Obecnie obowiązujące przepisy wymagają rewizji w celu dostosowania </w:t>
      </w:r>
      <w:r w:rsidR="00D91323">
        <w:rPr>
          <w:rFonts w:asciiTheme="minorHAnsi" w:hAnsiTheme="minorHAnsi"/>
          <w:sz w:val="24"/>
          <w:szCs w:val="24"/>
        </w:rPr>
        <w:t xml:space="preserve">ich </w:t>
      </w:r>
      <w:r w:rsidR="00B26366">
        <w:rPr>
          <w:rFonts w:asciiTheme="minorHAnsi" w:hAnsiTheme="minorHAnsi"/>
          <w:sz w:val="24"/>
          <w:szCs w:val="24"/>
        </w:rPr>
        <w:t>do skali i formy prawnej działalności mniejszych instytucji kredytowych, do</w:t>
      </w:r>
      <w:r>
        <w:rPr>
          <w:rFonts w:asciiTheme="minorHAnsi" w:hAnsiTheme="minorHAnsi"/>
          <w:sz w:val="24"/>
          <w:szCs w:val="24"/>
        </w:rPr>
        <w:t> </w:t>
      </w:r>
      <w:r w:rsidR="00B26366">
        <w:rPr>
          <w:rFonts w:asciiTheme="minorHAnsi" w:hAnsiTheme="minorHAnsi"/>
          <w:sz w:val="24"/>
          <w:szCs w:val="24"/>
        </w:rPr>
        <w:t xml:space="preserve">których zaliczają się m.in. banki spółdzielcze funkcjonujące w Polsce. </w:t>
      </w:r>
    </w:p>
    <w:p w:rsidR="00EE2C38" w:rsidRDefault="002F525E" w:rsidP="0088642E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</w:t>
      </w:r>
      <w:r w:rsidR="0088642E">
        <w:rPr>
          <w:rFonts w:asciiTheme="minorHAnsi" w:hAnsiTheme="minorHAnsi"/>
          <w:sz w:val="24"/>
          <w:szCs w:val="24"/>
        </w:rPr>
        <w:t xml:space="preserve">ątpliwości </w:t>
      </w:r>
      <w:r w:rsidR="0088642E" w:rsidRPr="00CA25ED">
        <w:rPr>
          <w:rFonts w:asciiTheme="minorHAnsi" w:hAnsiTheme="minorHAnsi"/>
          <w:sz w:val="24"/>
          <w:szCs w:val="24"/>
        </w:rPr>
        <w:t>Rząd</w:t>
      </w:r>
      <w:r w:rsidR="0088642E">
        <w:rPr>
          <w:rFonts w:asciiTheme="minorHAnsi" w:hAnsiTheme="minorHAnsi"/>
          <w:sz w:val="24"/>
          <w:szCs w:val="24"/>
        </w:rPr>
        <w:t>u</w:t>
      </w:r>
      <w:r w:rsidR="0088642E" w:rsidRPr="00CA25ED">
        <w:rPr>
          <w:rFonts w:asciiTheme="minorHAnsi" w:hAnsiTheme="minorHAnsi"/>
          <w:sz w:val="24"/>
          <w:szCs w:val="24"/>
        </w:rPr>
        <w:t xml:space="preserve"> Rzeczypospolitej Polskiej </w:t>
      </w:r>
      <w:r w:rsidR="0088642E">
        <w:rPr>
          <w:rFonts w:asciiTheme="minorHAnsi" w:hAnsiTheme="minorHAnsi"/>
          <w:sz w:val="24"/>
          <w:szCs w:val="24"/>
        </w:rPr>
        <w:t xml:space="preserve">budzi natomiast brzmienie przepisów odnoszących się do </w:t>
      </w:r>
      <w:r w:rsidR="00DB55BA">
        <w:rPr>
          <w:rFonts w:asciiTheme="minorHAnsi" w:hAnsiTheme="minorHAnsi"/>
          <w:sz w:val="24"/>
          <w:szCs w:val="24"/>
        </w:rPr>
        <w:t>procesu przeglądu i oceny nadzorczej (</w:t>
      </w:r>
      <w:proofErr w:type="spellStart"/>
      <w:r w:rsidR="00DB55BA" w:rsidRPr="00717A27">
        <w:rPr>
          <w:rFonts w:asciiTheme="minorHAnsi" w:hAnsiTheme="minorHAnsi"/>
          <w:b/>
          <w:sz w:val="24"/>
          <w:szCs w:val="24"/>
        </w:rPr>
        <w:t>supervisory</w:t>
      </w:r>
      <w:proofErr w:type="spellEnd"/>
      <w:r w:rsidR="00DB55BA" w:rsidRPr="00717A2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B55BA" w:rsidRPr="00717A27">
        <w:rPr>
          <w:rFonts w:asciiTheme="minorHAnsi" w:hAnsiTheme="minorHAnsi"/>
          <w:b/>
          <w:sz w:val="24"/>
          <w:szCs w:val="24"/>
        </w:rPr>
        <w:t>review</w:t>
      </w:r>
      <w:proofErr w:type="spellEnd"/>
      <w:r w:rsidR="00DB55BA" w:rsidRPr="00717A27">
        <w:rPr>
          <w:rFonts w:asciiTheme="minorHAnsi" w:hAnsiTheme="minorHAnsi"/>
          <w:b/>
          <w:sz w:val="24"/>
          <w:szCs w:val="24"/>
        </w:rPr>
        <w:t xml:space="preserve"> and </w:t>
      </w:r>
      <w:proofErr w:type="spellStart"/>
      <w:r w:rsidR="00DB55BA" w:rsidRPr="00717A27">
        <w:rPr>
          <w:rFonts w:asciiTheme="minorHAnsi" w:hAnsiTheme="minorHAnsi"/>
          <w:b/>
          <w:sz w:val="24"/>
          <w:szCs w:val="24"/>
        </w:rPr>
        <w:t>evaluation</w:t>
      </w:r>
      <w:proofErr w:type="spellEnd"/>
      <w:r w:rsidR="00DB55BA" w:rsidRPr="00717A27">
        <w:rPr>
          <w:rFonts w:asciiTheme="minorHAnsi" w:hAnsiTheme="minorHAnsi"/>
          <w:b/>
          <w:sz w:val="24"/>
          <w:szCs w:val="24"/>
        </w:rPr>
        <w:t xml:space="preserve"> </w:t>
      </w:r>
      <w:proofErr w:type="spellStart"/>
      <w:r w:rsidR="00DB55BA" w:rsidRPr="00717A27">
        <w:rPr>
          <w:rFonts w:asciiTheme="minorHAnsi" w:hAnsiTheme="minorHAnsi"/>
          <w:b/>
          <w:sz w:val="24"/>
          <w:szCs w:val="24"/>
        </w:rPr>
        <w:t>proces</w:t>
      </w:r>
      <w:r w:rsidR="00C91342" w:rsidRPr="00717A27">
        <w:rPr>
          <w:rFonts w:asciiTheme="minorHAnsi" w:hAnsiTheme="minorHAnsi"/>
          <w:b/>
          <w:sz w:val="24"/>
          <w:szCs w:val="24"/>
        </w:rPr>
        <w:t>s</w:t>
      </w:r>
      <w:proofErr w:type="spellEnd"/>
      <w:r w:rsidR="00DB55BA" w:rsidRPr="00717A27">
        <w:rPr>
          <w:rFonts w:asciiTheme="minorHAnsi" w:hAnsiTheme="minorHAnsi"/>
          <w:b/>
          <w:sz w:val="24"/>
          <w:szCs w:val="24"/>
        </w:rPr>
        <w:t>, SREP</w:t>
      </w:r>
      <w:r w:rsidR="00DB55BA">
        <w:rPr>
          <w:rFonts w:asciiTheme="minorHAnsi" w:hAnsiTheme="minorHAnsi"/>
          <w:sz w:val="24"/>
          <w:szCs w:val="24"/>
        </w:rPr>
        <w:t xml:space="preserve">). Istotne obawy Rządu </w:t>
      </w:r>
      <w:r w:rsidR="0088642E">
        <w:rPr>
          <w:rFonts w:asciiTheme="minorHAnsi" w:hAnsiTheme="minorHAnsi"/>
          <w:sz w:val="24"/>
          <w:szCs w:val="24"/>
        </w:rPr>
        <w:t>wynikają ze</w:t>
      </w:r>
      <w:r w:rsidR="00DB55BA">
        <w:rPr>
          <w:rFonts w:asciiTheme="minorHAnsi" w:hAnsiTheme="minorHAnsi"/>
          <w:sz w:val="24"/>
          <w:szCs w:val="24"/>
        </w:rPr>
        <w:t xml:space="preserve"> </w:t>
      </w:r>
      <w:r w:rsidR="0088642E">
        <w:rPr>
          <w:rFonts w:asciiTheme="minorHAnsi" w:hAnsiTheme="minorHAnsi"/>
          <w:sz w:val="24"/>
          <w:szCs w:val="24"/>
        </w:rPr>
        <w:t>standaryzacji</w:t>
      </w:r>
      <w:r w:rsidR="00DB55BA">
        <w:rPr>
          <w:rFonts w:asciiTheme="minorHAnsi" w:hAnsiTheme="minorHAnsi"/>
          <w:sz w:val="24"/>
          <w:szCs w:val="24"/>
        </w:rPr>
        <w:t xml:space="preserve"> tego procesu</w:t>
      </w:r>
      <w:r w:rsidR="00F72B5F">
        <w:rPr>
          <w:rFonts w:asciiTheme="minorHAnsi" w:hAnsiTheme="minorHAnsi"/>
          <w:sz w:val="24"/>
          <w:szCs w:val="24"/>
        </w:rPr>
        <w:t>, a</w:t>
      </w:r>
      <w:r w:rsidR="00EE2C38">
        <w:rPr>
          <w:rFonts w:asciiTheme="minorHAnsi" w:hAnsiTheme="minorHAnsi"/>
          <w:sz w:val="24"/>
          <w:szCs w:val="24"/>
        </w:rPr>
        <w:t> </w:t>
      </w:r>
      <w:r w:rsidR="00F72B5F">
        <w:rPr>
          <w:rFonts w:asciiTheme="minorHAnsi" w:hAnsiTheme="minorHAnsi"/>
          <w:sz w:val="24"/>
          <w:szCs w:val="24"/>
        </w:rPr>
        <w:t>także jego przedmiotowe</w:t>
      </w:r>
      <w:r w:rsidR="0088642E">
        <w:rPr>
          <w:rFonts w:asciiTheme="minorHAnsi" w:hAnsiTheme="minorHAnsi"/>
          <w:sz w:val="24"/>
          <w:szCs w:val="24"/>
        </w:rPr>
        <w:t>go ograniczenia</w:t>
      </w:r>
      <w:r w:rsidR="00F72B5F">
        <w:rPr>
          <w:rFonts w:asciiTheme="minorHAnsi" w:hAnsiTheme="minorHAnsi"/>
          <w:sz w:val="24"/>
          <w:szCs w:val="24"/>
        </w:rPr>
        <w:t xml:space="preserve"> do zakresu nadzoru </w:t>
      </w:r>
      <w:proofErr w:type="spellStart"/>
      <w:r w:rsidR="00F72B5F">
        <w:rPr>
          <w:rFonts w:asciiTheme="minorHAnsi" w:hAnsiTheme="minorHAnsi"/>
          <w:sz w:val="24"/>
          <w:szCs w:val="24"/>
        </w:rPr>
        <w:t>mikroostrożnościowego</w:t>
      </w:r>
      <w:proofErr w:type="spellEnd"/>
      <w:r w:rsidR="00DB55BA">
        <w:rPr>
          <w:rFonts w:asciiTheme="minorHAnsi" w:hAnsiTheme="minorHAnsi"/>
          <w:sz w:val="24"/>
          <w:szCs w:val="24"/>
        </w:rPr>
        <w:t xml:space="preserve">, </w:t>
      </w:r>
      <w:r w:rsidR="00F72B5F">
        <w:rPr>
          <w:rFonts w:asciiTheme="minorHAnsi" w:hAnsiTheme="minorHAnsi"/>
          <w:sz w:val="24"/>
          <w:szCs w:val="24"/>
        </w:rPr>
        <w:t>z</w:t>
      </w:r>
      <w:r w:rsidR="00EE2C38">
        <w:rPr>
          <w:rFonts w:asciiTheme="minorHAnsi" w:hAnsiTheme="minorHAnsi"/>
          <w:sz w:val="24"/>
          <w:szCs w:val="24"/>
        </w:rPr>
        <w:t> </w:t>
      </w:r>
      <w:r w:rsidR="00F72B5F">
        <w:rPr>
          <w:rFonts w:asciiTheme="minorHAnsi" w:hAnsiTheme="minorHAnsi"/>
          <w:sz w:val="24"/>
          <w:szCs w:val="24"/>
        </w:rPr>
        <w:t>pominięciem</w:t>
      </w:r>
      <w:r w:rsidR="00DB55BA">
        <w:rPr>
          <w:rFonts w:asciiTheme="minorHAnsi" w:hAnsiTheme="minorHAnsi"/>
          <w:sz w:val="24"/>
          <w:szCs w:val="24"/>
        </w:rPr>
        <w:t xml:space="preserve"> ryzyka systemowego. </w:t>
      </w:r>
      <w:r w:rsidR="00EC1E61">
        <w:rPr>
          <w:rFonts w:asciiTheme="minorHAnsi" w:hAnsiTheme="minorHAnsi"/>
          <w:sz w:val="24"/>
          <w:szCs w:val="24"/>
        </w:rPr>
        <w:t>Towarzyszące</w:t>
      </w:r>
      <w:r w:rsidR="002F7256">
        <w:rPr>
          <w:rFonts w:asciiTheme="minorHAnsi" w:hAnsiTheme="minorHAnsi"/>
          <w:sz w:val="24"/>
          <w:szCs w:val="24"/>
        </w:rPr>
        <w:t xml:space="preserve"> temu</w:t>
      </w:r>
      <w:r w:rsidR="00EC1E61">
        <w:rPr>
          <w:rFonts w:asciiTheme="minorHAnsi" w:hAnsiTheme="minorHAnsi"/>
          <w:sz w:val="24"/>
          <w:szCs w:val="24"/>
        </w:rPr>
        <w:t xml:space="preserve"> zmi</w:t>
      </w:r>
      <w:r w:rsidR="004D0513">
        <w:rPr>
          <w:rFonts w:asciiTheme="minorHAnsi" w:hAnsiTheme="minorHAnsi"/>
          <w:sz w:val="24"/>
          <w:szCs w:val="24"/>
        </w:rPr>
        <w:t>any uprawnień w ramach II filara</w:t>
      </w:r>
      <w:r w:rsidR="00EC1E61">
        <w:rPr>
          <w:rFonts w:asciiTheme="minorHAnsi" w:hAnsiTheme="minorHAnsi"/>
          <w:sz w:val="24"/>
          <w:szCs w:val="24"/>
        </w:rPr>
        <w:t xml:space="preserve"> mogą znacząco ograniczyć skuteczność narzędzi nadzorczych, którymi dy</w:t>
      </w:r>
      <w:r w:rsidR="00F72B5F">
        <w:rPr>
          <w:rFonts w:asciiTheme="minorHAnsi" w:hAnsiTheme="minorHAnsi"/>
          <w:sz w:val="24"/>
          <w:szCs w:val="24"/>
        </w:rPr>
        <w:t xml:space="preserve">sponują krajowe organy nadzoru, co w przyszłości może skutkować </w:t>
      </w:r>
      <w:r w:rsidR="00C91342">
        <w:rPr>
          <w:rFonts w:asciiTheme="minorHAnsi" w:hAnsiTheme="minorHAnsi"/>
          <w:sz w:val="24"/>
          <w:szCs w:val="24"/>
        </w:rPr>
        <w:t xml:space="preserve">spóźnioną identyfikacją ryzyka </w:t>
      </w:r>
      <w:proofErr w:type="spellStart"/>
      <w:r w:rsidR="00C91342">
        <w:rPr>
          <w:rFonts w:asciiTheme="minorHAnsi" w:hAnsiTheme="minorHAnsi"/>
          <w:sz w:val="24"/>
          <w:szCs w:val="24"/>
        </w:rPr>
        <w:t>makroostrożnościowego</w:t>
      </w:r>
      <w:proofErr w:type="spellEnd"/>
      <w:r w:rsidR="00C91342">
        <w:rPr>
          <w:rFonts w:asciiTheme="minorHAnsi" w:hAnsiTheme="minorHAnsi"/>
          <w:sz w:val="24"/>
          <w:szCs w:val="24"/>
        </w:rPr>
        <w:t xml:space="preserve"> na poziomie poszczególnych Państw Członkowskich. </w:t>
      </w:r>
    </w:p>
    <w:p w:rsidR="00644BCB" w:rsidRDefault="002F525E" w:rsidP="0088642E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Jednocześnie p</w:t>
      </w:r>
      <w:r w:rsidR="00EC1E61">
        <w:rPr>
          <w:rFonts w:asciiTheme="minorHAnsi" w:hAnsiTheme="minorHAnsi"/>
          <w:sz w:val="24"/>
          <w:szCs w:val="24"/>
        </w:rPr>
        <w:t>ewne wątpliwości</w:t>
      </w:r>
      <w:r w:rsidR="00D91323">
        <w:rPr>
          <w:rFonts w:asciiTheme="minorHAnsi" w:hAnsiTheme="minorHAnsi"/>
          <w:sz w:val="24"/>
          <w:szCs w:val="24"/>
        </w:rPr>
        <w:t>,</w:t>
      </w:r>
      <w:r w:rsidR="00EC1E61">
        <w:rPr>
          <w:rFonts w:asciiTheme="minorHAnsi" w:hAnsiTheme="minorHAnsi"/>
          <w:sz w:val="24"/>
          <w:szCs w:val="24"/>
        </w:rPr>
        <w:t xml:space="preserve"> </w:t>
      </w:r>
      <w:r w:rsidR="00EE2C38">
        <w:rPr>
          <w:rFonts w:asciiTheme="minorHAnsi" w:hAnsiTheme="minorHAnsi"/>
          <w:sz w:val="24"/>
          <w:szCs w:val="24"/>
        </w:rPr>
        <w:t>przede wszystkim natury prawnej</w:t>
      </w:r>
      <w:r w:rsidR="00D91323">
        <w:rPr>
          <w:rFonts w:asciiTheme="minorHAnsi" w:hAnsiTheme="minorHAnsi"/>
          <w:sz w:val="24"/>
          <w:szCs w:val="24"/>
        </w:rPr>
        <w:t>,</w:t>
      </w:r>
      <w:r w:rsidR="00EE2C38">
        <w:rPr>
          <w:rFonts w:asciiTheme="minorHAnsi" w:hAnsiTheme="minorHAnsi"/>
          <w:sz w:val="24"/>
          <w:szCs w:val="24"/>
        </w:rPr>
        <w:t xml:space="preserve"> </w:t>
      </w:r>
      <w:r w:rsidR="0088642E">
        <w:rPr>
          <w:rFonts w:asciiTheme="minorHAnsi" w:hAnsiTheme="minorHAnsi"/>
          <w:sz w:val="24"/>
          <w:szCs w:val="24"/>
        </w:rPr>
        <w:t>stwarza</w:t>
      </w:r>
      <w:r w:rsidR="00EC1E61">
        <w:rPr>
          <w:rFonts w:asciiTheme="minorHAnsi" w:hAnsiTheme="minorHAnsi"/>
          <w:sz w:val="24"/>
          <w:szCs w:val="24"/>
        </w:rPr>
        <w:t xml:space="preserve"> także dopuszczenie możliwości</w:t>
      </w:r>
      <w:r w:rsidR="00D81B2E">
        <w:rPr>
          <w:rFonts w:asciiTheme="minorHAnsi" w:hAnsiTheme="minorHAnsi"/>
          <w:sz w:val="24"/>
          <w:szCs w:val="24"/>
        </w:rPr>
        <w:t xml:space="preserve"> dokonania</w:t>
      </w:r>
      <w:r w:rsidR="00EC1E61">
        <w:rPr>
          <w:rFonts w:asciiTheme="minorHAnsi" w:hAnsiTheme="minorHAnsi"/>
          <w:sz w:val="24"/>
          <w:szCs w:val="24"/>
        </w:rPr>
        <w:t xml:space="preserve"> przeglądu listy podmiotów wyłączonych spod obowiązywania niniejszej dyrektywy</w:t>
      </w:r>
      <w:r w:rsidR="00D81B2E">
        <w:rPr>
          <w:rFonts w:asciiTheme="minorHAnsi" w:hAnsiTheme="minorHAnsi"/>
          <w:sz w:val="24"/>
          <w:szCs w:val="24"/>
        </w:rPr>
        <w:t xml:space="preserve"> przez Komisję Europejską.</w:t>
      </w:r>
    </w:p>
    <w:p w:rsidR="004961B5" w:rsidRPr="0088642E" w:rsidRDefault="00644BCB" w:rsidP="0088642E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Ponadto </w:t>
      </w:r>
      <w:r w:rsidR="00F01B15">
        <w:rPr>
          <w:rFonts w:asciiTheme="minorHAnsi" w:hAnsiTheme="minorHAnsi"/>
          <w:sz w:val="24"/>
          <w:szCs w:val="24"/>
        </w:rPr>
        <w:t xml:space="preserve">w opinii </w:t>
      </w:r>
      <w:r w:rsidR="00F01B15" w:rsidRPr="00CA25ED">
        <w:rPr>
          <w:rFonts w:asciiTheme="minorHAnsi" w:hAnsiTheme="minorHAnsi"/>
          <w:sz w:val="24"/>
          <w:szCs w:val="24"/>
        </w:rPr>
        <w:t>Rząd</w:t>
      </w:r>
      <w:r w:rsidR="00F01B15">
        <w:rPr>
          <w:rFonts w:asciiTheme="minorHAnsi" w:hAnsiTheme="minorHAnsi"/>
          <w:sz w:val="24"/>
          <w:szCs w:val="24"/>
        </w:rPr>
        <w:t>u</w:t>
      </w:r>
      <w:r w:rsidR="00F01B15" w:rsidRPr="00CA25ED">
        <w:rPr>
          <w:rFonts w:asciiTheme="minorHAnsi" w:hAnsiTheme="minorHAnsi"/>
          <w:sz w:val="24"/>
          <w:szCs w:val="24"/>
        </w:rPr>
        <w:t xml:space="preserve"> Rzeczypospolitej Polskiej </w:t>
      </w:r>
      <w:r w:rsidR="00F01B15">
        <w:rPr>
          <w:rFonts w:asciiTheme="minorHAnsi" w:hAnsiTheme="minorHAnsi"/>
          <w:sz w:val="24"/>
          <w:szCs w:val="24"/>
        </w:rPr>
        <w:t xml:space="preserve">doprecyzowania na dalszym etapie prac legislacyjnych wymagać będą </w:t>
      </w:r>
      <w:r w:rsidR="00AC7820">
        <w:rPr>
          <w:rFonts w:asciiTheme="minorHAnsi" w:hAnsiTheme="minorHAnsi"/>
          <w:sz w:val="24"/>
          <w:szCs w:val="24"/>
        </w:rPr>
        <w:t>przepis</w:t>
      </w:r>
      <w:r w:rsidR="00F01B15">
        <w:rPr>
          <w:rFonts w:asciiTheme="minorHAnsi" w:hAnsiTheme="minorHAnsi"/>
          <w:sz w:val="24"/>
          <w:szCs w:val="24"/>
        </w:rPr>
        <w:t>y</w:t>
      </w:r>
      <w:r w:rsidR="00AC7820">
        <w:rPr>
          <w:rFonts w:asciiTheme="minorHAnsi" w:hAnsiTheme="minorHAnsi"/>
          <w:sz w:val="24"/>
          <w:szCs w:val="24"/>
        </w:rPr>
        <w:t xml:space="preserve"> dotyczące wydawania zezwoleń </w:t>
      </w:r>
      <w:r w:rsidR="00AC7820" w:rsidRPr="00AC7820">
        <w:rPr>
          <w:rFonts w:asciiTheme="minorHAnsi" w:hAnsiTheme="minorHAnsi"/>
          <w:sz w:val="24"/>
          <w:szCs w:val="24"/>
        </w:rPr>
        <w:t>dla finansowych spółek holdingowych i finansowych spółek holdingowych o działalności mieszanej</w:t>
      </w:r>
      <w:r w:rsidR="00AC7820">
        <w:rPr>
          <w:rFonts w:asciiTheme="minorHAnsi" w:hAnsiTheme="minorHAnsi"/>
          <w:sz w:val="24"/>
          <w:szCs w:val="24"/>
        </w:rPr>
        <w:t xml:space="preserve">. </w:t>
      </w:r>
    </w:p>
    <w:p w:rsidR="004961B5" w:rsidRPr="00C30CC6" w:rsidRDefault="004961B5" w:rsidP="004961B5">
      <w:pPr>
        <w:pStyle w:val="Nagwek5"/>
        <w:rPr>
          <w:rFonts w:ascii="Calibri" w:hAnsi="Calibri"/>
        </w:rPr>
      </w:pPr>
      <w:r w:rsidRPr="00C30CC6">
        <w:rPr>
          <w:rFonts w:ascii="Calibri" w:hAnsi="Calibri"/>
        </w:rPr>
        <w:t>Uzasadnienie stanowiska RP</w:t>
      </w:r>
    </w:p>
    <w:p w:rsidR="00C91342" w:rsidRDefault="00C91342" w:rsidP="004961B5">
      <w:pPr>
        <w:spacing w:after="0" w:line="240" w:lineRule="auto"/>
      </w:pPr>
    </w:p>
    <w:p w:rsidR="009B30DF" w:rsidRDefault="00EF4ED1" w:rsidP="00AE6823">
      <w:pPr>
        <w:jc w:val="both"/>
        <w:rPr>
          <w:sz w:val="24"/>
          <w:szCs w:val="24"/>
        </w:rPr>
      </w:pPr>
      <w:r w:rsidRPr="006F453F">
        <w:rPr>
          <w:sz w:val="24"/>
          <w:szCs w:val="24"/>
        </w:rPr>
        <w:t xml:space="preserve">Rząd Rzeczypospolitej Polskiej podziela stanowisko zaprezentowane we </w:t>
      </w:r>
      <w:r>
        <w:rPr>
          <w:sz w:val="24"/>
          <w:szCs w:val="24"/>
        </w:rPr>
        <w:t>wniosku</w:t>
      </w:r>
      <w:r w:rsidR="00C91342">
        <w:rPr>
          <w:sz w:val="24"/>
          <w:szCs w:val="24"/>
        </w:rPr>
        <w:t xml:space="preserve"> dotyczące potrzeby rewizji dyrektywy CRD. </w:t>
      </w:r>
      <w:r w:rsidR="00717A27">
        <w:rPr>
          <w:sz w:val="24"/>
          <w:szCs w:val="24"/>
        </w:rPr>
        <w:t>Rozwiązania</w:t>
      </w:r>
      <w:r w:rsidR="00C91342">
        <w:rPr>
          <w:sz w:val="24"/>
          <w:szCs w:val="24"/>
        </w:rPr>
        <w:t xml:space="preserve"> prawne wprowadzone pakietem CRR/CRD IV </w:t>
      </w:r>
      <w:r w:rsidR="00C91342">
        <w:rPr>
          <w:sz w:val="24"/>
          <w:szCs w:val="24"/>
        </w:rPr>
        <w:lastRenderedPageBreak/>
        <w:t xml:space="preserve">znacząco wzmocniły bezpieczeństwo sektora finansowego, jednak na etapie stosowania </w:t>
      </w:r>
      <w:r w:rsidR="007F387D">
        <w:rPr>
          <w:sz w:val="24"/>
          <w:szCs w:val="24"/>
        </w:rPr>
        <w:t xml:space="preserve">wystąpiły okoliczności świadczące o konieczności </w:t>
      </w:r>
      <w:r w:rsidR="0088642E" w:rsidRPr="0088642E">
        <w:rPr>
          <w:sz w:val="24"/>
          <w:szCs w:val="24"/>
        </w:rPr>
        <w:t>korekty niektórych przepisów</w:t>
      </w:r>
      <w:r w:rsidR="00717A27" w:rsidRPr="0088642E">
        <w:rPr>
          <w:sz w:val="24"/>
          <w:szCs w:val="24"/>
        </w:rPr>
        <w:t xml:space="preserve">. </w:t>
      </w:r>
      <w:r w:rsidR="00717A27">
        <w:rPr>
          <w:sz w:val="24"/>
          <w:szCs w:val="24"/>
        </w:rPr>
        <w:t>Zapewnienie ram prawnych gwarantujących</w:t>
      </w:r>
      <w:r w:rsidR="00717A27" w:rsidRPr="00717A27">
        <w:rPr>
          <w:sz w:val="24"/>
          <w:szCs w:val="24"/>
        </w:rPr>
        <w:t xml:space="preserve"> </w:t>
      </w:r>
      <w:r w:rsidR="00717A27">
        <w:rPr>
          <w:sz w:val="24"/>
          <w:szCs w:val="24"/>
        </w:rPr>
        <w:t>przejrzyste zasady nadzoru oraz właściwą ewaluację ryzyka związanego z działalnością instytucji kredytowych jest priorytetem w kontekście stabilnego rozwoju gospodarczego Unii Eur</w:t>
      </w:r>
      <w:r w:rsidR="00AE6823">
        <w:rPr>
          <w:sz w:val="24"/>
          <w:szCs w:val="24"/>
        </w:rPr>
        <w:t>o</w:t>
      </w:r>
      <w:r w:rsidR="00717A27">
        <w:rPr>
          <w:sz w:val="24"/>
          <w:szCs w:val="24"/>
        </w:rPr>
        <w:t>pejskiej</w:t>
      </w:r>
      <w:r w:rsidR="00D91323">
        <w:rPr>
          <w:sz w:val="24"/>
          <w:szCs w:val="24"/>
        </w:rPr>
        <w:t>.</w:t>
      </w:r>
    </w:p>
    <w:p w:rsidR="00AE6823" w:rsidRDefault="00AE6823" w:rsidP="00175B0B">
      <w:pPr>
        <w:jc w:val="both"/>
        <w:rPr>
          <w:sz w:val="24"/>
          <w:szCs w:val="24"/>
        </w:rPr>
      </w:pPr>
      <w:r>
        <w:rPr>
          <w:sz w:val="24"/>
          <w:szCs w:val="24"/>
        </w:rPr>
        <w:t>Projektowane zmiany</w:t>
      </w:r>
      <w:r w:rsidR="00AC0724">
        <w:rPr>
          <w:sz w:val="24"/>
          <w:szCs w:val="24"/>
        </w:rPr>
        <w:t xml:space="preserve">, choć </w:t>
      </w:r>
      <w:r w:rsidR="00EE2C38">
        <w:rPr>
          <w:sz w:val="24"/>
          <w:szCs w:val="24"/>
        </w:rPr>
        <w:t>kierunkowo popierane</w:t>
      </w:r>
      <w:r w:rsidR="00AC0724">
        <w:rPr>
          <w:sz w:val="24"/>
          <w:szCs w:val="24"/>
        </w:rPr>
        <w:t xml:space="preserve">, </w:t>
      </w:r>
      <w:r w:rsidRPr="0088642E">
        <w:rPr>
          <w:sz w:val="24"/>
          <w:szCs w:val="24"/>
        </w:rPr>
        <w:t xml:space="preserve">wymagają doprecyzowania w niektórych </w:t>
      </w:r>
      <w:r w:rsidR="002F7256" w:rsidRPr="0088642E">
        <w:rPr>
          <w:sz w:val="24"/>
          <w:szCs w:val="24"/>
        </w:rPr>
        <w:t>aspektach</w:t>
      </w:r>
      <w:r w:rsidRPr="0088642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F7256">
        <w:rPr>
          <w:sz w:val="24"/>
          <w:szCs w:val="24"/>
        </w:rPr>
        <w:t>Jednym</w:t>
      </w:r>
      <w:r w:rsidR="00B21A0C">
        <w:rPr>
          <w:sz w:val="24"/>
          <w:szCs w:val="24"/>
        </w:rPr>
        <w:t xml:space="preserve"> z nich są przepisy regulujące uprawnienia n</w:t>
      </w:r>
      <w:r w:rsidR="004D0513">
        <w:rPr>
          <w:sz w:val="24"/>
          <w:szCs w:val="24"/>
        </w:rPr>
        <w:t>adzorcze w ramach tzw. II filara</w:t>
      </w:r>
      <w:r w:rsidR="00B21A0C">
        <w:rPr>
          <w:sz w:val="24"/>
          <w:szCs w:val="24"/>
        </w:rPr>
        <w:t xml:space="preserve">. Wyeliminowanie ryzyka systemowego generowanego przez instytucję, </w:t>
      </w:r>
      <w:r w:rsidR="00175B0B">
        <w:rPr>
          <w:sz w:val="24"/>
          <w:szCs w:val="24"/>
        </w:rPr>
        <w:t>będąc</w:t>
      </w:r>
      <w:r w:rsidR="00EE2C38">
        <w:rPr>
          <w:sz w:val="24"/>
          <w:szCs w:val="24"/>
        </w:rPr>
        <w:t>ego</w:t>
      </w:r>
      <w:r w:rsidR="00175B0B">
        <w:rPr>
          <w:sz w:val="24"/>
          <w:szCs w:val="24"/>
        </w:rPr>
        <w:t xml:space="preserve"> dotychczas jednym z czynników</w:t>
      </w:r>
      <w:r w:rsidR="00B21A0C">
        <w:rPr>
          <w:sz w:val="24"/>
          <w:szCs w:val="24"/>
        </w:rPr>
        <w:t xml:space="preserve"> </w:t>
      </w:r>
      <w:r w:rsidR="00175B0B">
        <w:rPr>
          <w:sz w:val="24"/>
          <w:szCs w:val="24"/>
        </w:rPr>
        <w:t>stanowiących</w:t>
      </w:r>
      <w:r w:rsidR="00AC0724">
        <w:rPr>
          <w:sz w:val="24"/>
          <w:szCs w:val="24"/>
        </w:rPr>
        <w:t xml:space="preserve"> podstawę</w:t>
      </w:r>
      <w:r w:rsidR="00B21A0C">
        <w:rPr>
          <w:sz w:val="24"/>
          <w:szCs w:val="24"/>
        </w:rPr>
        <w:t xml:space="preserve"> do podjęcia działań nadzorczych</w:t>
      </w:r>
      <w:r w:rsidR="004C00D0">
        <w:rPr>
          <w:sz w:val="24"/>
          <w:szCs w:val="24"/>
        </w:rPr>
        <w:t>,</w:t>
      </w:r>
      <w:r w:rsidR="00B21A0C">
        <w:rPr>
          <w:sz w:val="24"/>
          <w:szCs w:val="24"/>
        </w:rPr>
        <w:t xml:space="preserve"> może stwarzać niebezpieczeństwo zbyt późnej reakcji właściwych organów. </w:t>
      </w:r>
      <w:r w:rsidR="004C00D0">
        <w:rPr>
          <w:sz w:val="24"/>
          <w:szCs w:val="24"/>
        </w:rPr>
        <w:t xml:space="preserve">Proponowane rozwiązania </w:t>
      </w:r>
      <w:r w:rsidR="00D91323">
        <w:rPr>
          <w:sz w:val="24"/>
          <w:szCs w:val="24"/>
        </w:rPr>
        <w:t xml:space="preserve">wydają się być </w:t>
      </w:r>
      <w:r w:rsidR="004C00D0">
        <w:rPr>
          <w:sz w:val="24"/>
          <w:szCs w:val="24"/>
        </w:rPr>
        <w:t>jednocześnie sprzeczne z wytycznymi</w:t>
      </w:r>
      <w:r w:rsidR="003B34F5">
        <w:rPr>
          <w:sz w:val="24"/>
          <w:szCs w:val="24"/>
        </w:rPr>
        <w:t xml:space="preserve"> w sprawie SREP z dnia</w:t>
      </w:r>
      <w:r w:rsidR="003B34F5" w:rsidRPr="003B34F5">
        <w:t xml:space="preserve"> </w:t>
      </w:r>
      <w:r w:rsidR="003B34F5" w:rsidRPr="003B34F5">
        <w:rPr>
          <w:sz w:val="24"/>
          <w:szCs w:val="24"/>
        </w:rPr>
        <w:t>19 grudnia 2014 r</w:t>
      </w:r>
      <w:r w:rsidR="003B34F5">
        <w:t>.</w:t>
      </w:r>
      <w:r w:rsidR="003B34F5">
        <w:rPr>
          <w:sz w:val="24"/>
          <w:szCs w:val="24"/>
        </w:rPr>
        <w:t xml:space="preserve"> (</w:t>
      </w:r>
      <w:r w:rsidR="003B34F5" w:rsidRPr="003B34F5">
        <w:rPr>
          <w:sz w:val="24"/>
          <w:szCs w:val="24"/>
        </w:rPr>
        <w:t>EBA/GL/2014/13</w:t>
      </w:r>
      <w:r w:rsidR="003B34F5">
        <w:rPr>
          <w:sz w:val="24"/>
          <w:szCs w:val="24"/>
        </w:rPr>
        <w:t>)</w:t>
      </w:r>
      <w:r w:rsidR="002F7256">
        <w:rPr>
          <w:sz w:val="24"/>
          <w:szCs w:val="24"/>
        </w:rPr>
        <w:t>,</w:t>
      </w:r>
      <w:r w:rsidR="004C00D0">
        <w:rPr>
          <w:sz w:val="24"/>
          <w:szCs w:val="24"/>
        </w:rPr>
        <w:t xml:space="preserve"> przygotowanymi przez </w:t>
      </w:r>
      <w:r w:rsidR="004C00D0" w:rsidRPr="004C00D0">
        <w:rPr>
          <w:sz w:val="24"/>
          <w:szCs w:val="24"/>
        </w:rPr>
        <w:t>Europejski Urząd Nadzoru Bankowego (EUNB)</w:t>
      </w:r>
      <w:r w:rsidR="004C00D0">
        <w:rPr>
          <w:sz w:val="24"/>
          <w:szCs w:val="24"/>
        </w:rPr>
        <w:t>, które</w:t>
      </w:r>
      <w:r w:rsidR="00AC0724">
        <w:rPr>
          <w:sz w:val="24"/>
          <w:szCs w:val="24"/>
        </w:rPr>
        <w:t xml:space="preserve"> jednoznacznie</w:t>
      </w:r>
      <w:r w:rsidR="004C00D0">
        <w:rPr>
          <w:sz w:val="24"/>
          <w:szCs w:val="24"/>
        </w:rPr>
        <w:t xml:space="preserve"> wskazują znaczenie systemowe</w:t>
      </w:r>
      <w:r w:rsidR="00AC0724">
        <w:rPr>
          <w:sz w:val="24"/>
          <w:szCs w:val="24"/>
        </w:rPr>
        <w:t xml:space="preserve"> </w:t>
      </w:r>
      <w:r w:rsidR="004C00D0">
        <w:rPr>
          <w:sz w:val="24"/>
          <w:szCs w:val="24"/>
        </w:rPr>
        <w:t>jako jeden z</w:t>
      </w:r>
      <w:r w:rsidR="00D91323">
        <w:rPr>
          <w:sz w:val="24"/>
          <w:szCs w:val="24"/>
        </w:rPr>
        <w:t> </w:t>
      </w:r>
      <w:r w:rsidR="004C00D0">
        <w:rPr>
          <w:sz w:val="24"/>
          <w:szCs w:val="24"/>
        </w:rPr>
        <w:t>podstawowych czynników kategoryzacji instytucji</w:t>
      </w:r>
      <w:r w:rsidR="00AC0724">
        <w:rPr>
          <w:sz w:val="24"/>
          <w:szCs w:val="24"/>
        </w:rPr>
        <w:t xml:space="preserve"> kredytowych</w:t>
      </w:r>
      <w:r w:rsidR="004C00D0">
        <w:rPr>
          <w:sz w:val="24"/>
          <w:szCs w:val="24"/>
        </w:rPr>
        <w:t xml:space="preserve">. Rząd Rzeczypospolitej Polskiej zgadza się ze stanowiskiem, według którego rozróżnienie pomiędzy </w:t>
      </w:r>
      <w:proofErr w:type="spellStart"/>
      <w:r w:rsidR="004C00D0">
        <w:rPr>
          <w:sz w:val="24"/>
          <w:szCs w:val="24"/>
        </w:rPr>
        <w:t>mikroostrożnościowymi</w:t>
      </w:r>
      <w:proofErr w:type="spellEnd"/>
      <w:r w:rsidR="004C00D0">
        <w:rPr>
          <w:sz w:val="24"/>
          <w:szCs w:val="24"/>
        </w:rPr>
        <w:t xml:space="preserve"> i</w:t>
      </w:r>
      <w:r w:rsidR="00EE2C38">
        <w:rPr>
          <w:sz w:val="24"/>
          <w:szCs w:val="24"/>
        </w:rPr>
        <w:t xml:space="preserve"> </w:t>
      </w:r>
      <w:proofErr w:type="spellStart"/>
      <w:r w:rsidR="004C00D0">
        <w:rPr>
          <w:sz w:val="24"/>
          <w:szCs w:val="24"/>
        </w:rPr>
        <w:t>makroostrożnościowymi</w:t>
      </w:r>
      <w:proofErr w:type="spellEnd"/>
      <w:r w:rsidR="004C00D0">
        <w:rPr>
          <w:sz w:val="24"/>
          <w:szCs w:val="24"/>
        </w:rPr>
        <w:t xml:space="preserve"> instrumentami nadzoru powinno być jasno zdefiniowane</w:t>
      </w:r>
      <w:r w:rsidR="00AC0724">
        <w:rPr>
          <w:sz w:val="24"/>
          <w:szCs w:val="24"/>
        </w:rPr>
        <w:t xml:space="preserve">. Nie powinno to jednak </w:t>
      </w:r>
      <w:r w:rsidR="004D0513">
        <w:rPr>
          <w:sz w:val="24"/>
          <w:szCs w:val="24"/>
        </w:rPr>
        <w:t xml:space="preserve">prowadzić do całkowitego nieuwzględniania kwestii systemowych w tym procesie. Należy mieć bowiem na uwadze, że ryzyko systemowe może przejawiać się na płaszczyźnie </w:t>
      </w:r>
      <w:proofErr w:type="spellStart"/>
      <w:r w:rsidR="004D0513">
        <w:rPr>
          <w:sz w:val="24"/>
          <w:szCs w:val="24"/>
        </w:rPr>
        <w:t>mikroostrożnościowej</w:t>
      </w:r>
      <w:proofErr w:type="spellEnd"/>
      <w:r w:rsidR="004D0513">
        <w:rPr>
          <w:sz w:val="24"/>
          <w:szCs w:val="24"/>
        </w:rPr>
        <w:t xml:space="preserve"> i</w:t>
      </w:r>
      <w:r w:rsidR="00E3682F">
        <w:rPr>
          <w:sz w:val="24"/>
          <w:szCs w:val="24"/>
        </w:rPr>
        <w:t> </w:t>
      </w:r>
      <w:r w:rsidR="004D0513">
        <w:rPr>
          <w:sz w:val="24"/>
          <w:szCs w:val="24"/>
        </w:rPr>
        <w:t>występować w jednym lub kilku bankach.</w:t>
      </w:r>
    </w:p>
    <w:p w:rsidR="00A33CB1" w:rsidRDefault="00A33CB1" w:rsidP="007B762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Zdaniem Rządu działaniem niepożądanym z perspektywy skuteczności nadzoru jest wydawanie regulacyjnych standardów technicznych </w:t>
      </w:r>
      <w:r w:rsidR="001E78FA">
        <w:rPr>
          <w:sz w:val="24"/>
          <w:szCs w:val="24"/>
        </w:rPr>
        <w:t>(</w:t>
      </w:r>
      <w:r w:rsidR="001E78FA" w:rsidRPr="00377820">
        <w:rPr>
          <w:b/>
          <w:sz w:val="24"/>
          <w:szCs w:val="24"/>
        </w:rPr>
        <w:t xml:space="preserve">regulatory </w:t>
      </w:r>
      <w:proofErr w:type="spellStart"/>
      <w:r w:rsidR="001E78FA" w:rsidRPr="00377820">
        <w:rPr>
          <w:b/>
          <w:sz w:val="24"/>
          <w:szCs w:val="24"/>
        </w:rPr>
        <w:t>technical</w:t>
      </w:r>
      <w:proofErr w:type="spellEnd"/>
      <w:r w:rsidR="001E78FA" w:rsidRPr="00377820">
        <w:rPr>
          <w:b/>
          <w:sz w:val="24"/>
          <w:szCs w:val="24"/>
        </w:rPr>
        <w:t xml:space="preserve"> </w:t>
      </w:r>
      <w:proofErr w:type="spellStart"/>
      <w:r w:rsidR="001E78FA" w:rsidRPr="00377820">
        <w:rPr>
          <w:b/>
          <w:sz w:val="24"/>
          <w:szCs w:val="24"/>
        </w:rPr>
        <w:t>standards</w:t>
      </w:r>
      <w:proofErr w:type="spellEnd"/>
      <w:r w:rsidRPr="00377820">
        <w:rPr>
          <w:sz w:val="24"/>
          <w:szCs w:val="24"/>
        </w:rPr>
        <w:t xml:space="preserve">, </w:t>
      </w:r>
      <w:r w:rsidRPr="00377820">
        <w:rPr>
          <w:b/>
          <w:sz w:val="24"/>
          <w:szCs w:val="24"/>
        </w:rPr>
        <w:t>RTS</w:t>
      </w:r>
      <w:r>
        <w:rPr>
          <w:sz w:val="24"/>
          <w:szCs w:val="24"/>
        </w:rPr>
        <w:t>)</w:t>
      </w:r>
      <w:r w:rsidR="00171E65">
        <w:rPr>
          <w:color w:val="FF0000"/>
          <w:sz w:val="24"/>
          <w:szCs w:val="24"/>
        </w:rPr>
        <w:t xml:space="preserve"> </w:t>
      </w:r>
      <w:r w:rsidR="00171E65" w:rsidRPr="00175B0B">
        <w:rPr>
          <w:sz w:val="24"/>
          <w:szCs w:val="24"/>
        </w:rPr>
        <w:t xml:space="preserve">(art. 98 </w:t>
      </w:r>
      <w:r w:rsidR="00E3682F">
        <w:rPr>
          <w:sz w:val="24"/>
          <w:szCs w:val="24"/>
        </w:rPr>
        <w:t>(</w:t>
      </w:r>
      <w:r w:rsidR="00171E65" w:rsidRPr="00175B0B">
        <w:rPr>
          <w:sz w:val="24"/>
          <w:szCs w:val="24"/>
        </w:rPr>
        <w:t>5a</w:t>
      </w:r>
      <w:r w:rsidR="00E3682F">
        <w:rPr>
          <w:sz w:val="24"/>
          <w:szCs w:val="24"/>
        </w:rPr>
        <w:t>)</w:t>
      </w:r>
      <w:r w:rsidR="00171E65" w:rsidRPr="00175B0B">
        <w:rPr>
          <w:sz w:val="24"/>
          <w:szCs w:val="24"/>
        </w:rPr>
        <w:t>)</w:t>
      </w:r>
      <w:r>
        <w:rPr>
          <w:sz w:val="24"/>
          <w:szCs w:val="24"/>
        </w:rPr>
        <w:t xml:space="preserve">, które doprowadzą do dalszej standaryzacji procesu </w:t>
      </w:r>
      <w:r w:rsidRPr="00A33CB1">
        <w:rPr>
          <w:sz w:val="24"/>
          <w:szCs w:val="24"/>
        </w:rPr>
        <w:t>SREP</w:t>
      </w:r>
      <w:r>
        <w:rPr>
          <w:b/>
          <w:sz w:val="24"/>
          <w:szCs w:val="24"/>
        </w:rPr>
        <w:t xml:space="preserve">. </w:t>
      </w:r>
      <w:r>
        <w:rPr>
          <w:sz w:val="24"/>
          <w:szCs w:val="24"/>
        </w:rPr>
        <w:t xml:space="preserve">Zgodnie z zasadami opracowanymi przez </w:t>
      </w:r>
      <w:r w:rsidRPr="00A33CB1">
        <w:rPr>
          <w:sz w:val="24"/>
          <w:szCs w:val="24"/>
        </w:rPr>
        <w:t>Bazyl</w:t>
      </w:r>
      <w:r>
        <w:rPr>
          <w:sz w:val="24"/>
          <w:szCs w:val="24"/>
        </w:rPr>
        <w:t>ejski Komitet Nadzoru Bankowego proces ten ma charakter jakościowy i wymaga uwzględnienia wielu</w:t>
      </w:r>
      <w:r w:rsidR="005340D8">
        <w:rPr>
          <w:sz w:val="24"/>
          <w:szCs w:val="24"/>
        </w:rPr>
        <w:t xml:space="preserve"> czynników, nie tylko na poziomie globalnym czy europejskim, ale także na poziomie krajowym, bądź lokalnym. Poprawne zaadresowanie </w:t>
      </w:r>
      <w:r w:rsidR="005340D8" w:rsidRPr="005340D8">
        <w:rPr>
          <w:i/>
          <w:sz w:val="24"/>
          <w:szCs w:val="24"/>
        </w:rPr>
        <w:t>ex</w:t>
      </w:r>
      <w:r w:rsidR="00175B0B">
        <w:rPr>
          <w:i/>
          <w:sz w:val="24"/>
          <w:szCs w:val="24"/>
        </w:rPr>
        <w:t> </w:t>
      </w:r>
      <w:proofErr w:type="spellStart"/>
      <w:r w:rsidR="005340D8" w:rsidRPr="005340D8">
        <w:rPr>
          <w:i/>
          <w:sz w:val="24"/>
          <w:szCs w:val="24"/>
        </w:rPr>
        <w:t>ante</w:t>
      </w:r>
      <w:proofErr w:type="spellEnd"/>
      <w:r w:rsidR="005340D8">
        <w:rPr>
          <w:i/>
          <w:sz w:val="24"/>
          <w:szCs w:val="24"/>
        </w:rPr>
        <w:t xml:space="preserve"> </w:t>
      </w:r>
      <w:r w:rsidR="005340D8">
        <w:rPr>
          <w:sz w:val="24"/>
          <w:szCs w:val="24"/>
        </w:rPr>
        <w:t>wszystkich możliwych zagrożeń jest w praktyce niemożliwe, dlatego też standardy będą miały prawdopodobnie ogólny charakter, co</w:t>
      </w:r>
      <w:r w:rsidR="00AC0724">
        <w:rPr>
          <w:sz w:val="24"/>
          <w:szCs w:val="24"/>
        </w:rPr>
        <w:t xml:space="preserve"> może</w:t>
      </w:r>
      <w:r w:rsidR="005340D8">
        <w:rPr>
          <w:sz w:val="24"/>
          <w:szCs w:val="24"/>
        </w:rPr>
        <w:t xml:space="preserve"> znacząco</w:t>
      </w:r>
      <w:r w:rsidR="00AC0724">
        <w:rPr>
          <w:sz w:val="24"/>
          <w:szCs w:val="24"/>
        </w:rPr>
        <w:t xml:space="preserve"> </w:t>
      </w:r>
      <w:r w:rsidR="005340D8">
        <w:rPr>
          <w:sz w:val="24"/>
          <w:szCs w:val="24"/>
        </w:rPr>
        <w:t>ograniczy</w:t>
      </w:r>
      <w:r w:rsidR="00AC0724">
        <w:rPr>
          <w:sz w:val="24"/>
          <w:szCs w:val="24"/>
        </w:rPr>
        <w:t>ć</w:t>
      </w:r>
      <w:r w:rsidR="005340D8">
        <w:rPr>
          <w:sz w:val="24"/>
          <w:szCs w:val="24"/>
        </w:rPr>
        <w:t xml:space="preserve"> efektywność działań nadzorczych. Mając na uwagę praktykę nadzorczą lepszym rozwiązaniem wydaje się zlecenie EUNB opracowania wytycznych dotyczących możliwych podejść do pomiaru ryzyka, takich jak </w:t>
      </w:r>
      <w:r w:rsidR="00AC0724">
        <w:rPr>
          <w:sz w:val="24"/>
          <w:szCs w:val="24"/>
        </w:rPr>
        <w:t>stosowane</w:t>
      </w:r>
      <w:r w:rsidR="005340D8">
        <w:rPr>
          <w:sz w:val="24"/>
          <w:szCs w:val="24"/>
        </w:rPr>
        <w:t xml:space="preserve"> do ustalania narzutu kapitałowego dla polskich banków z tytułu kredytów walutowych dla</w:t>
      </w:r>
      <w:r w:rsidR="001E78FA" w:rsidRPr="001E78FA">
        <w:rPr>
          <w:sz w:val="24"/>
          <w:szCs w:val="24"/>
        </w:rPr>
        <w:t xml:space="preserve"> </w:t>
      </w:r>
      <w:r w:rsidR="001E78FA">
        <w:rPr>
          <w:sz w:val="24"/>
          <w:szCs w:val="24"/>
        </w:rPr>
        <w:t>niezabezpieczonych</w:t>
      </w:r>
      <w:r w:rsidR="005340D8">
        <w:rPr>
          <w:sz w:val="24"/>
          <w:szCs w:val="24"/>
        </w:rPr>
        <w:t xml:space="preserve"> kredytobiorców </w:t>
      </w:r>
      <w:r w:rsidR="001E78FA">
        <w:rPr>
          <w:sz w:val="24"/>
          <w:szCs w:val="24"/>
        </w:rPr>
        <w:t>w ramach SREP.</w:t>
      </w:r>
    </w:p>
    <w:p w:rsidR="001E78FA" w:rsidRDefault="00D34C7A" w:rsidP="007B7622">
      <w:pPr>
        <w:jc w:val="both"/>
        <w:rPr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Ponadto </w:t>
      </w:r>
      <w:r w:rsidR="0088642E" w:rsidRPr="001B36D3">
        <w:rPr>
          <w:rFonts w:asciiTheme="minorHAnsi" w:hAnsiTheme="minorHAnsi"/>
          <w:sz w:val="24"/>
          <w:szCs w:val="24"/>
        </w:rPr>
        <w:t>Rząd Rzeczypospolitej Polskiej z ostrożnością odnosi się do</w:t>
      </w:r>
      <w:r w:rsidR="0088642E">
        <w:rPr>
          <w:rFonts w:asciiTheme="minorHAnsi" w:hAnsiTheme="minorHAnsi"/>
          <w:sz w:val="24"/>
          <w:szCs w:val="24"/>
        </w:rPr>
        <w:t xml:space="preserve"> propozycji zmian w</w:t>
      </w:r>
      <w:r>
        <w:rPr>
          <w:rFonts w:asciiTheme="minorHAnsi" w:hAnsiTheme="minorHAnsi"/>
          <w:sz w:val="24"/>
          <w:szCs w:val="24"/>
        </w:rPr>
        <w:t> </w:t>
      </w:r>
      <w:r w:rsidR="0088642E">
        <w:rPr>
          <w:rFonts w:asciiTheme="minorHAnsi" w:hAnsiTheme="minorHAnsi"/>
          <w:sz w:val="24"/>
          <w:szCs w:val="24"/>
        </w:rPr>
        <w:t xml:space="preserve">zakresie </w:t>
      </w:r>
      <w:r w:rsidR="008A17ED">
        <w:rPr>
          <w:sz w:val="24"/>
          <w:szCs w:val="24"/>
        </w:rPr>
        <w:t>nakładania dodatkowych wymogów</w:t>
      </w:r>
      <w:r w:rsidR="00E3682F">
        <w:rPr>
          <w:sz w:val="24"/>
          <w:szCs w:val="24"/>
        </w:rPr>
        <w:t xml:space="preserve"> kapitałowych w ramach II filaru</w:t>
      </w:r>
      <w:r w:rsidR="008A17ED">
        <w:rPr>
          <w:sz w:val="24"/>
          <w:szCs w:val="24"/>
        </w:rPr>
        <w:t xml:space="preserve">. Według Rządu brzmienie projektowanego </w:t>
      </w:r>
      <w:r w:rsidR="00E3682F">
        <w:rPr>
          <w:sz w:val="24"/>
          <w:szCs w:val="24"/>
        </w:rPr>
        <w:t>art. 104a (</w:t>
      </w:r>
      <w:r w:rsidR="003B34F5">
        <w:rPr>
          <w:sz w:val="24"/>
          <w:szCs w:val="24"/>
        </w:rPr>
        <w:t>2</w:t>
      </w:r>
      <w:r w:rsidR="00E3682F">
        <w:rPr>
          <w:sz w:val="24"/>
          <w:szCs w:val="24"/>
        </w:rPr>
        <w:t>)</w:t>
      </w:r>
      <w:r w:rsidR="003B34F5">
        <w:rPr>
          <w:sz w:val="24"/>
          <w:szCs w:val="24"/>
        </w:rPr>
        <w:t xml:space="preserve"> </w:t>
      </w:r>
      <w:r w:rsidR="008A17ED">
        <w:rPr>
          <w:sz w:val="24"/>
          <w:szCs w:val="24"/>
        </w:rPr>
        <w:t xml:space="preserve">jest niejasne, gdyż nie </w:t>
      </w:r>
      <w:r w:rsidR="00E3682F">
        <w:rPr>
          <w:sz w:val="24"/>
          <w:szCs w:val="24"/>
        </w:rPr>
        <w:t>wskazuje</w:t>
      </w:r>
      <w:r w:rsidR="008A17ED">
        <w:rPr>
          <w:sz w:val="24"/>
          <w:szCs w:val="24"/>
        </w:rPr>
        <w:t xml:space="preserve"> wyraźnie jakie elementy ryzyka lub zagrożeń niedostatecznie pokrytych przez bank mogą być przedmiotem narzutu kapitałowego. </w:t>
      </w:r>
      <w:r w:rsidR="003B34F5">
        <w:rPr>
          <w:sz w:val="24"/>
          <w:szCs w:val="24"/>
        </w:rPr>
        <w:t>Na podstawie brzmienia przepisu zaproponowanego we wniosku można sądzić, że dodatkowy wymóg kapitałowy może być nałożon</w:t>
      </w:r>
      <w:r w:rsidR="00AC0724">
        <w:rPr>
          <w:sz w:val="24"/>
          <w:szCs w:val="24"/>
        </w:rPr>
        <w:t>y jedynie w</w:t>
      </w:r>
      <w:r>
        <w:rPr>
          <w:sz w:val="24"/>
          <w:szCs w:val="24"/>
        </w:rPr>
        <w:t> </w:t>
      </w:r>
      <w:r w:rsidR="00AC0724">
        <w:rPr>
          <w:sz w:val="24"/>
          <w:szCs w:val="24"/>
        </w:rPr>
        <w:t xml:space="preserve">przypadku </w:t>
      </w:r>
      <w:r>
        <w:rPr>
          <w:sz w:val="24"/>
          <w:szCs w:val="24"/>
        </w:rPr>
        <w:t xml:space="preserve">rodzajów </w:t>
      </w:r>
      <w:r w:rsidR="00AC0724">
        <w:rPr>
          <w:sz w:val="24"/>
          <w:szCs w:val="24"/>
        </w:rPr>
        <w:t>ryzyk</w:t>
      </w:r>
      <w:r>
        <w:rPr>
          <w:sz w:val="24"/>
          <w:szCs w:val="24"/>
        </w:rPr>
        <w:t>a</w:t>
      </w:r>
      <w:r w:rsidR="00AC0724">
        <w:rPr>
          <w:sz w:val="24"/>
          <w:szCs w:val="24"/>
        </w:rPr>
        <w:t xml:space="preserve"> nie</w:t>
      </w:r>
      <w:r w:rsidR="003B34F5">
        <w:rPr>
          <w:sz w:val="24"/>
          <w:szCs w:val="24"/>
        </w:rPr>
        <w:t xml:space="preserve">wymienionych w rozporządzeniu CRR, co może istotnie </w:t>
      </w:r>
      <w:r w:rsidR="003B34F5">
        <w:rPr>
          <w:sz w:val="24"/>
          <w:szCs w:val="24"/>
        </w:rPr>
        <w:lastRenderedPageBreak/>
        <w:t>osłabić skuteczność oddziaływania organów nadzorczych na instytucje kredytowe</w:t>
      </w:r>
      <w:r w:rsidR="00AC0724">
        <w:rPr>
          <w:sz w:val="24"/>
          <w:szCs w:val="24"/>
        </w:rPr>
        <w:t xml:space="preserve"> w zakresie adekwatności kapitałowej</w:t>
      </w:r>
      <w:r w:rsidR="003B34F5">
        <w:rPr>
          <w:sz w:val="24"/>
          <w:szCs w:val="24"/>
        </w:rPr>
        <w:t>.</w:t>
      </w:r>
    </w:p>
    <w:p w:rsidR="00A87310" w:rsidRDefault="00A87310" w:rsidP="007B7622">
      <w:pPr>
        <w:jc w:val="both"/>
        <w:rPr>
          <w:sz w:val="24"/>
          <w:szCs w:val="24"/>
        </w:rPr>
      </w:pPr>
      <w:r>
        <w:rPr>
          <w:sz w:val="24"/>
          <w:szCs w:val="24"/>
        </w:rPr>
        <w:t>Wydaje się</w:t>
      </w:r>
      <w:r w:rsidR="00B24A28" w:rsidRPr="00B24A28">
        <w:rPr>
          <w:sz w:val="24"/>
          <w:szCs w:val="24"/>
        </w:rPr>
        <w:t xml:space="preserve"> </w:t>
      </w:r>
      <w:r w:rsidR="00B24A28">
        <w:rPr>
          <w:sz w:val="24"/>
          <w:szCs w:val="24"/>
        </w:rPr>
        <w:t>również</w:t>
      </w:r>
      <w:r>
        <w:rPr>
          <w:sz w:val="24"/>
          <w:szCs w:val="24"/>
        </w:rPr>
        <w:t>, że organ nadzorczy powinien mieć możliwość wydawania wiążących zaleceń kapitałowych (</w:t>
      </w:r>
      <w:proofErr w:type="spellStart"/>
      <w:r w:rsidRPr="00A87310">
        <w:rPr>
          <w:b/>
          <w:sz w:val="24"/>
          <w:szCs w:val="24"/>
        </w:rPr>
        <w:t>capital</w:t>
      </w:r>
      <w:proofErr w:type="spellEnd"/>
      <w:r w:rsidRPr="00A87310">
        <w:rPr>
          <w:b/>
          <w:sz w:val="24"/>
          <w:szCs w:val="24"/>
        </w:rPr>
        <w:t xml:space="preserve"> </w:t>
      </w:r>
      <w:proofErr w:type="spellStart"/>
      <w:r w:rsidRPr="00A87310">
        <w:rPr>
          <w:b/>
          <w:sz w:val="24"/>
          <w:szCs w:val="24"/>
        </w:rPr>
        <w:t>guidance</w:t>
      </w:r>
      <w:proofErr w:type="spellEnd"/>
      <w:r>
        <w:rPr>
          <w:sz w:val="24"/>
          <w:szCs w:val="24"/>
        </w:rPr>
        <w:t xml:space="preserve">) w stosunku do instytucji lub grupy instytucji kredytowych. </w:t>
      </w:r>
      <w:r w:rsidR="00B24A28">
        <w:rPr>
          <w:sz w:val="24"/>
          <w:szCs w:val="24"/>
        </w:rPr>
        <w:t>Proponowane rozwiązanie</w:t>
      </w:r>
      <w:r>
        <w:rPr>
          <w:sz w:val="24"/>
          <w:szCs w:val="24"/>
        </w:rPr>
        <w:t xml:space="preserve"> dające możliwość wydawania niewiążących zaleceń, bez </w:t>
      </w:r>
      <w:r w:rsidR="00B24A28">
        <w:rPr>
          <w:sz w:val="24"/>
          <w:szCs w:val="24"/>
        </w:rPr>
        <w:t>wskazania</w:t>
      </w:r>
      <w:r>
        <w:rPr>
          <w:sz w:val="24"/>
          <w:szCs w:val="24"/>
        </w:rPr>
        <w:t xml:space="preserve"> sankcji administracyjnych</w:t>
      </w:r>
      <w:r w:rsidR="00B24A28">
        <w:rPr>
          <w:sz w:val="24"/>
          <w:szCs w:val="24"/>
        </w:rPr>
        <w:t xml:space="preserve">, powoduje, że organ nadzorczy nie ma skutecznych narzędzi oddziaływania na instytucje niespełniające wymogów kapitałowych. </w:t>
      </w:r>
    </w:p>
    <w:p w:rsidR="0088642E" w:rsidRPr="0088642E" w:rsidRDefault="007B7622" w:rsidP="00025EE6">
      <w:pPr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Z perspektywy Rządu Rzeczypos</w:t>
      </w:r>
      <w:r w:rsidR="00AC0724">
        <w:rPr>
          <w:sz w:val="24"/>
          <w:szCs w:val="24"/>
        </w:rPr>
        <w:t xml:space="preserve">politej Polskiej </w:t>
      </w:r>
      <w:r w:rsidR="00D34C7A">
        <w:rPr>
          <w:sz w:val="24"/>
          <w:szCs w:val="24"/>
        </w:rPr>
        <w:t xml:space="preserve">ponownego rozważenia </w:t>
      </w:r>
      <w:r w:rsidR="009470EA">
        <w:rPr>
          <w:sz w:val="24"/>
          <w:szCs w:val="24"/>
        </w:rPr>
        <w:t xml:space="preserve">wymaga zasadność </w:t>
      </w:r>
      <w:r w:rsidR="00AC0724">
        <w:rPr>
          <w:sz w:val="24"/>
          <w:szCs w:val="24"/>
        </w:rPr>
        <w:t>wprowadzani</w:t>
      </w:r>
      <w:r w:rsidR="009431AD">
        <w:rPr>
          <w:sz w:val="24"/>
          <w:szCs w:val="24"/>
        </w:rPr>
        <w:t>a</w:t>
      </w:r>
      <w:r>
        <w:rPr>
          <w:sz w:val="24"/>
          <w:szCs w:val="24"/>
        </w:rPr>
        <w:t xml:space="preserve"> art. 104c (1), na mocy którego nakładanie dodatkowych wymogów kapitałowych jest związane z</w:t>
      </w:r>
      <w:r w:rsidR="00E3682F">
        <w:rPr>
          <w:sz w:val="24"/>
          <w:szCs w:val="24"/>
        </w:rPr>
        <w:t> </w:t>
      </w:r>
      <w:r>
        <w:rPr>
          <w:sz w:val="24"/>
          <w:szCs w:val="24"/>
        </w:rPr>
        <w:t>koniecznością konsultacji organów nadzorczych z</w:t>
      </w:r>
      <w:r w:rsidR="009470EA">
        <w:rPr>
          <w:sz w:val="24"/>
          <w:szCs w:val="24"/>
        </w:rPr>
        <w:t> </w:t>
      </w:r>
      <w:r>
        <w:rPr>
          <w:sz w:val="24"/>
          <w:szCs w:val="24"/>
        </w:rPr>
        <w:t xml:space="preserve">organem </w:t>
      </w:r>
      <w:r>
        <w:rPr>
          <w:i/>
          <w:sz w:val="24"/>
          <w:szCs w:val="24"/>
        </w:rPr>
        <w:t>resolution</w:t>
      </w:r>
      <w:r>
        <w:rPr>
          <w:sz w:val="24"/>
          <w:szCs w:val="24"/>
        </w:rPr>
        <w:t xml:space="preserve">. Organ </w:t>
      </w:r>
      <w:r>
        <w:rPr>
          <w:i/>
          <w:sz w:val="24"/>
          <w:szCs w:val="24"/>
        </w:rPr>
        <w:t xml:space="preserve">resolution </w:t>
      </w:r>
      <w:r>
        <w:rPr>
          <w:sz w:val="24"/>
          <w:szCs w:val="24"/>
        </w:rPr>
        <w:t>ma kluczowe znaczenie dla procesu przymusowej restrukturyzacji, nie jest natomiast odpowiedzialny za nadzór bieżący. Tym samym może nie mieć wystarczającej wiedzy na temat danej instytucji, aby zapewnić umotywowaną opinię w</w:t>
      </w:r>
      <w:r w:rsidR="009470EA">
        <w:rPr>
          <w:sz w:val="24"/>
          <w:szCs w:val="24"/>
        </w:rPr>
        <w:t> </w:t>
      </w:r>
      <w:r>
        <w:rPr>
          <w:sz w:val="24"/>
          <w:szCs w:val="24"/>
        </w:rPr>
        <w:t xml:space="preserve">tym zakresie. Bardziej właściwym rozwiązaniem wydaje się wskazanie obowiązku niezwłocznego informowania organu </w:t>
      </w:r>
      <w:r>
        <w:rPr>
          <w:i/>
          <w:sz w:val="24"/>
          <w:szCs w:val="24"/>
        </w:rPr>
        <w:t>resolution</w:t>
      </w:r>
      <w:r>
        <w:rPr>
          <w:sz w:val="24"/>
          <w:szCs w:val="24"/>
        </w:rPr>
        <w:t xml:space="preserve"> o nakładaniu dodatkowych wymogów kapitałowych z uwagi na fakt, iż może to wpływać na wymogi w zakresie MREL (</w:t>
      </w:r>
      <w:r w:rsidRPr="007B7622">
        <w:rPr>
          <w:b/>
          <w:sz w:val="24"/>
          <w:szCs w:val="24"/>
        </w:rPr>
        <w:t xml:space="preserve">minimum </w:t>
      </w:r>
      <w:proofErr w:type="spellStart"/>
      <w:r w:rsidRPr="007B7622">
        <w:rPr>
          <w:b/>
          <w:sz w:val="24"/>
          <w:szCs w:val="24"/>
        </w:rPr>
        <w:t>requirement</w:t>
      </w:r>
      <w:proofErr w:type="spellEnd"/>
      <w:r w:rsidRPr="007B7622">
        <w:rPr>
          <w:b/>
          <w:sz w:val="24"/>
          <w:szCs w:val="24"/>
        </w:rPr>
        <w:t xml:space="preserve"> for </w:t>
      </w:r>
      <w:proofErr w:type="spellStart"/>
      <w:r w:rsidRPr="007B7622">
        <w:rPr>
          <w:b/>
          <w:sz w:val="24"/>
          <w:szCs w:val="24"/>
        </w:rPr>
        <w:t>own</w:t>
      </w:r>
      <w:proofErr w:type="spellEnd"/>
      <w:r w:rsidRPr="007B7622">
        <w:rPr>
          <w:b/>
          <w:sz w:val="24"/>
          <w:szCs w:val="24"/>
        </w:rPr>
        <w:t xml:space="preserve"> </w:t>
      </w:r>
      <w:proofErr w:type="spellStart"/>
      <w:r w:rsidRPr="007B7622">
        <w:rPr>
          <w:b/>
          <w:sz w:val="24"/>
          <w:szCs w:val="24"/>
        </w:rPr>
        <w:t>funds</w:t>
      </w:r>
      <w:proofErr w:type="spellEnd"/>
      <w:r w:rsidRPr="007B7622">
        <w:rPr>
          <w:b/>
          <w:sz w:val="24"/>
          <w:szCs w:val="24"/>
        </w:rPr>
        <w:t xml:space="preserve"> and </w:t>
      </w:r>
      <w:proofErr w:type="spellStart"/>
      <w:r w:rsidRPr="007B7622">
        <w:rPr>
          <w:b/>
          <w:sz w:val="24"/>
          <w:szCs w:val="24"/>
        </w:rPr>
        <w:t>eligible</w:t>
      </w:r>
      <w:proofErr w:type="spellEnd"/>
      <w:r w:rsidRPr="007B7622">
        <w:rPr>
          <w:b/>
          <w:sz w:val="24"/>
          <w:szCs w:val="24"/>
        </w:rPr>
        <w:t xml:space="preserve"> </w:t>
      </w:r>
      <w:proofErr w:type="spellStart"/>
      <w:r w:rsidRPr="007B7622">
        <w:rPr>
          <w:b/>
          <w:sz w:val="24"/>
          <w:szCs w:val="24"/>
        </w:rPr>
        <w:t>liabilit</w:t>
      </w:r>
      <w:r>
        <w:rPr>
          <w:b/>
          <w:sz w:val="24"/>
          <w:szCs w:val="24"/>
        </w:rPr>
        <w:t>ies</w:t>
      </w:r>
      <w:proofErr w:type="spellEnd"/>
      <w:r w:rsidRPr="007B7622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377820" w:rsidRDefault="009470EA" w:rsidP="00377820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sz w:val="24"/>
          <w:szCs w:val="24"/>
        </w:rPr>
        <w:t>Jednocześnie p</w:t>
      </w:r>
      <w:r w:rsidR="007B7622">
        <w:rPr>
          <w:sz w:val="24"/>
          <w:szCs w:val="24"/>
        </w:rPr>
        <w:t xml:space="preserve">ewne obawy w </w:t>
      </w:r>
      <w:r w:rsidR="00AC0724">
        <w:rPr>
          <w:sz w:val="24"/>
          <w:szCs w:val="24"/>
        </w:rPr>
        <w:t>odniesieniu</w:t>
      </w:r>
      <w:r w:rsidR="00F319E1">
        <w:rPr>
          <w:sz w:val="24"/>
          <w:szCs w:val="24"/>
        </w:rPr>
        <w:t xml:space="preserve"> </w:t>
      </w:r>
      <w:r w:rsidR="00171E65">
        <w:rPr>
          <w:sz w:val="24"/>
          <w:szCs w:val="24"/>
        </w:rPr>
        <w:t xml:space="preserve">do </w:t>
      </w:r>
      <w:r w:rsidR="00F319E1">
        <w:rPr>
          <w:sz w:val="24"/>
          <w:szCs w:val="24"/>
        </w:rPr>
        <w:t>możliwej</w:t>
      </w:r>
      <w:r w:rsidR="007B7622">
        <w:rPr>
          <w:sz w:val="24"/>
          <w:szCs w:val="24"/>
        </w:rPr>
        <w:t xml:space="preserve"> </w:t>
      </w:r>
      <w:r w:rsidR="007B7622">
        <w:rPr>
          <w:rFonts w:asciiTheme="minorHAnsi" w:hAnsiTheme="minorHAnsi"/>
          <w:sz w:val="24"/>
          <w:szCs w:val="24"/>
        </w:rPr>
        <w:t>sprzeczności pomiędzy przepisami dyrektywy a</w:t>
      </w:r>
      <w:r>
        <w:rPr>
          <w:rFonts w:asciiTheme="minorHAnsi" w:hAnsiTheme="minorHAnsi"/>
          <w:sz w:val="24"/>
          <w:szCs w:val="24"/>
        </w:rPr>
        <w:t xml:space="preserve"> </w:t>
      </w:r>
      <w:r w:rsidR="007B7622">
        <w:rPr>
          <w:rFonts w:asciiTheme="minorHAnsi" w:hAnsiTheme="minorHAnsi"/>
          <w:sz w:val="24"/>
          <w:szCs w:val="24"/>
        </w:rPr>
        <w:t xml:space="preserve">postanowieniami ratyfikowanych umów międzynarodowych wynikają </w:t>
      </w:r>
      <w:r w:rsidR="00F319E1">
        <w:rPr>
          <w:rFonts w:asciiTheme="minorHAnsi" w:hAnsiTheme="minorHAnsi"/>
          <w:sz w:val="24"/>
          <w:szCs w:val="24"/>
        </w:rPr>
        <w:t>z</w:t>
      </w:r>
      <w:r w:rsidR="00A25854">
        <w:rPr>
          <w:rFonts w:asciiTheme="minorHAnsi" w:hAnsiTheme="minorHAnsi"/>
          <w:sz w:val="24"/>
          <w:szCs w:val="24"/>
        </w:rPr>
        <w:t> </w:t>
      </w:r>
      <w:r w:rsidR="00F319E1">
        <w:rPr>
          <w:rFonts w:asciiTheme="minorHAnsi" w:hAnsiTheme="minorHAnsi"/>
          <w:sz w:val="24"/>
          <w:szCs w:val="24"/>
        </w:rPr>
        <w:t xml:space="preserve">możliwości dokonania przeglądu listy podmiotów wyłączonych spod obowiązywania niniejszej dyrektywy przez Komisję Europejską (art. 2 ust. 7). Ewentualna rewizja wspomnianej listy przez KE, skutkująca usunięciem z niej Banku Gospodarstwa Krajowego, bądź spółdzielczych kas oszczędnościowo-kredytowych, może stanowić przyczynę niezgodności przepisów dyrektywy CRD z postanowieniami </w:t>
      </w:r>
      <w:r w:rsidR="00F319E1" w:rsidRPr="00F319E1">
        <w:rPr>
          <w:rFonts w:asciiTheme="minorHAnsi" w:hAnsiTheme="minorHAnsi"/>
          <w:sz w:val="24"/>
          <w:szCs w:val="24"/>
        </w:rPr>
        <w:t>Traktatu Akcesyjnego podpisanego w Atenach w dniu 16 kwietnia</w:t>
      </w:r>
      <w:r w:rsidR="00F319E1">
        <w:rPr>
          <w:rFonts w:asciiTheme="minorHAnsi" w:hAnsiTheme="minorHAnsi"/>
          <w:sz w:val="24"/>
          <w:szCs w:val="24"/>
        </w:rPr>
        <w:t xml:space="preserve"> 2003 r</w:t>
      </w:r>
      <w:r w:rsidR="00F319E1" w:rsidRPr="00F319E1">
        <w:rPr>
          <w:rFonts w:asciiTheme="minorHAnsi" w:hAnsiTheme="minorHAnsi"/>
          <w:sz w:val="24"/>
          <w:szCs w:val="24"/>
        </w:rPr>
        <w:t>., w szczególności wobec postanowień art. 20 Traktatu</w:t>
      </w:r>
      <w:r w:rsidR="00F319E1">
        <w:rPr>
          <w:rFonts w:asciiTheme="minorHAnsi" w:hAnsiTheme="minorHAnsi"/>
          <w:sz w:val="24"/>
          <w:szCs w:val="24"/>
        </w:rPr>
        <w:t>.</w:t>
      </w:r>
      <w:r w:rsidR="00F319E1" w:rsidRPr="00F319E1">
        <w:t xml:space="preserve"> </w:t>
      </w:r>
      <w:r w:rsidR="00F319E1">
        <w:rPr>
          <w:rFonts w:asciiTheme="minorHAnsi" w:hAnsiTheme="minorHAnsi"/>
          <w:sz w:val="24"/>
          <w:szCs w:val="24"/>
        </w:rPr>
        <w:t>Z załącznika nr II</w:t>
      </w:r>
      <w:r w:rsidR="00F319E1" w:rsidRPr="00F319E1">
        <w:rPr>
          <w:rFonts w:asciiTheme="minorHAnsi" w:hAnsiTheme="minorHAnsi"/>
          <w:sz w:val="24"/>
          <w:szCs w:val="24"/>
        </w:rPr>
        <w:t xml:space="preserve"> do Traktatu Akcesyjnego (Tytuł 3 Swobodny przepływ usług, pkt 5) wynika</w:t>
      </w:r>
      <w:r w:rsidR="00F319E1">
        <w:rPr>
          <w:rFonts w:asciiTheme="minorHAnsi" w:hAnsiTheme="minorHAnsi"/>
          <w:sz w:val="24"/>
          <w:szCs w:val="24"/>
        </w:rPr>
        <w:t xml:space="preserve"> bowiem</w:t>
      </w:r>
      <w:r w:rsidR="00F319E1" w:rsidRPr="00F319E1">
        <w:rPr>
          <w:rFonts w:asciiTheme="minorHAnsi" w:hAnsiTheme="minorHAnsi"/>
          <w:sz w:val="24"/>
          <w:szCs w:val="24"/>
        </w:rPr>
        <w:t>, że obowiązująca wówczas dyrektywa 2000/12/WE uległa zmianie w</w:t>
      </w:r>
      <w:r w:rsidR="00A25854">
        <w:rPr>
          <w:rFonts w:asciiTheme="minorHAnsi" w:hAnsiTheme="minorHAnsi"/>
          <w:sz w:val="24"/>
          <w:szCs w:val="24"/>
        </w:rPr>
        <w:t> </w:t>
      </w:r>
      <w:r w:rsidR="00F319E1" w:rsidRPr="00F319E1">
        <w:rPr>
          <w:rFonts w:asciiTheme="minorHAnsi" w:hAnsiTheme="minorHAnsi"/>
          <w:sz w:val="24"/>
          <w:szCs w:val="24"/>
        </w:rPr>
        <w:t>art. 2 ust. 3 poprzez dodanie zapisu o braku zastosowania przepisów tej dyrektywy w Polsce</w:t>
      </w:r>
      <w:r w:rsidR="00F319E1">
        <w:rPr>
          <w:rFonts w:asciiTheme="minorHAnsi" w:hAnsiTheme="minorHAnsi"/>
          <w:sz w:val="24"/>
          <w:szCs w:val="24"/>
        </w:rPr>
        <w:t xml:space="preserve"> wobec wspomnianych podmiotów. </w:t>
      </w:r>
      <w:r w:rsidR="00F319E1" w:rsidRPr="00F319E1">
        <w:rPr>
          <w:rFonts w:asciiTheme="minorHAnsi" w:hAnsiTheme="minorHAnsi"/>
          <w:sz w:val="24"/>
          <w:szCs w:val="24"/>
        </w:rPr>
        <w:t>Mając na względzie</w:t>
      </w:r>
      <w:r w:rsidR="00AC0724">
        <w:rPr>
          <w:rFonts w:asciiTheme="minorHAnsi" w:hAnsiTheme="minorHAnsi"/>
          <w:sz w:val="24"/>
          <w:szCs w:val="24"/>
        </w:rPr>
        <w:t xml:space="preserve"> przytoczone</w:t>
      </w:r>
      <w:r w:rsidR="00F319E1" w:rsidRPr="00F319E1">
        <w:rPr>
          <w:rFonts w:asciiTheme="minorHAnsi" w:hAnsiTheme="minorHAnsi"/>
          <w:sz w:val="24"/>
          <w:szCs w:val="24"/>
        </w:rPr>
        <w:t xml:space="preserve"> postanowienia ratyfikowanych umów międzynarodowych, przyznanie Komisji Europejskiej uprawnień do subiektywnej oceny katalogu podmiotów wymienionych bezpośrednio w przepisach dyrektywy mogłoby stawiać ten organ pona</w:t>
      </w:r>
      <w:r w:rsidR="00C56FA2">
        <w:rPr>
          <w:rFonts w:asciiTheme="minorHAnsi" w:hAnsiTheme="minorHAnsi"/>
          <w:sz w:val="24"/>
          <w:szCs w:val="24"/>
        </w:rPr>
        <w:t xml:space="preserve">d postanowieniami takich umów. </w:t>
      </w:r>
      <w:r w:rsidR="00377820" w:rsidRPr="00377820">
        <w:rPr>
          <w:rFonts w:asciiTheme="minorHAnsi" w:hAnsiTheme="minorHAnsi"/>
          <w:sz w:val="24"/>
          <w:szCs w:val="24"/>
        </w:rPr>
        <w:t>Reasumując, wydaje się, że właściwym rozwiązaniem byłoby zachowanie podmiotowego katalogu instytucji imiennie wyłą</w:t>
      </w:r>
      <w:r w:rsidR="00171E65">
        <w:rPr>
          <w:rFonts w:asciiTheme="minorHAnsi" w:hAnsiTheme="minorHAnsi"/>
          <w:sz w:val="24"/>
          <w:szCs w:val="24"/>
        </w:rPr>
        <w:t>czonych ze stosowania dyrektywy, bądź doprecyzowanie warunków przeprowadzania takiego przeglądu.</w:t>
      </w:r>
    </w:p>
    <w:p w:rsidR="00E3682F" w:rsidRDefault="00F01B15" w:rsidP="00377820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Wątpliwości </w:t>
      </w:r>
      <w:r w:rsidRPr="00CA25ED">
        <w:rPr>
          <w:rFonts w:asciiTheme="minorHAnsi" w:hAnsiTheme="minorHAnsi"/>
          <w:sz w:val="24"/>
          <w:szCs w:val="24"/>
        </w:rPr>
        <w:t>Rząd</w:t>
      </w:r>
      <w:r>
        <w:rPr>
          <w:rFonts w:asciiTheme="minorHAnsi" w:hAnsiTheme="minorHAnsi"/>
          <w:sz w:val="24"/>
          <w:szCs w:val="24"/>
        </w:rPr>
        <w:t>u</w:t>
      </w:r>
      <w:r w:rsidRPr="00CA25ED">
        <w:rPr>
          <w:rFonts w:asciiTheme="minorHAnsi" w:hAnsiTheme="minorHAnsi"/>
          <w:sz w:val="24"/>
          <w:szCs w:val="24"/>
        </w:rPr>
        <w:t xml:space="preserve"> Rzeczypospolitej Polskiej </w:t>
      </w:r>
      <w:r>
        <w:rPr>
          <w:rFonts w:asciiTheme="minorHAnsi" w:hAnsiTheme="minorHAnsi"/>
          <w:sz w:val="24"/>
          <w:szCs w:val="24"/>
        </w:rPr>
        <w:t xml:space="preserve">budzi także brzmienie przepisów odnoszących się do udzielania zezwoleń dla finansowych spółek holdingowych oraz finansowych spółek holdingowych o działalności mieszanej. Z proponowanych przepisów nie wynika bowiem, czy przedmiotem zezwolenia jest utworzenie holdingu, czy posiadanie przezeń akcji instytucji </w:t>
      </w:r>
      <w:r>
        <w:rPr>
          <w:rFonts w:asciiTheme="minorHAnsi" w:hAnsiTheme="minorHAnsi"/>
          <w:sz w:val="24"/>
          <w:szCs w:val="24"/>
        </w:rPr>
        <w:lastRenderedPageBreak/>
        <w:t>kredytowej. Nieścisłość ta może rodzić problemy natury praktycznej w zakresie udzielania przedmiotowych zwolnień. Konieczne wydaje się również wprowadzenie przepisów przejściowych regulujących status już istniejących holdingów, bądź holdingów posiadających akcje instytucji kredytowych.</w:t>
      </w:r>
    </w:p>
    <w:p w:rsidR="00F01B15" w:rsidRPr="0088642E" w:rsidRDefault="00F01B15" w:rsidP="00377820">
      <w:pPr>
        <w:spacing w:after="120"/>
        <w:jc w:val="both"/>
        <w:rPr>
          <w:rFonts w:asciiTheme="minorHAnsi" w:hAnsiTheme="minorHAnsi"/>
          <w:sz w:val="24"/>
          <w:szCs w:val="24"/>
        </w:rPr>
      </w:pPr>
    </w:p>
    <w:p w:rsidR="009B30DF" w:rsidRPr="007A119E" w:rsidRDefault="009B30DF" w:rsidP="009B30DF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b/>
          <w:sz w:val="24"/>
        </w:rPr>
      </w:pPr>
      <w:r w:rsidRPr="007A119E">
        <w:rPr>
          <w:rFonts w:asciiTheme="minorHAnsi" w:hAnsiTheme="minorHAnsi"/>
          <w:b/>
          <w:sz w:val="24"/>
        </w:rPr>
        <w:t xml:space="preserve">Ocena skutków prawnych </w:t>
      </w:r>
    </w:p>
    <w:p w:rsidR="009B30DF" w:rsidRPr="007A119E" w:rsidRDefault="009B30DF" w:rsidP="009B30DF">
      <w:pPr>
        <w:pStyle w:val="tytakt"/>
        <w:spacing w:line="276" w:lineRule="auto"/>
        <w:jc w:val="both"/>
        <w:rPr>
          <w:rFonts w:asciiTheme="minorHAnsi" w:hAnsiTheme="minorHAnsi"/>
          <w:b w:val="0"/>
          <w:color w:val="auto"/>
          <w:sz w:val="24"/>
          <w:szCs w:val="24"/>
        </w:rPr>
      </w:pPr>
      <w:r w:rsidRPr="007A119E">
        <w:rPr>
          <w:rFonts w:asciiTheme="minorHAnsi" w:hAnsiTheme="minorHAnsi"/>
          <w:b w:val="0"/>
          <w:color w:val="auto"/>
          <w:sz w:val="24"/>
          <w:szCs w:val="24"/>
        </w:rPr>
        <w:t xml:space="preserve">Implementacja dyrektywy będzie wymagać zmian w ustawie </w:t>
      </w:r>
      <w:r w:rsidR="00A25854">
        <w:rPr>
          <w:rFonts w:asciiTheme="minorHAnsi" w:hAnsiTheme="minorHAnsi"/>
          <w:b w:val="0"/>
          <w:color w:val="auto"/>
          <w:sz w:val="24"/>
          <w:szCs w:val="24"/>
        </w:rPr>
        <w:t xml:space="preserve">– </w:t>
      </w:r>
      <w:r w:rsidRPr="007A119E">
        <w:rPr>
          <w:rFonts w:asciiTheme="minorHAnsi" w:hAnsiTheme="minorHAnsi"/>
          <w:b w:val="0"/>
          <w:color w:val="auto"/>
          <w:sz w:val="24"/>
          <w:szCs w:val="24"/>
        </w:rPr>
        <w:t xml:space="preserve">Prawo bankowe, ustawie o obrocie instrumentami finansowymi, ustawie o nadzorze nad rynkiem finansowym, ustawie o nadzorze uzupełniającym nad instytucjami kredytowymi, zakładami ubezpieczeń, zakładami reasekuracji i firmami inwestycyjnymi wchodzącymi w skład konglomeratu finansowego, ustawie o funkcjonowaniu banków spółdzielczych, ich zrzeszaniu się i bankach zrzeszających oraz w aktach wykonawczych wydanych na podstawie tych ustaw. </w:t>
      </w:r>
    </w:p>
    <w:p w:rsidR="009B30DF" w:rsidRPr="007A119E" w:rsidRDefault="009B30DF" w:rsidP="009B30DF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b/>
          <w:sz w:val="24"/>
        </w:rPr>
      </w:pPr>
      <w:r w:rsidRPr="007A119E">
        <w:rPr>
          <w:rFonts w:asciiTheme="minorHAnsi" w:hAnsiTheme="minorHAnsi"/>
          <w:b/>
          <w:sz w:val="24"/>
        </w:rPr>
        <w:t xml:space="preserve">Ocena skutków społecznych </w:t>
      </w:r>
    </w:p>
    <w:p w:rsidR="009B30DF" w:rsidRPr="007A119E" w:rsidRDefault="009B30DF" w:rsidP="009B30DF">
      <w:pPr>
        <w:pStyle w:val="Tekstpodstawowy"/>
        <w:jc w:val="both"/>
        <w:rPr>
          <w:rFonts w:asciiTheme="minorHAnsi" w:hAnsiTheme="minorHAnsi"/>
          <w:sz w:val="24"/>
        </w:rPr>
      </w:pPr>
      <w:r w:rsidRPr="007A119E">
        <w:rPr>
          <w:rFonts w:asciiTheme="minorHAnsi" w:hAnsiTheme="minorHAnsi"/>
          <w:sz w:val="24"/>
        </w:rPr>
        <w:t>Implementacja dyrektywy może przyczynić się do wzrostu zaufania społeczeństwa do systemu bankowego oraz firm inwestycyjnych.</w:t>
      </w:r>
    </w:p>
    <w:p w:rsidR="009B30DF" w:rsidRPr="007A119E" w:rsidRDefault="009B30DF" w:rsidP="009B30DF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b/>
          <w:sz w:val="24"/>
        </w:rPr>
      </w:pPr>
      <w:r w:rsidRPr="007A119E">
        <w:rPr>
          <w:rFonts w:asciiTheme="minorHAnsi" w:hAnsiTheme="minorHAnsi"/>
          <w:b/>
          <w:sz w:val="24"/>
        </w:rPr>
        <w:t xml:space="preserve">Ocena skutków gospodarczych </w:t>
      </w:r>
    </w:p>
    <w:p w:rsidR="009B30DF" w:rsidRPr="007A119E" w:rsidRDefault="009B30DF" w:rsidP="009B30DF">
      <w:pPr>
        <w:pStyle w:val="Tekstpodstawowy"/>
        <w:jc w:val="both"/>
        <w:rPr>
          <w:rFonts w:asciiTheme="minorHAnsi" w:hAnsiTheme="minorHAnsi"/>
          <w:sz w:val="24"/>
        </w:rPr>
      </w:pPr>
      <w:r w:rsidRPr="007A119E">
        <w:rPr>
          <w:rFonts w:asciiTheme="minorHAnsi" w:hAnsiTheme="minorHAnsi"/>
          <w:sz w:val="24"/>
        </w:rPr>
        <w:t xml:space="preserve">Implementacja dyrektywy może przyczynić się do powstania bardziej stabilnego systemu finansowego, który będzie odporny na szoki finansowe. Z drugiej strony wprowadzenie bardziej restrykcyjnych norm ostrożnościowych może przełożyć się na pewne spowolnienie akcji kredytowej banków oraz zmniejszenie ich dochodowości. Zmiana sposobu nadzoru nad </w:t>
      </w:r>
      <w:r>
        <w:rPr>
          <w:rFonts w:asciiTheme="minorHAnsi" w:hAnsiTheme="minorHAnsi"/>
          <w:sz w:val="24"/>
        </w:rPr>
        <w:t>adekwatnością kapitałową</w:t>
      </w:r>
      <w:r w:rsidRPr="007A119E">
        <w:rPr>
          <w:rFonts w:asciiTheme="minorHAnsi" w:hAnsiTheme="minorHAnsi"/>
          <w:sz w:val="24"/>
        </w:rPr>
        <w:t xml:space="preserve"> instytucji kredytowych może utrudnić prewencyjne przeciwdziałanie niekorzystnym zjawiskom w zakresie działalności tego typu instytucji tj. przed zaistnieniem konieczności wsparcia finansowego ze źródeł zewnętrznych.</w:t>
      </w:r>
    </w:p>
    <w:p w:rsidR="009B30DF" w:rsidRPr="007A119E" w:rsidRDefault="009B30DF" w:rsidP="009B30DF">
      <w:pPr>
        <w:pStyle w:val="Tekstpodstawowy"/>
        <w:numPr>
          <w:ilvl w:val="0"/>
          <w:numId w:val="2"/>
        </w:numPr>
        <w:jc w:val="both"/>
        <w:rPr>
          <w:rFonts w:asciiTheme="minorHAnsi" w:hAnsiTheme="minorHAnsi"/>
          <w:b/>
          <w:sz w:val="24"/>
        </w:rPr>
      </w:pPr>
      <w:r w:rsidRPr="007A119E">
        <w:rPr>
          <w:rFonts w:asciiTheme="minorHAnsi" w:hAnsiTheme="minorHAnsi"/>
          <w:b/>
          <w:sz w:val="24"/>
        </w:rPr>
        <w:t xml:space="preserve">Ocena skutków finansowych </w:t>
      </w:r>
    </w:p>
    <w:p w:rsidR="009B30DF" w:rsidRPr="007A119E" w:rsidRDefault="009B30DF" w:rsidP="009B30DF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7A119E">
        <w:rPr>
          <w:rFonts w:asciiTheme="minorHAnsi" w:hAnsiTheme="minorHAnsi"/>
          <w:sz w:val="24"/>
        </w:rPr>
        <w:t xml:space="preserve">Implementacja dyrektywy </w:t>
      </w:r>
      <w:r w:rsidRPr="007A119E">
        <w:rPr>
          <w:rFonts w:asciiTheme="minorHAnsi" w:hAnsiTheme="minorHAnsi"/>
          <w:sz w:val="24"/>
          <w:szCs w:val="24"/>
        </w:rPr>
        <w:t xml:space="preserve">nie spowoduje bezpośrednich skutków finansowych. Zaostrzenie norm ostrożnościowych i wynikające z niego ewentualne spowolnienie akcji kredytowej banków może skutkować zmniejszeniem lub przesunięciem w czasie wpływów podatkowych od banków i firm inwestycyjnych. </w:t>
      </w:r>
    </w:p>
    <w:p w:rsidR="009B30DF" w:rsidRPr="00C30CC6" w:rsidRDefault="009B30DF" w:rsidP="004961B5">
      <w:pPr>
        <w:spacing w:after="0" w:line="240" w:lineRule="auto"/>
      </w:pPr>
    </w:p>
    <w:p w:rsidR="0038553B" w:rsidRPr="00C30CC6" w:rsidRDefault="0038553B" w:rsidP="0038553B">
      <w:pPr>
        <w:spacing w:after="0" w:line="240" w:lineRule="auto"/>
      </w:pPr>
    </w:p>
    <w:p w:rsidR="0038553B" w:rsidRPr="00C30CC6" w:rsidRDefault="0038553B" w:rsidP="001E78FA">
      <w:pPr>
        <w:pStyle w:val="Nagwek5"/>
        <w:spacing w:after="240"/>
        <w:rPr>
          <w:rFonts w:ascii="Calibri" w:hAnsi="Calibri"/>
        </w:rPr>
      </w:pPr>
      <w:r w:rsidRPr="00C30CC6">
        <w:rPr>
          <w:rFonts w:ascii="Calibri" w:hAnsi="Calibri"/>
        </w:rPr>
        <w:t>Informacja w sprawie zgodności projektu aktu z zasadą pomocniczości</w:t>
      </w:r>
    </w:p>
    <w:p w:rsidR="008827C5" w:rsidRDefault="008827C5" w:rsidP="008827C5">
      <w:pPr>
        <w:spacing w:after="0"/>
        <w:jc w:val="both"/>
        <w:rPr>
          <w:sz w:val="24"/>
          <w:szCs w:val="24"/>
        </w:rPr>
      </w:pPr>
      <w:r w:rsidRPr="007A36D0">
        <w:rPr>
          <w:sz w:val="24"/>
          <w:szCs w:val="24"/>
        </w:rPr>
        <w:t xml:space="preserve">W opinii Ministerstwa Finansów wniosek dotyczący </w:t>
      </w:r>
      <w:r>
        <w:rPr>
          <w:sz w:val="24"/>
          <w:szCs w:val="24"/>
        </w:rPr>
        <w:t>dyrektywy</w:t>
      </w:r>
      <w:r w:rsidRPr="007A36D0">
        <w:rPr>
          <w:sz w:val="24"/>
          <w:szCs w:val="24"/>
        </w:rPr>
        <w:t xml:space="preserve"> Parlamentu Europejskiego i</w:t>
      </w:r>
      <w:r>
        <w:rPr>
          <w:sz w:val="24"/>
          <w:szCs w:val="24"/>
        </w:rPr>
        <w:t> </w:t>
      </w:r>
      <w:r w:rsidRPr="007A36D0">
        <w:rPr>
          <w:sz w:val="24"/>
          <w:szCs w:val="24"/>
        </w:rPr>
        <w:t xml:space="preserve">Rady </w:t>
      </w:r>
      <w:r w:rsidR="00F25526">
        <w:rPr>
          <w:rFonts w:asciiTheme="minorHAnsi" w:hAnsiTheme="minorHAnsi"/>
          <w:sz w:val="24"/>
          <w:szCs w:val="24"/>
        </w:rPr>
        <w:t>zmieniający</w:t>
      </w:r>
      <w:r w:rsidR="00F25526" w:rsidRPr="00F25526">
        <w:rPr>
          <w:rFonts w:asciiTheme="minorHAnsi" w:hAnsiTheme="minorHAnsi"/>
          <w:sz w:val="24"/>
          <w:szCs w:val="24"/>
        </w:rPr>
        <w:t xml:space="preserve"> dyrektywę 2013/36/UE w odniesieniu do podmiotów wyłączonych, finansowych spółek holdingowych, finansowych spółek holdingowych o działalności mieszanej, wynagrodzeń, środków i uprawnień nadzorczych oraz środków ochrony kapitału</w:t>
      </w:r>
      <w:r>
        <w:rPr>
          <w:rFonts w:asciiTheme="minorHAnsi" w:hAnsiTheme="minorHAnsi"/>
          <w:sz w:val="24"/>
          <w:szCs w:val="24"/>
        </w:rPr>
        <w:t xml:space="preserve"> </w:t>
      </w:r>
      <w:r w:rsidRPr="007A36D0">
        <w:rPr>
          <w:sz w:val="24"/>
          <w:szCs w:val="24"/>
        </w:rPr>
        <w:t>jest zgodny z</w:t>
      </w:r>
      <w:r>
        <w:rPr>
          <w:sz w:val="24"/>
          <w:szCs w:val="24"/>
        </w:rPr>
        <w:t> </w:t>
      </w:r>
      <w:r w:rsidRPr="007A36D0">
        <w:rPr>
          <w:sz w:val="24"/>
          <w:szCs w:val="24"/>
        </w:rPr>
        <w:t>zasadą pomocniczości.</w:t>
      </w:r>
    </w:p>
    <w:p w:rsidR="0038553B" w:rsidRPr="00C30CC6" w:rsidRDefault="0038553B" w:rsidP="004961B5">
      <w:pPr>
        <w:spacing w:after="0" w:line="240" w:lineRule="auto"/>
      </w:pPr>
    </w:p>
    <w:p w:rsidR="004961B5" w:rsidRPr="00C30CC6" w:rsidRDefault="004961B5" w:rsidP="00E3682F">
      <w:pPr>
        <w:pStyle w:val="Nagwek5"/>
        <w:spacing w:after="240"/>
        <w:rPr>
          <w:rFonts w:ascii="Calibri" w:hAnsi="Calibri"/>
        </w:rPr>
      </w:pPr>
      <w:r w:rsidRPr="00C30CC6">
        <w:rPr>
          <w:rFonts w:ascii="Calibri" w:hAnsi="Calibri"/>
        </w:rPr>
        <w:lastRenderedPageBreak/>
        <w:t xml:space="preserve">Przedstawiciel Rządu upoważniony do prezentowania stanowiska </w:t>
      </w:r>
    </w:p>
    <w:p w:rsidR="00E3682F" w:rsidRPr="007A36D0" w:rsidRDefault="00E3682F" w:rsidP="00E3682F">
      <w:pPr>
        <w:pStyle w:val="Tekstpodstawowy3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Piotr Nowak</w:t>
      </w:r>
    </w:p>
    <w:p w:rsidR="00E3682F" w:rsidRPr="007A36D0" w:rsidRDefault="00E3682F" w:rsidP="00E3682F">
      <w:pPr>
        <w:pStyle w:val="Tekstpodstawowy3"/>
        <w:spacing w:after="0"/>
        <w:jc w:val="both"/>
        <w:rPr>
          <w:rFonts w:asciiTheme="minorHAnsi" w:hAnsiTheme="minorHAnsi"/>
          <w:sz w:val="24"/>
          <w:szCs w:val="24"/>
        </w:rPr>
      </w:pPr>
      <w:r w:rsidRPr="007A36D0">
        <w:rPr>
          <w:rFonts w:asciiTheme="minorHAnsi" w:hAnsiTheme="minorHAnsi"/>
          <w:sz w:val="24"/>
          <w:szCs w:val="24"/>
        </w:rPr>
        <w:t>Podsekretarz Stanu,</w:t>
      </w:r>
    </w:p>
    <w:p w:rsidR="006B21AC" w:rsidRPr="00377820" w:rsidRDefault="003F6E60" w:rsidP="003F6E60">
      <w:pPr>
        <w:pStyle w:val="Tekstpodstawowy3"/>
        <w:spacing w:after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Ministerstwo Finansów</w:t>
      </w:r>
    </w:p>
    <w:sectPr w:rsidR="006B21AC" w:rsidRPr="00377820" w:rsidSect="007A4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0BC" w:rsidRDefault="005130BC">
      <w:pPr>
        <w:spacing w:after="0" w:line="240" w:lineRule="auto"/>
      </w:pPr>
      <w:r>
        <w:separator/>
      </w:r>
    </w:p>
  </w:endnote>
  <w:endnote w:type="continuationSeparator" w:id="0">
    <w:p w:rsidR="005130BC" w:rsidRDefault="00513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CC6" w:rsidRDefault="00C30CC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0BC" w:rsidRDefault="005130BC">
      <w:pPr>
        <w:spacing w:after="0" w:line="240" w:lineRule="auto"/>
      </w:pPr>
      <w:r>
        <w:separator/>
      </w:r>
    </w:p>
  </w:footnote>
  <w:footnote w:type="continuationSeparator" w:id="0">
    <w:p w:rsidR="005130BC" w:rsidRDefault="00513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CC6" w:rsidRDefault="00C30CC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274B"/>
    <w:multiLevelType w:val="hybridMultilevel"/>
    <w:tmpl w:val="73502942"/>
    <w:lvl w:ilvl="0" w:tplc="25B6FBCC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979F1"/>
    <w:multiLevelType w:val="hybridMultilevel"/>
    <w:tmpl w:val="E116AC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97E94"/>
    <w:multiLevelType w:val="hybridMultilevel"/>
    <w:tmpl w:val="B4604D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72B76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78F0542"/>
    <w:multiLevelType w:val="hybridMultilevel"/>
    <w:tmpl w:val="B4CEB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42EEA"/>
    <w:multiLevelType w:val="hybridMultilevel"/>
    <w:tmpl w:val="1B645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E2F24"/>
    <w:multiLevelType w:val="singleLevel"/>
    <w:tmpl w:val="4CFAA634"/>
    <w:lvl w:ilvl="0">
      <w:start w:val="1"/>
      <w:numFmt w:val="upperRoman"/>
      <w:pStyle w:val="Nagwek5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4D9395B"/>
    <w:multiLevelType w:val="hybridMultilevel"/>
    <w:tmpl w:val="3B881996"/>
    <w:lvl w:ilvl="0" w:tplc="003698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6253D"/>
    <w:multiLevelType w:val="hybridMultilevel"/>
    <w:tmpl w:val="79147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10">
    <w:nsid w:val="575236FE"/>
    <w:multiLevelType w:val="hybridMultilevel"/>
    <w:tmpl w:val="DF624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061B4C"/>
    <w:multiLevelType w:val="hybridMultilevel"/>
    <w:tmpl w:val="D6704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51478"/>
    <w:multiLevelType w:val="hybridMultilevel"/>
    <w:tmpl w:val="E0583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D11018"/>
    <w:multiLevelType w:val="hybridMultilevel"/>
    <w:tmpl w:val="26B411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C7F68"/>
    <w:multiLevelType w:val="hybridMultilevel"/>
    <w:tmpl w:val="B4604D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0"/>
  </w:num>
  <w:num w:numId="5">
    <w:abstractNumId w:val="12"/>
  </w:num>
  <w:num w:numId="6">
    <w:abstractNumId w:val="10"/>
  </w:num>
  <w:num w:numId="7">
    <w:abstractNumId w:val="7"/>
  </w:num>
  <w:num w:numId="8">
    <w:abstractNumId w:val="4"/>
  </w:num>
  <w:num w:numId="9">
    <w:abstractNumId w:val="13"/>
  </w:num>
  <w:num w:numId="10">
    <w:abstractNumId w:val="11"/>
  </w:num>
  <w:num w:numId="11">
    <w:abstractNumId w:val="9"/>
    <w:lvlOverride w:ilvl="0">
      <w:startOverride w:val="1"/>
    </w:lvlOverride>
  </w:num>
  <w:num w:numId="12">
    <w:abstractNumId w:val="9"/>
  </w:num>
  <w:num w:numId="13">
    <w:abstractNumId w:val="1"/>
  </w:num>
  <w:num w:numId="14">
    <w:abstractNumId w:val="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D2"/>
    <w:rsid w:val="0000005D"/>
    <w:rsid w:val="00025EE6"/>
    <w:rsid w:val="00055BC6"/>
    <w:rsid w:val="00062932"/>
    <w:rsid w:val="00096BC2"/>
    <w:rsid w:val="00097553"/>
    <w:rsid w:val="000A3C28"/>
    <w:rsid w:val="000C154F"/>
    <w:rsid w:val="000C628F"/>
    <w:rsid w:val="000D0CCC"/>
    <w:rsid w:val="000D2D40"/>
    <w:rsid w:val="000E2F21"/>
    <w:rsid w:val="000F50AB"/>
    <w:rsid w:val="001033FB"/>
    <w:rsid w:val="001042CF"/>
    <w:rsid w:val="00113581"/>
    <w:rsid w:val="00122EE3"/>
    <w:rsid w:val="00145478"/>
    <w:rsid w:val="00145547"/>
    <w:rsid w:val="001546BA"/>
    <w:rsid w:val="00171E65"/>
    <w:rsid w:val="0017589C"/>
    <w:rsid w:val="00175B0B"/>
    <w:rsid w:val="001769F3"/>
    <w:rsid w:val="001B36D3"/>
    <w:rsid w:val="001B372B"/>
    <w:rsid w:val="001B5901"/>
    <w:rsid w:val="001C3FB5"/>
    <w:rsid w:val="001C5E31"/>
    <w:rsid w:val="001D7F92"/>
    <w:rsid w:val="001E78FA"/>
    <w:rsid w:val="001F1E62"/>
    <w:rsid w:val="001F2B5B"/>
    <w:rsid w:val="00202D84"/>
    <w:rsid w:val="00202D97"/>
    <w:rsid w:val="002037D9"/>
    <w:rsid w:val="002125C5"/>
    <w:rsid w:val="002232C3"/>
    <w:rsid w:val="00245F87"/>
    <w:rsid w:val="00250F8A"/>
    <w:rsid w:val="00253D9F"/>
    <w:rsid w:val="002762DA"/>
    <w:rsid w:val="002870AD"/>
    <w:rsid w:val="002967E8"/>
    <w:rsid w:val="002B0B0D"/>
    <w:rsid w:val="002C0DD8"/>
    <w:rsid w:val="002E575F"/>
    <w:rsid w:val="002F525E"/>
    <w:rsid w:val="002F580E"/>
    <w:rsid w:val="002F7256"/>
    <w:rsid w:val="00310758"/>
    <w:rsid w:val="0031658E"/>
    <w:rsid w:val="00344695"/>
    <w:rsid w:val="00345BC9"/>
    <w:rsid w:val="003531E7"/>
    <w:rsid w:val="00360435"/>
    <w:rsid w:val="00377820"/>
    <w:rsid w:val="0038553B"/>
    <w:rsid w:val="00397591"/>
    <w:rsid w:val="003A7C7E"/>
    <w:rsid w:val="003B34F5"/>
    <w:rsid w:val="003C3796"/>
    <w:rsid w:val="003C5179"/>
    <w:rsid w:val="003E57C4"/>
    <w:rsid w:val="003F1010"/>
    <w:rsid w:val="003F6E60"/>
    <w:rsid w:val="003F7D2D"/>
    <w:rsid w:val="00404156"/>
    <w:rsid w:val="004069AE"/>
    <w:rsid w:val="00412529"/>
    <w:rsid w:val="00413068"/>
    <w:rsid w:val="0041380F"/>
    <w:rsid w:val="004138BC"/>
    <w:rsid w:val="00421DB3"/>
    <w:rsid w:val="00423EF2"/>
    <w:rsid w:val="00436204"/>
    <w:rsid w:val="004453AF"/>
    <w:rsid w:val="00460E95"/>
    <w:rsid w:val="00476ADD"/>
    <w:rsid w:val="004961B5"/>
    <w:rsid w:val="004A57FB"/>
    <w:rsid w:val="004A5B05"/>
    <w:rsid w:val="004C00D0"/>
    <w:rsid w:val="004D0513"/>
    <w:rsid w:val="004F41EE"/>
    <w:rsid w:val="004F5048"/>
    <w:rsid w:val="004F5EC9"/>
    <w:rsid w:val="005041F6"/>
    <w:rsid w:val="00505B02"/>
    <w:rsid w:val="00507753"/>
    <w:rsid w:val="005130BC"/>
    <w:rsid w:val="0052312F"/>
    <w:rsid w:val="005340D8"/>
    <w:rsid w:val="00536ABB"/>
    <w:rsid w:val="00537FBB"/>
    <w:rsid w:val="005702AB"/>
    <w:rsid w:val="00573278"/>
    <w:rsid w:val="00580F60"/>
    <w:rsid w:val="0059369F"/>
    <w:rsid w:val="00596CBB"/>
    <w:rsid w:val="005A26D1"/>
    <w:rsid w:val="005B735F"/>
    <w:rsid w:val="005E5B66"/>
    <w:rsid w:val="0061566D"/>
    <w:rsid w:val="0061755F"/>
    <w:rsid w:val="00634A99"/>
    <w:rsid w:val="00637AE2"/>
    <w:rsid w:val="00644BCB"/>
    <w:rsid w:val="006524A1"/>
    <w:rsid w:val="00654C69"/>
    <w:rsid w:val="00656B34"/>
    <w:rsid w:val="006570B1"/>
    <w:rsid w:val="00663AC7"/>
    <w:rsid w:val="00681466"/>
    <w:rsid w:val="006A18AB"/>
    <w:rsid w:val="006A3549"/>
    <w:rsid w:val="006B21AC"/>
    <w:rsid w:val="006E757F"/>
    <w:rsid w:val="006F41AA"/>
    <w:rsid w:val="006F453F"/>
    <w:rsid w:val="006F770E"/>
    <w:rsid w:val="00701114"/>
    <w:rsid w:val="007055FE"/>
    <w:rsid w:val="007075DE"/>
    <w:rsid w:val="00717A27"/>
    <w:rsid w:val="007208E2"/>
    <w:rsid w:val="0072673E"/>
    <w:rsid w:val="0074267A"/>
    <w:rsid w:val="007427A7"/>
    <w:rsid w:val="007465CE"/>
    <w:rsid w:val="007469FC"/>
    <w:rsid w:val="0075341A"/>
    <w:rsid w:val="00762DCE"/>
    <w:rsid w:val="00786AC1"/>
    <w:rsid w:val="00787CBB"/>
    <w:rsid w:val="00797D32"/>
    <w:rsid w:val="007A119E"/>
    <w:rsid w:val="007A4BF3"/>
    <w:rsid w:val="007B05D0"/>
    <w:rsid w:val="007B1BBB"/>
    <w:rsid w:val="007B36CF"/>
    <w:rsid w:val="007B6935"/>
    <w:rsid w:val="007B7622"/>
    <w:rsid w:val="007C3B72"/>
    <w:rsid w:val="007E0AE4"/>
    <w:rsid w:val="007E6A5F"/>
    <w:rsid w:val="007F387D"/>
    <w:rsid w:val="007F5FD3"/>
    <w:rsid w:val="00815CD1"/>
    <w:rsid w:val="00825B2E"/>
    <w:rsid w:val="008324A0"/>
    <w:rsid w:val="00853737"/>
    <w:rsid w:val="00870D51"/>
    <w:rsid w:val="008827C5"/>
    <w:rsid w:val="008856E4"/>
    <w:rsid w:val="0088642E"/>
    <w:rsid w:val="00893B51"/>
    <w:rsid w:val="00896588"/>
    <w:rsid w:val="00897148"/>
    <w:rsid w:val="008A17ED"/>
    <w:rsid w:val="008A4DB1"/>
    <w:rsid w:val="008B57FA"/>
    <w:rsid w:val="008C3348"/>
    <w:rsid w:val="008C67F1"/>
    <w:rsid w:val="008D3D81"/>
    <w:rsid w:val="008D4279"/>
    <w:rsid w:val="008E2582"/>
    <w:rsid w:val="008E39D1"/>
    <w:rsid w:val="008F4E30"/>
    <w:rsid w:val="009102FA"/>
    <w:rsid w:val="0092407F"/>
    <w:rsid w:val="00927BFE"/>
    <w:rsid w:val="009365FF"/>
    <w:rsid w:val="0094019F"/>
    <w:rsid w:val="009431AD"/>
    <w:rsid w:val="009470EA"/>
    <w:rsid w:val="009525C6"/>
    <w:rsid w:val="00956B6D"/>
    <w:rsid w:val="00970A77"/>
    <w:rsid w:val="009872FE"/>
    <w:rsid w:val="00987A0F"/>
    <w:rsid w:val="00995AF6"/>
    <w:rsid w:val="009A1ABF"/>
    <w:rsid w:val="009B2718"/>
    <w:rsid w:val="009B30DF"/>
    <w:rsid w:val="009E40F9"/>
    <w:rsid w:val="009E7A34"/>
    <w:rsid w:val="00A07714"/>
    <w:rsid w:val="00A12EA5"/>
    <w:rsid w:val="00A2101B"/>
    <w:rsid w:val="00A249CE"/>
    <w:rsid w:val="00A25854"/>
    <w:rsid w:val="00A33CB1"/>
    <w:rsid w:val="00A35EE0"/>
    <w:rsid w:val="00A5180D"/>
    <w:rsid w:val="00A60D87"/>
    <w:rsid w:val="00A746F2"/>
    <w:rsid w:val="00A8452B"/>
    <w:rsid w:val="00A87310"/>
    <w:rsid w:val="00AA54A3"/>
    <w:rsid w:val="00AB20DE"/>
    <w:rsid w:val="00AB36BC"/>
    <w:rsid w:val="00AC0724"/>
    <w:rsid w:val="00AC7820"/>
    <w:rsid w:val="00AE3BB9"/>
    <w:rsid w:val="00AE57F6"/>
    <w:rsid w:val="00AE6823"/>
    <w:rsid w:val="00AE7562"/>
    <w:rsid w:val="00AF618A"/>
    <w:rsid w:val="00B014D9"/>
    <w:rsid w:val="00B07F4D"/>
    <w:rsid w:val="00B116F5"/>
    <w:rsid w:val="00B16652"/>
    <w:rsid w:val="00B21A0C"/>
    <w:rsid w:val="00B24A28"/>
    <w:rsid w:val="00B26366"/>
    <w:rsid w:val="00B26BD7"/>
    <w:rsid w:val="00B33BF9"/>
    <w:rsid w:val="00B400FF"/>
    <w:rsid w:val="00B5500D"/>
    <w:rsid w:val="00B644D2"/>
    <w:rsid w:val="00B64818"/>
    <w:rsid w:val="00B6597B"/>
    <w:rsid w:val="00B7353B"/>
    <w:rsid w:val="00B770BD"/>
    <w:rsid w:val="00B868DB"/>
    <w:rsid w:val="00B9305B"/>
    <w:rsid w:val="00B93865"/>
    <w:rsid w:val="00BA576E"/>
    <w:rsid w:val="00BC405C"/>
    <w:rsid w:val="00BC5EB1"/>
    <w:rsid w:val="00BE0237"/>
    <w:rsid w:val="00BF3D44"/>
    <w:rsid w:val="00BF45C6"/>
    <w:rsid w:val="00C0591C"/>
    <w:rsid w:val="00C1066D"/>
    <w:rsid w:val="00C22FCB"/>
    <w:rsid w:val="00C26D46"/>
    <w:rsid w:val="00C30CC6"/>
    <w:rsid w:val="00C45034"/>
    <w:rsid w:val="00C5389A"/>
    <w:rsid w:val="00C55ED2"/>
    <w:rsid w:val="00C56B81"/>
    <w:rsid w:val="00C56CAC"/>
    <w:rsid w:val="00C56FA2"/>
    <w:rsid w:val="00C70476"/>
    <w:rsid w:val="00C81628"/>
    <w:rsid w:val="00C91342"/>
    <w:rsid w:val="00C918A1"/>
    <w:rsid w:val="00C94766"/>
    <w:rsid w:val="00CA25ED"/>
    <w:rsid w:val="00CD5ACE"/>
    <w:rsid w:val="00CE1979"/>
    <w:rsid w:val="00CF0D61"/>
    <w:rsid w:val="00CF189A"/>
    <w:rsid w:val="00D04AEC"/>
    <w:rsid w:val="00D07CD2"/>
    <w:rsid w:val="00D13AD9"/>
    <w:rsid w:val="00D14478"/>
    <w:rsid w:val="00D16F6D"/>
    <w:rsid w:val="00D230D4"/>
    <w:rsid w:val="00D2542D"/>
    <w:rsid w:val="00D260EC"/>
    <w:rsid w:val="00D34C7A"/>
    <w:rsid w:val="00D42259"/>
    <w:rsid w:val="00D426BE"/>
    <w:rsid w:val="00D44316"/>
    <w:rsid w:val="00D57BE4"/>
    <w:rsid w:val="00D67A82"/>
    <w:rsid w:val="00D81067"/>
    <w:rsid w:val="00D81B2E"/>
    <w:rsid w:val="00D91323"/>
    <w:rsid w:val="00D9242E"/>
    <w:rsid w:val="00D928EE"/>
    <w:rsid w:val="00D93AE9"/>
    <w:rsid w:val="00D97247"/>
    <w:rsid w:val="00DA49C8"/>
    <w:rsid w:val="00DB0308"/>
    <w:rsid w:val="00DB15B8"/>
    <w:rsid w:val="00DB55BA"/>
    <w:rsid w:val="00DC5E94"/>
    <w:rsid w:val="00DD2911"/>
    <w:rsid w:val="00DD4AFC"/>
    <w:rsid w:val="00DE1890"/>
    <w:rsid w:val="00E07226"/>
    <w:rsid w:val="00E3682F"/>
    <w:rsid w:val="00E528BE"/>
    <w:rsid w:val="00E72D75"/>
    <w:rsid w:val="00E75D95"/>
    <w:rsid w:val="00E77ED2"/>
    <w:rsid w:val="00E82CE3"/>
    <w:rsid w:val="00E83346"/>
    <w:rsid w:val="00E84347"/>
    <w:rsid w:val="00E90166"/>
    <w:rsid w:val="00E93209"/>
    <w:rsid w:val="00EB3C48"/>
    <w:rsid w:val="00EB5915"/>
    <w:rsid w:val="00EC1E61"/>
    <w:rsid w:val="00EC2F91"/>
    <w:rsid w:val="00ED487F"/>
    <w:rsid w:val="00EE034B"/>
    <w:rsid w:val="00EE2C38"/>
    <w:rsid w:val="00EF14F7"/>
    <w:rsid w:val="00EF4ED1"/>
    <w:rsid w:val="00F01B15"/>
    <w:rsid w:val="00F25526"/>
    <w:rsid w:val="00F26BE6"/>
    <w:rsid w:val="00F31167"/>
    <w:rsid w:val="00F319E1"/>
    <w:rsid w:val="00F41430"/>
    <w:rsid w:val="00F41EA3"/>
    <w:rsid w:val="00F50C97"/>
    <w:rsid w:val="00F54D0D"/>
    <w:rsid w:val="00F72B5F"/>
    <w:rsid w:val="00F77B21"/>
    <w:rsid w:val="00FB0D2B"/>
    <w:rsid w:val="00FB130E"/>
    <w:rsid w:val="00FC5E1B"/>
    <w:rsid w:val="00FE7C80"/>
    <w:rsid w:val="00FF7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928AC-A756-40EF-BDA5-555CFDE9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7CD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961B5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2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4961B5"/>
    <w:pPr>
      <w:keepNext/>
      <w:spacing w:before="240" w:after="60" w:line="240" w:lineRule="auto"/>
      <w:outlineLvl w:val="2"/>
    </w:pPr>
    <w:rPr>
      <w:rFonts w:ascii="Arial" w:eastAsia="Times New Roman" w:hAnsi="Arial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4961B5"/>
    <w:pPr>
      <w:keepNext/>
      <w:numPr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pct12" w:color="auto" w:fill="FFFFFF"/>
      <w:spacing w:after="0" w:line="240" w:lineRule="auto"/>
      <w:outlineLvl w:val="4"/>
    </w:pPr>
    <w:rPr>
      <w:rFonts w:ascii="Times New Roman" w:eastAsia="Times New Roman" w:hAnsi="Times New Roman"/>
      <w:b/>
      <w:sz w:val="28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961B5"/>
    <w:pPr>
      <w:keepNext/>
      <w:spacing w:after="0" w:line="240" w:lineRule="auto"/>
      <w:outlineLvl w:val="7"/>
    </w:pPr>
    <w:rPr>
      <w:rFonts w:ascii="Times New Roman" w:eastAsia="Times New Roman" w:hAnsi="Times New Roman"/>
      <w:i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113581"/>
    <w:pPr>
      <w:spacing w:before="120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113581"/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961B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4961B5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nhideWhenUsed/>
    <w:rsid w:val="004961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4961B5"/>
    <w:rPr>
      <w:sz w:val="16"/>
      <w:szCs w:val="16"/>
      <w:lang w:eastAsia="en-US"/>
    </w:rPr>
  </w:style>
  <w:style w:type="character" w:customStyle="1" w:styleId="Nagwek1Znak">
    <w:name w:val="Nagłówek 1 Znak"/>
    <w:link w:val="Nagwek1"/>
    <w:rsid w:val="004961B5"/>
    <w:rPr>
      <w:rFonts w:ascii="Times New Roman" w:eastAsia="Times New Roman" w:hAnsi="Times New Roman"/>
      <w:b/>
      <w:sz w:val="26"/>
      <w:szCs w:val="24"/>
    </w:rPr>
  </w:style>
  <w:style w:type="character" w:customStyle="1" w:styleId="Nagwek3Znak">
    <w:name w:val="Nagłówek 3 Znak"/>
    <w:link w:val="Nagwek3"/>
    <w:rsid w:val="004961B5"/>
    <w:rPr>
      <w:rFonts w:ascii="Arial" w:eastAsia="Times New Roman" w:hAnsi="Arial"/>
      <w:sz w:val="24"/>
    </w:rPr>
  </w:style>
  <w:style w:type="character" w:customStyle="1" w:styleId="Nagwek5Znak">
    <w:name w:val="Nagłówek 5 Znak"/>
    <w:link w:val="Nagwek5"/>
    <w:rsid w:val="004961B5"/>
    <w:rPr>
      <w:rFonts w:ascii="Times New Roman" w:eastAsia="Times New Roman" w:hAnsi="Times New Roman"/>
      <w:b/>
      <w:sz w:val="28"/>
      <w:shd w:val="pct12" w:color="auto" w:fill="FFFFFF"/>
    </w:rPr>
  </w:style>
  <w:style w:type="character" w:customStyle="1" w:styleId="Nagwek8Znak">
    <w:name w:val="Nagłówek 8 Znak"/>
    <w:link w:val="Nagwek8"/>
    <w:rsid w:val="004961B5"/>
    <w:rPr>
      <w:rFonts w:ascii="Times New Roman" w:eastAsia="Times New Roman" w:hAnsi="Times New Roman"/>
      <w:i/>
      <w:sz w:val="26"/>
    </w:rPr>
  </w:style>
  <w:style w:type="paragraph" w:styleId="Stopka">
    <w:name w:val="footer"/>
    <w:basedOn w:val="Normalny"/>
    <w:link w:val="StopkaZnak"/>
    <w:rsid w:val="004961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4961B5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rsid w:val="004961B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4961B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1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DB3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E2F21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797D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7D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7D3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7D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7D32"/>
    <w:rPr>
      <w:b/>
      <w:bCs/>
      <w:lang w:eastAsia="en-US"/>
    </w:rPr>
  </w:style>
  <w:style w:type="paragraph" w:styleId="Poprawka">
    <w:name w:val="Revision"/>
    <w:hidden/>
    <w:uiPriority w:val="99"/>
    <w:semiHidden/>
    <w:rsid w:val="00797D32"/>
    <w:rPr>
      <w:sz w:val="22"/>
      <w:szCs w:val="22"/>
      <w:lang w:eastAsia="en-US"/>
    </w:rPr>
  </w:style>
  <w:style w:type="character" w:styleId="Hipercze">
    <w:name w:val="Hyperlink"/>
    <w:unhideWhenUsed/>
    <w:rsid w:val="004A5B05"/>
    <w:rPr>
      <w:rFonts w:ascii="Times New Roman" w:hAnsi="Times New Roman" w:cs="Times New Roman" w:hint="default"/>
      <w:color w:val="0000FF"/>
      <w:u w:val="single"/>
    </w:rPr>
  </w:style>
  <w:style w:type="paragraph" w:customStyle="1" w:styleId="Bullet0">
    <w:name w:val="Bullet 0"/>
    <w:basedOn w:val="Normalny"/>
    <w:rsid w:val="00253D9F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lang w:val="en-GB" w:eastAsia="en-GB"/>
    </w:rPr>
  </w:style>
  <w:style w:type="paragraph" w:customStyle="1" w:styleId="tytakt">
    <w:name w:val="tytakt"/>
    <w:basedOn w:val="Normalny"/>
    <w:uiPriority w:val="99"/>
    <w:rsid w:val="007A119E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color w:val="150A59"/>
      <w:sz w:val="29"/>
      <w:szCs w:val="29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2C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2C38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2C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5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8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50FB5-1C73-45D9-8A1A-F06BE51F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2189</Words>
  <Characters>13137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Spraw Zagranicznych</Company>
  <LinksUpToDate>false</LinksUpToDate>
  <CharactersWithSpaces>15296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miskiewiczj</dc:creator>
  <cp:lastModifiedBy>Kostecki Hubert</cp:lastModifiedBy>
  <cp:revision>5</cp:revision>
  <cp:lastPrinted>2016-12-27T13:35:00Z</cp:lastPrinted>
  <dcterms:created xsi:type="dcterms:W3CDTF">2017-01-19T07:51:00Z</dcterms:created>
  <dcterms:modified xsi:type="dcterms:W3CDTF">2017-01-19T10:24:00Z</dcterms:modified>
</cp:coreProperties>
</file>