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DF87" w14:textId="38D0D3FB" w:rsidR="00C97699" w:rsidRPr="00934583" w:rsidRDefault="00C97699" w:rsidP="00C97699">
      <w:pPr>
        <w:spacing w:after="160" w:line="259" w:lineRule="auto"/>
        <w:jc w:val="right"/>
        <w:rPr>
          <w:rFonts w:ascii="Arial" w:hAnsi="Arial" w:cs="Arial"/>
          <w:lang w:eastAsia="en-US"/>
        </w:rPr>
      </w:pPr>
      <w:bookmarkStart w:id="0" w:name="_GoBack"/>
      <w:bookmarkEnd w:id="0"/>
    </w:p>
    <w:p w14:paraId="23190BD1" w14:textId="77777777" w:rsidR="00C97699" w:rsidRPr="000963B2" w:rsidRDefault="00C97699" w:rsidP="00C97699">
      <w:pPr>
        <w:spacing w:line="360" w:lineRule="auto"/>
        <w:jc w:val="right"/>
        <w:rPr>
          <w:rFonts w:ascii="Arial" w:hAnsi="Arial" w:cs="Arial"/>
          <w:b/>
        </w:rPr>
      </w:pPr>
    </w:p>
    <w:p w14:paraId="5BAB7494" w14:textId="6AED5EC7" w:rsidR="00C97699" w:rsidRPr="000963B2" w:rsidRDefault="00C97699" w:rsidP="001D12EE">
      <w:pPr>
        <w:spacing w:line="360" w:lineRule="auto"/>
        <w:jc w:val="center"/>
        <w:rPr>
          <w:rFonts w:ascii="Arial" w:hAnsi="Arial" w:cs="Arial"/>
          <w:b/>
        </w:rPr>
      </w:pPr>
    </w:p>
    <w:p w14:paraId="2F59F666" w14:textId="63ACF24B" w:rsidR="00C97699" w:rsidRPr="000963B2" w:rsidRDefault="00C97699" w:rsidP="001D12EE">
      <w:pPr>
        <w:spacing w:line="360" w:lineRule="auto"/>
        <w:jc w:val="center"/>
        <w:rPr>
          <w:rFonts w:ascii="Arial" w:hAnsi="Arial" w:cs="Arial"/>
          <w:b/>
        </w:rPr>
      </w:pPr>
    </w:p>
    <w:p w14:paraId="7CD80940" w14:textId="5BE17700" w:rsidR="00C97699" w:rsidRPr="000963B2" w:rsidRDefault="00C97699" w:rsidP="001D12EE">
      <w:pPr>
        <w:spacing w:line="360" w:lineRule="auto"/>
        <w:jc w:val="center"/>
        <w:rPr>
          <w:rFonts w:ascii="Arial" w:hAnsi="Arial" w:cs="Arial"/>
          <w:b/>
        </w:rPr>
      </w:pPr>
    </w:p>
    <w:p w14:paraId="739F28C4" w14:textId="77777777" w:rsidR="00C97699" w:rsidRPr="000963B2" w:rsidRDefault="00C97699" w:rsidP="001D12EE">
      <w:pPr>
        <w:spacing w:line="360" w:lineRule="auto"/>
        <w:jc w:val="center"/>
        <w:rPr>
          <w:rFonts w:ascii="Arial" w:hAnsi="Arial" w:cs="Arial"/>
          <w:b/>
        </w:rPr>
      </w:pPr>
    </w:p>
    <w:p w14:paraId="4B9738C6" w14:textId="68A339E9" w:rsidR="001D12EE" w:rsidRPr="00934583" w:rsidRDefault="001D12EE" w:rsidP="00934583">
      <w:pPr>
        <w:pStyle w:val="Tytu"/>
        <w:spacing w:line="276" w:lineRule="auto"/>
        <w:jc w:val="center"/>
        <w:rPr>
          <w:rFonts w:ascii="Arial" w:hAnsi="Arial" w:cs="Arial"/>
          <w:b/>
        </w:rPr>
      </w:pPr>
      <w:r w:rsidRPr="00934583">
        <w:rPr>
          <w:rFonts w:ascii="Arial" w:hAnsi="Arial" w:cs="Arial"/>
          <w:b/>
        </w:rPr>
        <w:t>ZASADY ZAPEWNIANIA</w:t>
      </w:r>
    </w:p>
    <w:p w14:paraId="0369E86A" w14:textId="58F17CA1" w:rsidR="001D12EE" w:rsidRPr="00934583" w:rsidRDefault="001D12EE" w:rsidP="00934583">
      <w:pPr>
        <w:pStyle w:val="Tytu"/>
        <w:spacing w:line="276" w:lineRule="auto"/>
        <w:jc w:val="center"/>
        <w:rPr>
          <w:rFonts w:ascii="Arial" w:hAnsi="Arial" w:cs="Arial"/>
          <w:b/>
        </w:rPr>
      </w:pPr>
      <w:r w:rsidRPr="00934583">
        <w:rPr>
          <w:rFonts w:ascii="Arial" w:hAnsi="Arial" w:cs="Arial"/>
          <w:b/>
        </w:rPr>
        <w:t>JAKOŚCI KSZTAŁCENIA PRAKTYCZNEGO</w:t>
      </w:r>
    </w:p>
    <w:p w14:paraId="1105CDE1" w14:textId="77777777" w:rsidR="001D12EE" w:rsidRPr="00934583" w:rsidRDefault="001D12EE" w:rsidP="00934583">
      <w:pPr>
        <w:pStyle w:val="Tytu"/>
        <w:spacing w:line="276" w:lineRule="auto"/>
        <w:jc w:val="center"/>
        <w:rPr>
          <w:rFonts w:ascii="Arial" w:hAnsi="Arial" w:cs="Arial"/>
          <w:b/>
        </w:rPr>
      </w:pPr>
      <w:r w:rsidRPr="00934583">
        <w:rPr>
          <w:rFonts w:ascii="Arial" w:hAnsi="Arial" w:cs="Arial"/>
          <w:b/>
        </w:rPr>
        <w:t>REALIZOWANEGO U PRACODAWCÓW</w:t>
      </w:r>
    </w:p>
    <w:p w14:paraId="7633F53D" w14:textId="77777777" w:rsidR="001E39D9" w:rsidRPr="000963B2" w:rsidRDefault="001E39D9">
      <w:pPr>
        <w:rPr>
          <w:rFonts w:ascii="Arial" w:hAnsi="Arial" w:cs="Arial"/>
        </w:rPr>
      </w:pPr>
    </w:p>
    <w:p w14:paraId="425415ED" w14:textId="5829E537" w:rsidR="001D12EE" w:rsidRPr="000963B2" w:rsidRDefault="001D12EE">
      <w:pPr>
        <w:spacing w:after="160" w:line="259" w:lineRule="auto"/>
        <w:rPr>
          <w:rFonts w:ascii="Arial" w:hAnsi="Arial" w:cs="Arial"/>
        </w:rPr>
      </w:pPr>
    </w:p>
    <w:p w14:paraId="5A4B4299" w14:textId="35E1B6DF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2F316C98" w14:textId="35CD3438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1C5916A5" w14:textId="0216481B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2BD8EDBB" w14:textId="525B31C3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0F90D68A" w14:textId="44CD5143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13B34ABD" w14:textId="4560D010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2E1ABD85" w14:textId="6F701698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3A1FAA13" w14:textId="6C8C353F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59E3B2B0" w14:textId="0BA509FC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5D8D5953" w14:textId="6D51986B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6E513E4C" w14:textId="40D4B5BC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3B4CB262" w14:textId="2CE70A6F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3688122D" w14:textId="76DD16EF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1AC5B9F9" w14:textId="0217266B" w:rsidR="00C97699" w:rsidRPr="000963B2" w:rsidRDefault="00C97699">
      <w:pPr>
        <w:spacing w:after="160" w:line="259" w:lineRule="auto"/>
        <w:rPr>
          <w:rFonts w:ascii="Arial" w:hAnsi="Arial" w:cs="Arial"/>
        </w:rPr>
      </w:pPr>
    </w:p>
    <w:p w14:paraId="563CB4F7" w14:textId="3E61067F" w:rsidR="00C97699" w:rsidRPr="000963B2" w:rsidRDefault="00C97699" w:rsidP="002936F9">
      <w:pPr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059624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A08B28" w14:textId="0D2DEC64" w:rsidR="00404886" w:rsidRPr="002176F9" w:rsidRDefault="00404886">
          <w:pPr>
            <w:pStyle w:val="Nagwekspisutreci"/>
            <w:rPr>
              <w:b/>
            </w:rPr>
          </w:pPr>
          <w:r w:rsidRPr="002176F9">
            <w:rPr>
              <w:b/>
            </w:rPr>
            <w:t>Spis treści</w:t>
          </w:r>
        </w:p>
        <w:p w14:paraId="0E48CE41" w14:textId="15EBDF69" w:rsidR="00944540" w:rsidRDefault="00A27990">
          <w:pPr>
            <w:pStyle w:val="Spistreci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46688" w:history="1">
            <w:r w:rsidR="00944540" w:rsidRPr="00AD1C8C">
              <w:rPr>
                <w:rStyle w:val="Hipercze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9445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4540" w:rsidRPr="00AD1C8C">
              <w:rPr>
                <w:rStyle w:val="Hipercze"/>
                <w:noProof/>
              </w:rPr>
              <w:t>Wstęp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_Toc535846688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3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1A1D4C7D" w14:textId="0499F071" w:rsidR="00944540" w:rsidRDefault="007511E7">
          <w:pPr>
            <w:pStyle w:val="Spistreci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89" w:history="1">
            <w:r w:rsidR="00944540" w:rsidRPr="00AD1C8C">
              <w:rPr>
                <w:rStyle w:val="Hipercze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9445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4540" w:rsidRPr="00AD1C8C">
              <w:rPr>
                <w:rStyle w:val="Hipercze"/>
                <w:noProof/>
              </w:rPr>
              <w:t>Wymagania dotyczące opracowania zasad zapewniania jakości kształcenia praktycznego wg regulaminu konkursu MEN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_Toc535846689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3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710C05B7" w14:textId="7F941AF3" w:rsidR="00944540" w:rsidRDefault="007511E7">
          <w:pPr>
            <w:pStyle w:val="Spistreci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0" w:history="1">
            <w:r w:rsidR="00944540" w:rsidRPr="00AD1C8C">
              <w:rPr>
                <w:rStyle w:val="Hipercze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9445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4540" w:rsidRPr="00AD1C8C">
              <w:rPr>
                <w:rStyle w:val="Hipercze"/>
                <w:noProof/>
              </w:rPr>
              <w:t>Opis wybranych polskich i europejskich doświadczeń w zakresie tworzenia zasad i narzędzi zapewniania jakości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_Toc535846690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6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7544210F" w14:textId="54561EF4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1" w:history="1">
            <w:r w:rsidR="00944540" w:rsidRPr="00AD1C8C">
              <w:rPr>
                <w:rStyle w:val="Hipercze"/>
                <w:noProof/>
              </w:rPr>
              <w:t>Polskie Ramy Jakości Staży i Praktyk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_Toc535846691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6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51B525B9" w14:textId="04DA5F86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2" w:history="1">
            <w:r w:rsidR="00944540" w:rsidRPr="00AD1C8C">
              <w:rPr>
                <w:rStyle w:val="Hipercze"/>
                <w:noProof/>
              </w:rPr>
              <w:t>Zalecenie w sprawie Europejskich Ram Jakości I Skuteczności Przygotowania Zawodowego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_Toc535846692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8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2D750BFD" w14:textId="338A84CB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3" w:history="1">
            <w:r w:rsidR="00944540" w:rsidRPr="00AD1C8C">
              <w:rPr>
                <w:rStyle w:val="Hipercze"/>
                <w:noProof/>
                <w:lang w:val="en-GB"/>
              </w:rPr>
              <w:t>Projekt TRIFT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_Toc535846693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13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7E59C452" w14:textId="4C015B4B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4" w:history="1">
            <w:r w:rsidR="00944540" w:rsidRPr="00AD1C8C">
              <w:rPr>
                <w:rStyle w:val="Hipercze"/>
                <w:noProof/>
              </w:rPr>
              <w:t>Standardy Jakości Kształcenia Zawodowego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_Toc535846694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18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54CD6EB4" w14:textId="51BB7972" w:rsidR="00944540" w:rsidRDefault="007511E7">
          <w:pPr>
            <w:pStyle w:val="Spistreci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5" w:history="1">
            <w:r w:rsidR="00944540" w:rsidRPr="00AD1C8C">
              <w:rPr>
                <w:rStyle w:val="Hipercze"/>
                <w:rFonts w:ascii="Times New Roman" w:hAnsi="Times New Roman"/>
                <w:noProof/>
                <w:snapToGrid w:val="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9445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4540" w:rsidRPr="00AD1C8C">
              <w:rPr>
                <w:rStyle w:val="Hipercze"/>
                <w:noProof/>
              </w:rPr>
              <w:t>Zasady zapewniania jakości kształcenia praktycznego realizowanego u pracodawcy - narzędzia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_Toc535846695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20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681CE567" w14:textId="04552D0F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6" w:history="1">
            <w:r w:rsidR="00944540" w:rsidRPr="00AD1C8C">
              <w:rPr>
                <w:rStyle w:val="Hipercze"/>
                <w:noProof/>
                <w:shd w:val="clear" w:color="auto" w:fill="FFFFFF"/>
              </w:rPr>
              <w:t>Jak stosować zasady zapewniania jakości kształcenia praktycznego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_Toc535846696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20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37997D7B" w14:textId="0630CB14" w:rsidR="00944540" w:rsidRDefault="007511E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7" w:history="1">
            <w:r w:rsidR="00944540" w:rsidRPr="00AD1C8C">
              <w:rPr>
                <w:rStyle w:val="Hipercze"/>
                <w:noProof/>
              </w:rPr>
              <w:t>Zasady zapewniania jakości kształcenia praktycznego realizowanego u pracodawcy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_Toc535846697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21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166FA217" w14:textId="5CC8D1E8" w:rsidR="00944540" w:rsidRDefault="007511E7">
          <w:pPr>
            <w:pStyle w:val="Spistreci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6698" w:history="1">
            <w:r w:rsidR="00944540" w:rsidRPr="00AD1C8C">
              <w:rPr>
                <w:rStyle w:val="Hipercze"/>
                <w:rFonts w:ascii="Times New Roman" w:hAnsi="Times New Roman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9445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4540" w:rsidRPr="00AD1C8C">
              <w:rPr>
                <w:rStyle w:val="Hipercze"/>
                <w:noProof/>
                <w:shd w:val="clear" w:color="auto" w:fill="FFFFFF"/>
                <w:lang w:eastAsia="en-US"/>
              </w:rPr>
              <w:t>Dalsze działania w obszarze zapewniania jakości kształcenia praktycznego realizowanego u pracodawcy</w:t>
            </w:r>
            <w:r w:rsidR="00944540">
              <w:rPr>
                <w:noProof/>
                <w:webHidden/>
              </w:rPr>
              <w:tab/>
            </w:r>
            <w:r w:rsidR="00944540">
              <w:rPr>
                <w:noProof/>
                <w:webHidden/>
              </w:rPr>
              <w:fldChar w:fldCharType="begin"/>
            </w:r>
            <w:r w:rsidR="00944540">
              <w:rPr>
                <w:noProof/>
                <w:webHidden/>
              </w:rPr>
              <w:instrText xml:space="preserve"> PAGEREF _Toc535846698 \h </w:instrText>
            </w:r>
            <w:r w:rsidR="00944540">
              <w:rPr>
                <w:noProof/>
                <w:webHidden/>
              </w:rPr>
            </w:r>
            <w:r w:rsidR="00944540">
              <w:rPr>
                <w:noProof/>
                <w:webHidden/>
              </w:rPr>
              <w:fldChar w:fldCharType="separate"/>
            </w:r>
            <w:r w:rsidR="00944540">
              <w:rPr>
                <w:noProof/>
                <w:webHidden/>
              </w:rPr>
              <w:t>32</w:t>
            </w:r>
            <w:r w:rsidR="00944540">
              <w:rPr>
                <w:noProof/>
                <w:webHidden/>
              </w:rPr>
              <w:fldChar w:fldCharType="end"/>
            </w:r>
          </w:hyperlink>
        </w:p>
        <w:p w14:paraId="01076935" w14:textId="424FE674" w:rsidR="00404886" w:rsidRDefault="00A27990">
          <w:r>
            <w:rPr>
              <w:rFonts w:ascii="Arial" w:hAnsi="Arial"/>
            </w:rPr>
            <w:fldChar w:fldCharType="end"/>
          </w:r>
        </w:p>
      </w:sdtContent>
    </w:sdt>
    <w:p w14:paraId="3856C43B" w14:textId="77777777" w:rsidR="00934583" w:rsidRDefault="0093458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3358F4" w14:textId="0DC16BC1" w:rsidR="00863FF7" w:rsidRDefault="00863FF7" w:rsidP="00934583">
      <w:pPr>
        <w:pStyle w:val="Nagwek1"/>
      </w:pPr>
      <w:bookmarkStart w:id="1" w:name="_Toc535846688"/>
      <w:r>
        <w:lastRenderedPageBreak/>
        <w:t>Wstęp</w:t>
      </w:r>
      <w:bookmarkEnd w:id="1"/>
    </w:p>
    <w:p w14:paraId="53B13824" w14:textId="43D2B5A0" w:rsidR="00863FF7" w:rsidRPr="00CD0D63" w:rsidRDefault="00863FF7" w:rsidP="00CD0D63">
      <w:pPr>
        <w:pStyle w:val="Tytu"/>
        <w:spacing w:line="360" w:lineRule="auto"/>
        <w:jc w:val="both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D0D63">
        <w:rPr>
          <w:rFonts w:ascii="Arial" w:eastAsia="Times New Roman" w:hAnsi="Arial" w:cs="Arial"/>
          <w:spacing w:val="0"/>
          <w:kern w:val="0"/>
          <w:sz w:val="24"/>
          <w:szCs w:val="24"/>
        </w:rPr>
        <w:t xml:space="preserve">Zasady zapewniania Jakości kształcenia praktycznego realizowanego u pracodawców opracowane zostały w związku z </w:t>
      </w:r>
      <w:r w:rsidRPr="002D25AA">
        <w:rPr>
          <w:rFonts w:ascii="Arial" w:eastAsia="Times New Roman" w:hAnsi="Arial" w:cs="Arial"/>
          <w:spacing w:val="0"/>
          <w:kern w:val="0"/>
          <w:sz w:val="24"/>
          <w:szCs w:val="24"/>
        </w:rPr>
        <w:t>realizacj</w:t>
      </w:r>
      <w:r w:rsidR="002D25AA" w:rsidRPr="002D25AA">
        <w:rPr>
          <w:rFonts w:ascii="Arial" w:eastAsia="Times New Roman" w:hAnsi="Arial" w:cs="Arial"/>
          <w:spacing w:val="0"/>
          <w:kern w:val="0"/>
          <w:sz w:val="24"/>
          <w:szCs w:val="24"/>
        </w:rPr>
        <w:t>ą</w:t>
      </w:r>
      <w:r w:rsidRPr="00CD0D63">
        <w:rPr>
          <w:rFonts w:ascii="Arial" w:eastAsia="Times New Roman" w:hAnsi="Arial" w:cs="Arial"/>
          <w:spacing w:val="0"/>
          <w:kern w:val="0"/>
          <w:sz w:val="24"/>
          <w:szCs w:val="24"/>
        </w:rPr>
        <w:t xml:space="preserve"> przez Instytut Analiz Rynku Pracy, Konfederacja Lewiatan i Związkiem Przedsiębiorców Przemysłu Mody Lewiatan Projektu pt. „Przygotowanie modelowych programów praktycznej nauki zawodu dla branży tekstylno-odzieżowej” nr wniosku: WND-POWR.02.15.00-00-1010/18 w ramach Programu Operacyjnego Wiedza Edukacja Rozwój współfinansowanego z Europejskiego Funduszu Społecznego, którego celem głównym jest przygotowanie rozwiązań w zakresie angażowania pracodawców w organizację praktycznej nauki zawodu dla </w:t>
      </w:r>
      <w:r w:rsidRPr="002D25AA">
        <w:rPr>
          <w:rFonts w:ascii="Arial" w:eastAsia="Times New Roman" w:hAnsi="Arial" w:cs="Arial"/>
          <w:spacing w:val="0"/>
          <w:kern w:val="0"/>
          <w:sz w:val="24"/>
          <w:szCs w:val="24"/>
        </w:rPr>
        <w:t xml:space="preserve">branży </w:t>
      </w:r>
      <w:r w:rsidR="002D25AA" w:rsidRPr="002D25AA">
        <w:rPr>
          <w:rFonts w:ascii="Arial" w:eastAsia="Times New Roman" w:hAnsi="Arial" w:cs="Arial"/>
          <w:spacing w:val="0"/>
          <w:kern w:val="0"/>
          <w:sz w:val="24"/>
          <w:szCs w:val="24"/>
        </w:rPr>
        <w:t>tekstylno-odzieżowej</w:t>
      </w:r>
      <w:r w:rsidRPr="00CD0D63">
        <w:rPr>
          <w:rFonts w:ascii="Arial" w:eastAsia="Times New Roman" w:hAnsi="Arial" w:cs="Arial"/>
          <w:spacing w:val="0"/>
          <w:kern w:val="0"/>
          <w:sz w:val="24"/>
          <w:szCs w:val="24"/>
        </w:rPr>
        <w:t xml:space="preserve"> poprzez opracowanie we współpracy z placówkami kształcenia zawodowego oraz pracodawcami modelowych programów praktycznej nauki zawodu dla zawodów na poziomie kwalifikacji technika oraz zasad jakości zapewniania kształcenia praktycznego realizowanego u pracodawców i rekomendacji do zmian przepisów prawa oświatowego. A celem szczegółowym opracowanie we współpracy z interesariuszami:</w:t>
      </w:r>
    </w:p>
    <w:p w14:paraId="50C3AF91" w14:textId="77777777" w:rsidR="00863FF7" w:rsidRPr="00863FF7" w:rsidRDefault="00863FF7" w:rsidP="00CD0D63">
      <w:pPr>
        <w:spacing w:line="360" w:lineRule="auto"/>
        <w:jc w:val="both"/>
        <w:rPr>
          <w:rFonts w:ascii="Arial" w:hAnsi="Arial" w:cs="Arial"/>
        </w:rPr>
      </w:pPr>
      <w:r w:rsidRPr="00863FF7">
        <w:rPr>
          <w:rFonts w:ascii="Arial" w:hAnsi="Arial" w:cs="Arial"/>
        </w:rPr>
        <w:t>(1) modelowych programów praktycznej nauki zawodu dla branży we współpracy z pracodawcami, (2) weryfikacja modelu w praktyce poprzez pilotaż przeprowadzony w wybranym zawodzie, (3) zasad zapewniania jakości kształcenia praktycznego realizowanego u pracodawcy oraz proponowanego narzędzia ich weryfikacji i przeprowadzenie pilotażu tego narzędzia, (4) ram jakości staży i praktyk i rekomendacji do zmian przepisów prawa oświatowego.</w:t>
      </w:r>
    </w:p>
    <w:p w14:paraId="7E333C7E" w14:textId="77777777" w:rsidR="00863FF7" w:rsidRPr="00CD0D63" w:rsidRDefault="00863FF7" w:rsidP="00CD0D63">
      <w:p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ind w:left="75"/>
        <w:jc w:val="both"/>
        <w:rPr>
          <w:rFonts w:ascii="Arial" w:hAnsi="Arial" w:cs="Arial"/>
        </w:rPr>
      </w:pPr>
    </w:p>
    <w:p w14:paraId="0EA4A06B" w14:textId="77777777" w:rsidR="00863FF7" w:rsidRPr="00CD0D63" w:rsidRDefault="00863FF7" w:rsidP="00CD0D63">
      <w:pPr>
        <w:tabs>
          <w:tab w:val="left" w:pos="617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>Zawody objęte projektem:</w:t>
      </w:r>
    </w:p>
    <w:p w14:paraId="5CAAD90C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>krawiec,</w:t>
      </w:r>
    </w:p>
    <w:p w14:paraId="215599B2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>operator maszyn w przemyśle włókienniczym</w:t>
      </w:r>
    </w:p>
    <w:p w14:paraId="6BF61090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 xml:space="preserve">pracownik pomocniczy krawca </w:t>
      </w:r>
    </w:p>
    <w:p w14:paraId="59E6486A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>rękodzielnik wyrobów włókienniczych</w:t>
      </w:r>
    </w:p>
    <w:p w14:paraId="7274FE1F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>technik przemysłu mody</w:t>
      </w:r>
    </w:p>
    <w:p w14:paraId="0D45CF85" w14:textId="77777777" w:rsidR="00863FF7" w:rsidRPr="00CD0D63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CD0D63">
        <w:rPr>
          <w:rFonts w:ascii="Arial" w:hAnsi="Arial" w:cs="Arial"/>
        </w:rPr>
        <w:t xml:space="preserve">technik włókienniczych wyrobów dekoracyjnych </w:t>
      </w:r>
    </w:p>
    <w:p w14:paraId="4A36D64A" w14:textId="5FF94AEA" w:rsidR="00863FF7" w:rsidRPr="00863FF7" w:rsidRDefault="00863FF7" w:rsidP="00CD0D63">
      <w:pPr>
        <w:pStyle w:val="Akapitzlist"/>
        <w:numPr>
          <w:ilvl w:val="0"/>
          <w:numId w:val="23"/>
        </w:numPr>
        <w:tabs>
          <w:tab w:val="left" w:pos="815"/>
          <w:tab w:val="left" w:pos="6175"/>
          <w:tab w:val="left" w:pos="10015"/>
          <w:tab w:val="left" w:pos="12315"/>
        </w:tabs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CD0D63">
        <w:rPr>
          <w:rFonts w:ascii="Arial" w:hAnsi="Arial" w:cs="Arial"/>
        </w:rPr>
        <w:t>technik włókiennik</w:t>
      </w:r>
      <w:r w:rsidR="00CD0D63">
        <w:rPr>
          <w:rFonts w:ascii="Arial" w:hAnsi="Arial" w:cs="Arial"/>
        </w:rPr>
        <w:t>.</w:t>
      </w:r>
    </w:p>
    <w:p w14:paraId="504F7E83" w14:textId="77777777" w:rsidR="00863FF7" w:rsidRPr="00863FF7" w:rsidRDefault="00863FF7" w:rsidP="00863FF7"/>
    <w:p w14:paraId="20B1FE47" w14:textId="1F7525AE" w:rsidR="001D12EE" w:rsidRPr="00934583" w:rsidRDefault="00C97699" w:rsidP="00934583">
      <w:pPr>
        <w:pStyle w:val="Nagwek1"/>
      </w:pPr>
      <w:bookmarkStart w:id="2" w:name="_Toc535846689"/>
      <w:r w:rsidRPr="00934583">
        <w:lastRenderedPageBreak/>
        <w:t>Wymagania</w:t>
      </w:r>
      <w:r w:rsidR="001D12EE" w:rsidRPr="00934583">
        <w:t xml:space="preserve"> </w:t>
      </w:r>
      <w:r w:rsidRPr="00934583">
        <w:t>dotyczące opracowania zasad zapewniania jakości kształcenia praktycznego wg regulaminu konkursu MEN</w:t>
      </w:r>
      <w:bookmarkEnd w:id="2"/>
    </w:p>
    <w:p w14:paraId="6774B372" w14:textId="77777777" w:rsidR="001D12EE" w:rsidRPr="000963B2" w:rsidRDefault="001D12EE" w:rsidP="001D12EE">
      <w:pPr>
        <w:spacing w:line="360" w:lineRule="auto"/>
        <w:jc w:val="center"/>
        <w:rPr>
          <w:rFonts w:ascii="Arial" w:hAnsi="Arial" w:cs="Arial"/>
          <w:b/>
        </w:rPr>
      </w:pPr>
    </w:p>
    <w:p w14:paraId="0F688375" w14:textId="77777777" w:rsidR="00934583" w:rsidRDefault="001873CE" w:rsidP="000963B2">
      <w:p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>Konkurs jest organizowany w ramach II Osi Priorytetowej Programu Operacyjnego Wiedza Edukacja Rozwój (PO WER) Efektywne polityki publiczne dla rynku pracy, gospodarki i edukacji, Działanie 2.15 Kształcenie i szkolenie zawodowe dostosowane do potrzeb zmieniającej się gospodarki, typ operacji:</w:t>
      </w:r>
    </w:p>
    <w:p w14:paraId="0EEB176F" w14:textId="6E5D613E" w:rsidR="001873CE" w:rsidRPr="000963B2" w:rsidRDefault="001873CE" w:rsidP="000963B2">
      <w:p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 </w:t>
      </w:r>
    </w:p>
    <w:p w14:paraId="7695D394" w14:textId="77777777" w:rsidR="001873CE" w:rsidRPr="000963B2" w:rsidRDefault="001873CE" w:rsidP="000963B2">
      <w:pPr>
        <w:spacing w:line="360" w:lineRule="auto"/>
        <w:ind w:left="708"/>
        <w:rPr>
          <w:rFonts w:ascii="Arial" w:hAnsi="Arial" w:cs="Arial"/>
        </w:rPr>
      </w:pPr>
      <w:r w:rsidRPr="000963B2">
        <w:rPr>
          <w:rFonts w:ascii="Arial" w:hAnsi="Arial" w:cs="Arial"/>
          <w:i/>
        </w:rPr>
        <w:t>Przygotowanie rozwiązań w zakresie angażowania pracodawców w organizację praktycznej nauki zawodu</w:t>
      </w:r>
      <w:r w:rsidRPr="000963B2">
        <w:rPr>
          <w:rFonts w:ascii="Arial" w:hAnsi="Arial" w:cs="Arial"/>
        </w:rPr>
        <w:t xml:space="preserve">, w tym: </w:t>
      </w:r>
    </w:p>
    <w:p w14:paraId="526EFB7C" w14:textId="77777777" w:rsidR="001873CE" w:rsidRPr="000963B2" w:rsidRDefault="001873CE" w:rsidP="000963B2">
      <w:pPr>
        <w:spacing w:line="360" w:lineRule="auto"/>
        <w:ind w:left="708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a) opracowanie ram jakości staży i praktyk dla uczniów realizujących kształcenie praktyczne w przedsiębiorstwach, z uwzględnieniem europejskich ram staży zawodowych, </w:t>
      </w:r>
    </w:p>
    <w:p w14:paraId="2A11B489" w14:textId="243D5304" w:rsidR="001873CE" w:rsidRPr="000963B2" w:rsidRDefault="001873CE" w:rsidP="000963B2">
      <w:pPr>
        <w:spacing w:line="360" w:lineRule="auto"/>
        <w:ind w:left="708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b) opracowanie modelowych </w:t>
      </w:r>
      <w:r w:rsidRPr="002D25AA">
        <w:rPr>
          <w:rFonts w:ascii="Arial" w:hAnsi="Arial" w:cs="Arial"/>
        </w:rPr>
        <w:t>programów praktycznej nauki zawodu</w:t>
      </w:r>
      <w:r w:rsidRPr="000963B2">
        <w:rPr>
          <w:rFonts w:ascii="Arial" w:hAnsi="Arial" w:cs="Arial"/>
        </w:rPr>
        <w:t xml:space="preserve"> dla </w:t>
      </w:r>
      <w:r w:rsidR="002D25AA">
        <w:rPr>
          <w:rFonts w:ascii="Arial" w:hAnsi="Arial" w:cs="Arial"/>
        </w:rPr>
        <w:t xml:space="preserve">wybranych </w:t>
      </w:r>
      <w:r w:rsidRPr="000963B2">
        <w:rPr>
          <w:rFonts w:ascii="Arial" w:hAnsi="Arial" w:cs="Arial"/>
        </w:rPr>
        <w:t>zawodów.</w:t>
      </w:r>
    </w:p>
    <w:p w14:paraId="61A996DA" w14:textId="77777777" w:rsidR="000963B2" w:rsidRDefault="000963B2" w:rsidP="000963B2">
      <w:pPr>
        <w:spacing w:line="360" w:lineRule="auto"/>
        <w:rPr>
          <w:rFonts w:ascii="Arial" w:hAnsi="Arial" w:cs="Arial"/>
        </w:rPr>
      </w:pPr>
    </w:p>
    <w:p w14:paraId="4D4C0409" w14:textId="77777777" w:rsidR="000963B2" w:rsidRDefault="009D5DCE" w:rsidP="000963B2">
      <w:p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Projekty składane w odpowiedzi na konkurs powinny przyczyniać się do realizacji celów PO WER, w szczególności muszą wpisywać się w realizację celu szczegółowego Osi Priorytetowej II: </w:t>
      </w:r>
      <w:r w:rsidRPr="000963B2">
        <w:rPr>
          <w:rFonts w:ascii="Arial" w:hAnsi="Arial" w:cs="Arial"/>
          <w:i/>
        </w:rPr>
        <w:t>Dostosowanie kształcenia i szkolenia zawodowego do potrzeb rynku pracy poprzez zaangażowanie przedstawicieli pracodawców i pracowników na wszystkich etapach jego programowania</w:t>
      </w:r>
      <w:r w:rsidR="000963B2">
        <w:rPr>
          <w:rFonts w:ascii="Arial" w:hAnsi="Arial" w:cs="Arial"/>
        </w:rPr>
        <w:t>.</w:t>
      </w:r>
    </w:p>
    <w:p w14:paraId="0F286187" w14:textId="77777777" w:rsidR="000963B2" w:rsidRDefault="000963B2" w:rsidP="000963B2">
      <w:pPr>
        <w:spacing w:line="360" w:lineRule="auto"/>
        <w:jc w:val="both"/>
        <w:rPr>
          <w:rFonts w:ascii="Arial" w:hAnsi="Arial" w:cs="Arial"/>
        </w:rPr>
      </w:pPr>
    </w:p>
    <w:p w14:paraId="5EF7B991" w14:textId="34A092B1" w:rsidR="000963B2" w:rsidRDefault="000963B2" w:rsidP="000963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kryterium 6 regulaminu, w</w:t>
      </w:r>
      <w:r w:rsidRPr="000963B2">
        <w:rPr>
          <w:rFonts w:ascii="Arial" w:hAnsi="Arial" w:cs="Arial"/>
        </w:rPr>
        <w:t xml:space="preserve"> ramach prac zostaną</w:t>
      </w:r>
      <w:r>
        <w:rPr>
          <w:rFonts w:ascii="Arial" w:hAnsi="Arial" w:cs="Arial"/>
        </w:rPr>
        <w:t xml:space="preserve"> </w:t>
      </w:r>
      <w:r w:rsidRPr="000963B2">
        <w:rPr>
          <w:rFonts w:ascii="Arial" w:hAnsi="Arial" w:cs="Arial"/>
        </w:rPr>
        <w:t>wykorzystane polskie i europejskie doświadczenia w zakresie tworzenia zasad i narzędzi</w:t>
      </w:r>
      <w:r>
        <w:rPr>
          <w:rFonts w:ascii="Arial" w:hAnsi="Arial" w:cs="Arial"/>
        </w:rPr>
        <w:t xml:space="preserve"> </w:t>
      </w:r>
      <w:r w:rsidRPr="000963B2">
        <w:rPr>
          <w:rFonts w:ascii="Arial" w:hAnsi="Arial" w:cs="Arial"/>
        </w:rPr>
        <w:t xml:space="preserve">zapewniania jakości, w tym </w:t>
      </w:r>
      <w:r w:rsidRPr="002D25AA">
        <w:rPr>
          <w:rFonts w:ascii="Arial" w:hAnsi="Arial" w:cs="Arial"/>
        </w:rPr>
        <w:t>Polskie Ramy Jakości Staży i Praktyk</w:t>
      </w:r>
      <w:r w:rsidRPr="000963B2">
        <w:rPr>
          <w:rFonts w:ascii="Arial" w:hAnsi="Arial" w:cs="Arial"/>
        </w:rPr>
        <w:t>, europejskie ramy staży</w:t>
      </w:r>
      <w:r>
        <w:rPr>
          <w:rFonts w:ascii="Arial" w:hAnsi="Arial" w:cs="Arial"/>
        </w:rPr>
        <w:t xml:space="preserve"> </w:t>
      </w:r>
      <w:r w:rsidRPr="000963B2">
        <w:rPr>
          <w:rFonts w:ascii="Arial" w:hAnsi="Arial" w:cs="Arial"/>
        </w:rPr>
        <w:t>zawodowych oraz rozwiązania wypracowane w projekcie TRIFT</w:t>
      </w:r>
      <w:r>
        <w:rPr>
          <w:rFonts w:ascii="Arial" w:hAnsi="Arial" w:cs="Arial"/>
        </w:rPr>
        <w:t>.</w:t>
      </w:r>
    </w:p>
    <w:p w14:paraId="7A054D77" w14:textId="77777777" w:rsidR="000963B2" w:rsidRDefault="000963B2" w:rsidP="000963B2">
      <w:pPr>
        <w:spacing w:line="360" w:lineRule="auto"/>
        <w:jc w:val="both"/>
        <w:rPr>
          <w:rFonts w:ascii="Arial" w:hAnsi="Arial" w:cs="Arial"/>
        </w:rPr>
      </w:pPr>
    </w:p>
    <w:p w14:paraId="726E2EEB" w14:textId="34675927" w:rsidR="009D5DCE" w:rsidRPr="000963B2" w:rsidRDefault="000963B2" w:rsidP="000963B2">
      <w:pPr>
        <w:spacing w:line="360" w:lineRule="auto"/>
        <w:jc w:val="both"/>
        <w:rPr>
          <w:rFonts w:ascii="Arial" w:hAnsi="Arial" w:cs="Arial"/>
        </w:rPr>
      </w:pPr>
      <w:r w:rsidRPr="002D25AA">
        <w:rPr>
          <w:rFonts w:ascii="Arial" w:hAnsi="Arial" w:cs="Arial"/>
        </w:rPr>
        <w:t>Z wytycznych wynika</w:t>
      </w:r>
      <w:r>
        <w:rPr>
          <w:rFonts w:ascii="Arial" w:hAnsi="Arial" w:cs="Arial"/>
        </w:rPr>
        <w:t>, że o</w:t>
      </w:r>
      <w:r w:rsidR="009D5DCE" w:rsidRPr="000963B2">
        <w:rPr>
          <w:rFonts w:ascii="Arial" w:hAnsi="Arial" w:cs="Arial"/>
        </w:rPr>
        <w:t xml:space="preserve">pracowane zasady zapewniania jakości kształcenia praktycznego </w:t>
      </w:r>
      <w:r>
        <w:rPr>
          <w:rFonts w:ascii="Arial" w:hAnsi="Arial" w:cs="Arial"/>
        </w:rPr>
        <w:t>muszą bezpośrednio</w:t>
      </w:r>
      <w:r w:rsidR="009D5DCE" w:rsidRPr="000963B2">
        <w:rPr>
          <w:rFonts w:ascii="Arial" w:hAnsi="Arial" w:cs="Arial"/>
        </w:rPr>
        <w:t xml:space="preserve"> odnosić się do modelowych programów praktycznej nauki zawodu. A zatem powinny odnosić się do następujących kwestii:</w:t>
      </w:r>
    </w:p>
    <w:p w14:paraId="596568AF" w14:textId="3DE66DEC" w:rsidR="001D12EE" w:rsidRPr="000963B2" w:rsidRDefault="001D12EE" w:rsidP="00096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lastRenderedPageBreak/>
        <w:t xml:space="preserve">treści </w:t>
      </w:r>
      <w:r w:rsidR="009D5DCE" w:rsidRPr="000963B2">
        <w:rPr>
          <w:rFonts w:ascii="Arial" w:hAnsi="Arial" w:cs="Arial"/>
        </w:rPr>
        <w:t>kształcenia i efekty uczenia się – powiązania, kolejność kształcenia, możliwość realizacji w rzeczywistych warunkach pracy</w:t>
      </w:r>
      <w:r w:rsidR="00816D87">
        <w:rPr>
          <w:rFonts w:ascii="Arial" w:hAnsi="Arial" w:cs="Arial"/>
        </w:rPr>
        <w:t>,</w:t>
      </w:r>
    </w:p>
    <w:p w14:paraId="226DF1F9" w14:textId="3C32110F" w:rsidR="001D12EE" w:rsidRPr="000963B2" w:rsidRDefault="001D12EE" w:rsidP="00096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rozwiązania </w:t>
      </w:r>
      <w:r w:rsidR="009D5DCE" w:rsidRPr="000963B2">
        <w:rPr>
          <w:rFonts w:ascii="Arial" w:hAnsi="Arial" w:cs="Arial"/>
        </w:rPr>
        <w:t>organizacyjne w zakresie realizacji zajęć praktycznych, a także praktyk zawodowych w rzeczywistych warunkach pracy,</w:t>
      </w:r>
    </w:p>
    <w:p w14:paraId="6EE89341" w14:textId="0D52EFEF" w:rsidR="001D12EE" w:rsidRPr="000963B2" w:rsidRDefault="009D5DCE" w:rsidP="00096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>umowy pomiędzy szkołami, pracodawcami i ew. CKZ;</w:t>
      </w:r>
      <w:r w:rsidR="001D12EE" w:rsidRPr="000963B2">
        <w:rPr>
          <w:rFonts w:ascii="Arial" w:hAnsi="Arial" w:cs="Arial"/>
        </w:rPr>
        <w:t xml:space="preserve"> </w:t>
      </w:r>
    </w:p>
    <w:p w14:paraId="73C3B9DD" w14:textId="26E9E9AB" w:rsidR="009D5DCE" w:rsidRPr="000963B2" w:rsidRDefault="009D5DCE" w:rsidP="00096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 xml:space="preserve">monitorowanie jakości kształcenia praktycznego realizowanego przez uczniów w </w:t>
      </w:r>
      <w:r w:rsidR="002D25AA">
        <w:rPr>
          <w:rFonts w:ascii="Arial" w:hAnsi="Arial" w:cs="Arial"/>
        </w:rPr>
        <w:t xml:space="preserve">szkołach, </w:t>
      </w:r>
      <w:r w:rsidRPr="002D25AA">
        <w:rPr>
          <w:rFonts w:ascii="Arial" w:hAnsi="Arial" w:cs="Arial"/>
        </w:rPr>
        <w:t>CKZ</w:t>
      </w:r>
      <w:r w:rsidR="002D25AA" w:rsidRPr="002D25AA">
        <w:rPr>
          <w:rFonts w:ascii="Arial" w:hAnsi="Arial" w:cs="Arial"/>
        </w:rPr>
        <w:t>iU</w:t>
      </w:r>
      <w:r w:rsidR="002D25AA">
        <w:rPr>
          <w:rFonts w:ascii="Arial" w:hAnsi="Arial" w:cs="Arial"/>
        </w:rPr>
        <w:t xml:space="preserve"> </w:t>
      </w:r>
      <w:r w:rsidRPr="000963B2">
        <w:rPr>
          <w:rFonts w:ascii="Arial" w:hAnsi="Arial" w:cs="Arial"/>
        </w:rPr>
        <w:t>i u pracodawcy</w:t>
      </w:r>
    </w:p>
    <w:p w14:paraId="6B660E7C" w14:textId="59A8A6A2" w:rsidR="001D12EE" w:rsidRPr="000963B2" w:rsidRDefault="000963B2" w:rsidP="00096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63B2">
        <w:rPr>
          <w:rFonts w:ascii="Arial" w:hAnsi="Arial" w:cs="Arial"/>
        </w:rPr>
        <w:t>angażowanie nauczycieli.</w:t>
      </w:r>
    </w:p>
    <w:p w14:paraId="61AFD36A" w14:textId="77777777" w:rsidR="001D12EE" w:rsidRPr="000963B2" w:rsidRDefault="001D12EE" w:rsidP="001D12EE">
      <w:pPr>
        <w:rPr>
          <w:rFonts w:ascii="Arial" w:hAnsi="Arial" w:cs="Arial"/>
        </w:rPr>
      </w:pPr>
      <w:r w:rsidRPr="000963B2">
        <w:rPr>
          <w:rFonts w:ascii="Arial" w:hAnsi="Arial" w:cs="Arial"/>
        </w:rPr>
        <w:br w:type="page"/>
      </w:r>
    </w:p>
    <w:p w14:paraId="314E8165" w14:textId="2F96CF71" w:rsidR="001D12EE" w:rsidRPr="000963B2" w:rsidRDefault="008C3E0C" w:rsidP="00934583">
      <w:pPr>
        <w:pStyle w:val="Nagwek1"/>
      </w:pPr>
      <w:bookmarkStart w:id="3" w:name="_Toc535846690"/>
      <w:r>
        <w:lastRenderedPageBreak/>
        <w:t>Opis wybranych polskich i europejskich doświadczeń</w:t>
      </w:r>
      <w:r w:rsidR="000963B2" w:rsidRPr="000963B2">
        <w:t xml:space="preserve"> w zakresie tworzenia zasad i narzędzi zapewniania jakości</w:t>
      </w:r>
      <w:bookmarkEnd w:id="3"/>
      <w:r w:rsidR="000963B2" w:rsidRPr="000963B2">
        <w:t xml:space="preserve"> </w:t>
      </w:r>
    </w:p>
    <w:p w14:paraId="2BC6CB25" w14:textId="77777777" w:rsidR="001D12EE" w:rsidRPr="000963B2" w:rsidRDefault="001D12EE" w:rsidP="001D12EE">
      <w:pPr>
        <w:pStyle w:val="Akapitzlist"/>
        <w:jc w:val="both"/>
        <w:rPr>
          <w:rFonts w:ascii="Arial" w:hAnsi="Arial" w:cs="Arial"/>
          <w:b/>
        </w:rPr>
      </w:pPr>
    </w:p>
    <w:p w14:paraId="70D39D84" w14:textId="53EABA60" w:rsidR="00391E1D" w:rsidRPr="00C27162" w:rsidRDefault="00404886" w:rsidP="00C27162">
      <w:pPr>
        <w:pStyle w:val="Nagwek2"/>
      </w:pPr>
      <w:bookmarkStart w:id="4" w:name="_Toc535846691"/>
      <w:r w:rsidRPr="00C27162">
        <w:t xml:space="preserve">Polskie Ramy Jakości Staży </w:t>
      </w:r>
      <w:r>
        <w:t>i</w:t>
      </w:r>
      <w:r w:rsidRPr="00C27162">
        <w:t xml:space="preserve"> Praktyk</w:t>
      </w:r>
      <w:bookmarkEnd w:id="4"/>
    </w:p>
    <w:p w14:paraId="79A641AD" w14:textId="7ADECEF1" w:rsidR="00925E03" w:rsidRDefault="000963B2" w:rsidP="000963B2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  <w:r w:rsidRPr="00391E1D">
        <w:rPr>
          <w:rFonts w:ascii="Arial" w:hAnsi="Arial" w:cs="Arial"/>
        </w:rPr>
        <w:t>Polskie Ramy Jakości Staży i Praktyk</w:t>
      </w:r>
      <w:r>
        <w:rPr>
          <w:rFonts w:ascii="Arial" w:hAnsi="Arial" w:cs="Arial"/>
        </w:rPr>
        <w:t xml:space="preserve"> zostały </w:t>
      </w:r>
      <w:r w:rsidR="001D12EE" w:rsidRPr="000963B2">
        <w:rPr>
          <w:rFonts w:ascii="Arial" w:hAnsi="Arial" w:cs="Arial"/>
        </w:rPr>
        <w:t>opracowane przez Polskie Stowarzyszenie Zarządzania Kadr</w:t>
      </w:r>
      <w:r>
        <w:rPr>
          <w:rFonts w:ascii="Arial" w:hAnsi="Arial" w:cs="Arial"/>
        </w:rPr>
        <w:t>ami w 2014 r.</w:t>
      </w:r>
      <w:r w:rsidR="001D12EE" w:rsidRPr="00096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="001D12EE" w:rsidRPr="000963B2">
        <w:rPr>
          <w:rFonts w:ascii="Arial" w:hAnsi="Arial" w:cs="Arial"/>
        </w:rPr>
        <w:t xml:space="preserve">to zbiór norm i standardów organizacji i realizacji wysokiej jakości programów staży i praktyk w Polsce.  </w:t>
      </w:r>
    </w:p>
    <w:p w14:paraId="348AC902" w14:textId="1F2262E1" w:rsidR="00925E03" w:rsidRDefault="00925E03" w:rsidP="000963B2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</w:p>
    <w:p w14:paraId="7B849379" w14:textId="39B318B3" w:rsidR="00F846C9" w:rsidRDefault="00391E1D" w:rsidP="00213368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  <w:r w:rsidRPr="00391E1D">
        <w:rPr>
          <w:rFonts w:ascii="Arial" w:hAnsi="Arial" w:cs="Arial"/>
        </w:rPr>
        <w:t>Polskie Ramy Jakości Staży i Praktyk</w:t>
      </w:r>
      <w:r>
        <w:rPr>
          <w:rFonts w:ascii="Arial" w:hAnsi="Arial" w:cs="Arial"/>
        </w:rPr>
        <w:t xml:space="preserve"> powstały w </w:t>
      </w:r>
      <w:r w:rsidR="00F846C9">
        <w:rPr>
          <w:rFonts w:ascii="Arial" w:hAnsi="Arial" w:cs="Arial"/>
        </w:rPr>
        <w:t xml:space="preserve">ramach programu </w:t>
      </w:r>
      <w:r>
        <w:rPr>
          <w:rFonts w:ascii="Arial" w:hAnsi="Arial" w:cs="Arial"/>
        </w:rPr>
        <w:t>o takiej samej nazwie, który uzyskał patronat Ministerstwa</w:t>
      </w:r>
      <w:r w:rsidRPr="00391E1D">
        <w:rPr>
          <w:rFonts w:ascii="Arial" w:hAnsi="Arial" w:cs="Arial"/>
        </w:rPr>
        <w:t xml:space="preserve"> Nauki i Szkoln</w:t>
      </w:r>
      <w:r>
        <w:rPr>
          <w:rFonts w:ascii="Arial" w:hAnsi="Arial" w:cs="Arial"/>
        </w:rPr>
        <w:t>ictwa Wyższego oraz Ministerstwa</w:t>
      </w:r>
      <w:r w:rsidRPr="00391E1D">
        <w:rPr>
          <w:rFonts w:ascii="Arial" w:hAnsi="Arial" w:cs="Arial"/>
        </w:rPr>
        <w:t xml:space="preserve"> Pracy i Polityki Społecznej</w:t>
      </w:r>
      <w:r>
        <w:rPr>
          <w:rFonts w:ascii="Arial" w:hAnsi="Arial" w:cs="Arial"/>
        </w:rPr>
        <w:t>. Według strony internetowej programu (</w:t>
      </w:r>
      <w:hyperlink r:id="rId8" w:history="1">
        <w:r w:rsidRPr="001E25A5">
          <w:rPr>
            <w:rStyle w:val="Hipercze"/>
            <w:rFonts w:ascii="Arial" w:hAnsi="Arial" w:cs="Arial"/>
          </w:rPr>
          <w:t>http://stazeipraktyki.pl</w:t>
        </w:r>
      </w:hyperlink>
      <w:r>
        <w:rPr>
          <w:rFonts w:ascii="Arial" w:hAnsi="Arial" w:cs="Arial"/>
        </w:rPr>
        <w:t>) m</w:t>
      </w:r>
      <w:r w:rsidR="00F846C9" w:rsidRPr="00F846C9">
        <w:rPr>
          <w:rFonts w:ascii="Arial" w:hAnsi="Arial" w:cs="Arial"/>
        </w:rPr>
        <w:t>isją Programu jest zwiększenie liczby pracodawców oferujących wysokiej jakości staże i praktyki oraz korzystających z nich uczniów i studentów, poprawa sytuacji młodych ludzi na rynku pracy, zmniejszenie luki kompetencyjnej w przedsiębiors</w:t>
      </w:r>
      <w:r w:rsidR="00F846C9" w:rsidRPr="00213368">
        <w:rPr>
          <w:rFonts w:ascii="Arial" w:hAnsi="Arial" w:cs="Arial"/>
        </w:rPr>
        <w:t>twach i bardziej efektywna współpraca sektora biznesu z sektorem edukacji.</w:t>
      </w:r>
    </w:p>
    <w:p w14:paraId="26C76D69" w14:textId="77777777" w:rsidR="00213368" w:rsidRPr="00213368" w:rsidRDefault="00213368" w:rsidP="00213368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</w:p>
    <w:p w14:paraId="12C83957" w14:textId="0DF71633" w:rsidR="00391E1D" w:rsidRDefault="00391E1D" w:rsidP="00391E1D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  <w:r w:rsidRPr="00391E1D">
        <w:rPr>
          <w:rFonts w:ascii="Arial" w:hAnsi="Arial" w:cs="Arial"/>
        </w:rPr>
        <w:t>Polskie Ramy Jakości Staży i Praktyk</w:t>
      </w:r>
      <w:r>
        <w:rPr>
          <w:rFonts w:ascii="Arial" w:hAnsi="Arial" w:cs="Arial"/>
        </w:rPr>
        <w:t xml:space="preserve"> zostały podzielone na</w:t>
      </w:r>
      <w:r w:rsidR="00B30A07">
        <w:rPr>
          <w:rFonts w:ascii="Arial" w:hAnsi="Arial" w:cs="Arial"/>
        </w:rPr>
        <w:t xml:space="preserve"> 6 obszarów tematycznych przedstawionych </w:t>
      </w:r>
      <w:r>
        <w:rPr>
          <w:rFonts w:ascii="Arial" w:hAnsi="Arial" w:cs="Arial"/>
        </w:rPr>
        <w:t>poniżej.</w:t>
      </w:r>
    </w:p>
    <w:p w14:paraId="5B1B4A3D" w14:textId="77777777" w:rsidR="00213368" w:rsidRDefault="00213368" w:rsidP="00391E1D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</w:p>
    <w:p w14:paraId="49558BAB" w14:textId="0CABADC0" w:rsidR="00391E1D" w:rsidRPr="00391E1D" w:rsidRDefault="00391E1D" w:rsidP="00391E1D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</w:rPr>
      </w:pPr>
      <w:r w:rsidRPr="00391E1D">
        <w:rPr>
          <w:rFonts w:ascii="Arial" w:hAnsi="Arial" w:cs="Arial"/>
          <w:i/>
        </w:rPr>
        <w:t>Ramka 1. Polskie Ramy Jakości Staży i Praktyk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91E1D" w14:paraId="1994E89F" w14:textId="77777777" w:rsidTr="00391E1D">
        <w:tc>
          <w:tcPr>
            <w:tcW w:w="9742" w:type="dxa"/>
          </w:tcPr>
          <w:p w14:paraId="2B89B451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Przygotowanie do realizacji programu i rekrutacja </w:t>
            </w:r>
          </w:p>
          <w:p w14:paraId="5CD7446A" w14:textId="77777777" w:rsidR="00391E1D" w:rsidRPr="000963B2" w:rsidRDefault="00391E1D" w:rsidP="002905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praktyki lub stażu dostępny jest w formie spisanego dokumentu. </w:t>
            </w:r>
          </w:p>
          <w:p w14:paraId="4968912A" w14:textId="77777777" w:rsidR="00391E1D" w:rsidRPr="000963B2" w:rsidRDefault="00391E1D" w:rsidP="002905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Miejsce pracy praktykanta lub stażysty jest odpowiednio przygotowane. </w:t>
            </w:r>
          </w:p>
          <w:p w14:paraId="4B95DF5C" w14:textId="77777777" w:rsidR="00391E1D" w:rsidRPr="000963B2" w:rsidRDefault="00391E1D" w:rsidP="002905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jest transparentnie komunikowany zdefiniowanej grupie odbiorców. </w:t>
            </w:r>
          </w:p>
          <w:p w14:paraId="4FA6A3DD" w14:textId="77777777" w:rsidR="00391E1D" w:rsidRPr="000963B2" w:rsidRDefault="00391E1D" w:rsidP="002905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Proces rekrutacji do programu jest przeprowadzany rzetelnie. </w:t>
            </w:r>
          </w:p>
          <w:p w14:paraId="46E92E26" w14:textId="77777777" w:rsidR="00391E1D" w:rsidRPr="000963B2" w:rsidRDefault="00391E1D" w:rsidP="0029050F">
            <w:pPr>
              <w:pStyle w:val="Akapitzlist"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Proces adaptacji praktykanta lub stażysty funkcjonuje w formie spisanego dokumentu. </w:t>
            </w:r>
          </w:p>
          <w:p w14:paraId="7A9C51FA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Umowa </w:t>
            </w:r>
          </w:p>
          <w:p w14:paraId="5A01CC6B" w14:textId="77777777" w:rsidR="00391E1D" w:rsidRPr="000963B2" w:rsidRDefault="00391E1D" w:rsidP="0029050F">
            <w:pPr>
              <w:pStyle w:val="Akapitzlist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lastRenderedPageBreak/>
              <w:t xml:space="preserve">Między zaangażowanymi w program stronami zostaje zawarta pisemna umowa. </w:t>
            </w:r>
          </w:p>
          <w:p w14:paraId="120C1498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Walor edukacyjny </w:t>
            </w:r>
          </w:p>
          <w:p w14:paraId="747EB806" w14:textId="77777777" w:rsidR="00391E1D" w:rsidRPr="000963B2" w:rsidRDefault="00391E1D" w:rsidP="002905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ma zdefiniowane cele edukacyjne. </w:t>
            </w:r>
          </w:p>
          <w:p w14:paraId="3C66AFD9" w14:textId="77777777" w:rsidR="00391E1D" w:rsidRPr="000963B2" w:rsidRDefault="00391E1D" w:rsidP="002905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ma zdefiniowane treści edukacyjne. </w:t>
            </w:r>
          </w:p>
          <w:p w14:paraId="4A74E070" w14:textId="77777777" w:rsidR="00391E1D" w:rsidRPr="000963B2" w:rsidRDefault="00391E1D" w:rsidP="0029050F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ma zdefiniowany zakres obowiązków.  </w:t>
            </w:r>
          </w:p>
          <w:p w14:paraId="00D302E8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Opieka i mentoring </w:t>
            </w:r>
          </w:p>
          <w:p w14:paraId="3A232612" w14:textId="77777777" w:rsidR="00391E1D" w:rsidRPr="000963B2" w:rsidRDefault="00391E1D" w:rsidP="0029050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Opiekunowie lub mentorzy przyszłych praktykantów lub stażystów wyznaczani są na etapie przygotowań do realizacji programu. </w:t>
            </w:r>
          </w:p>
          <w:p w14:paraId="71784552" w14:textId="77777777" w:rsidR="00391E1D" w:rsidRPr="000963B2" w:rsidRDefault="00391E1D" w:rsidP="0029050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Każdy przyjęty praktykant lub stażysta ma przydzielonego opiekuna lub mentora. </w:t>
            </w:r>
          </w:p>
          <w:p w14:paraId="2E085CB7" w14:textId="77777777" w:rsidR="00391E1D" w:rsidRPr="000963B2" w:rsidRDefault="00391E1D" w:rsidP="0029050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Opiekun lub mentor wprowadza praktykanta lub stażystę w zakres obowiązków oraz zasady i procedury obowiązujące w organizacji. </w:t>
            </w:r>
          </w:p>
          <w:p w14:paraId="11D9B120" w14:textId="77777777" w:rsidR="00391E1D" w:rsidRPr="000963B2" w:rsidRDefault="00391E1D" w:rsidP="0029050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Opiekun lub mentor monitoruje realizację przydzielonego w programie zakresu obowiązków oraz celów edukacyjnych. </w:t>
            </w:r>
          </w:p>
          <w:p w14:paraId="676CC787" w14:textId="77777777" w:rsidR="00391E1D" w:rsidRPr="000963B2" w:rsidRDefault="00391E1D" w:rsidP="0029050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Opiekun lub mentor udziela informacji zwrotnej praktykantowi lub stażyście na temat osiąganych wyników i stopnia realizacji zadań. </w:t>
            </w:r>
          </w:p>
          <w:p w14:paraId="532F7B01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Czas trwania, wynagrodzenie i opieka socjalna </w:t>
            </w:r>
          </w:p>
          <w:p w14:paraId="5F8EC3F5" w14:textId="77777777" w:rsidR="00391E1D" w:rsidRPr="000963B2" w:rsidRDefault="00391E1D" w:rsidP="0029050F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8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praktyki lub stażu ma jasno określony czas trwania i nie trwa krócej niż 1 miesiąc i nie dłużej niż 24 miesiące. </w:t>
            </w:r>
          </w:p>
          <w:p w14:paraId="03006BBE" w14:textId="77777777" w:rsidR="00391E1D" w:rsidRPr="000963B2" w:rsidRDefault="00391E1D" w:rsidP="0029050F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trwający 1 miesiąc może być płatny lub bezpłatny. </w:t>
            </w:r>
          </w:p>
          <w:p w14:paraId="4232146A" w14:textId="77777777" w:rsidR="00391E1D" w:rsidRPr="000963B2" w:rsidRDefault="00391E1D" w:rsidP="0029050F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Program trwający dłużej niż 1 miesiąc jest obligatoryjnie płatny. </w:t>
            </w:r>
          </w:p>
          <w:p w14:paraId="16460FCA" w14:textId="77777777" w:rsidR="00391E1D" w:rsidRPr="000963B2" w:rsidRDefault="00391E1D" w:rsidP="0029050F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Ogólne ubezpieczenie zdrowotne oraz ubezpieczenie od następstw nieszczęśliwych wypadków są zapewnione praktykantowi lub stażyście podczas trwania programu. </w:t>
            </w:r>
          </w:p>
          <w:p w14:paraId="18D8645E" w14:textId="77777777" w:rsidR="00391E1D" w:rsidRPr="000963B2" w:rsidRDefault="00391E1D" w:rsidP="0029050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  <w:b/>
              </w:rPr>
              <w:t xml:space="preserve">Ocena programu </w:t>
            </w:r>
          </w:p>
          <w:p w14:paraId="408F3587" w14:textId="77777777" w:rsidR="00391E1D" w:rsidRPr="000963B2" w:rsidRDefault="00391E1D" w:rsidP="0029050F">
            <w:pPr>
              <w:pStyle w:val="Akapitzlist"/>
              <w:numPr>
                <w:ilvl w:val="0"/>
                <w:numId w:val="8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Po ukończeniu programu praktykant lub stażysta otrzymuje pisemne potwierdzenie jego realizacji opisane językiem efektów uczenia się. </w:t>
            </w:r>
          </w:p>
          <w:p w14:paraId="507E5522" w14:textId="4DBC8287" w:rsidR="00391E1D" w:rsidRPr="00391E1D" w:rsidRDefault="00391E1D" w:rsidP="0029050F">
            <w:pPr>
              <w:pStyle w:val="Akapitzlist"/>
              <w:numPr>
                <w:ilvl w:val="0"/>
                <w:numId w:val="8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Pracodawca umożliwia praktykantowi lub stażyście ocenę programu praktyki lub stażu w formie pisemnej. </w:t>
            </w:r>
            <w:r w:rsidRPr="000963B2">
              <w:rPr>
                <w:rFonts w:ascii="Arial" w:hAnsi="Arial" w:cs="Arial"/>
              </w:rPr>
              <w:tab/>
            </w:r>
          </w:p>
        </w:tc>
      </w:tr>
    </w:tbl>
    <w:p w14:paraId="6B3B7B4B" w14:textId="0A60F606" w:rsidR="00925E03" w:rsidRDefault="00925E03" w:rsidP="000963B2">
      <w:pPr>
        <w:pStyle w:val="Akapitzlist"/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Najważniejsze ogólne zasady wynikające z </w:t>
      </w:r>
      <w:r w:rsidR="00391E1D">
        <w:rPr>
          <w:rFonts w:ascii="Arial" w:hAnsi="Arial" w:cs="Arial"/>
        </w:rPr>
        <w:t>Polskich Ram</w:t>
      </w:r>
      <w:r w:rsidR="00391E1D" w:rsidRPr="00391E1D">
        <w:rPr>
          <w:rFonts w:ascii="Arial" w:hAnsi="Arial" w:cs="Arial"/>
        </w:rPr>
        <w:t xml:space="preserve"> Jakości Staży i Praktyk</w:t>
      </w:r>
      <w:r w:rsidR="00391E1D">
        <w:rPr>
          <w:rFonts w:ascii="Arial" w:hAnsi="Arial" w:cs="Arial"/>
        </w:rPr>
        <w:t xml:space="preserve"> dla zasad zapewniania jakości kształcenia praktycznego u pracodawców to</w:t>
      </w:r>
      <w:r>
        <w:rPr>
          <w:rFonts w:ascii="Arial" w:hAnsi="Arial" w:cs="Arial"/>
        </w:rPr>
        <w:t>:</w:t>
      </w:r>
    </w:p>
    <w:p w14:paraId="433755A6" w14:textId="701DAE6F" w:rsidR="001D12EE" w:rsidRPr="000963B2" w:rsidRDefault="00391E1D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Kształcenie praktyczne powinno zostać zrealizowane</w:t>
      </w:r>
      <w:r w:rsidR="00925E03">
        <w:rPr>
          <w:rFonts w:ascii="Arial" w:hAnsi="Arial" w:cs="Arial"/>
        </w:rPr>
        <w:t xml:space="preserve"> na podstawie</w:t>
      </w:r>
      <w:r w:rsidR="001D12EE" w:rsidRPr="000963B2">
        <w:rPr>
          <w:rFonts w:ascii="Arial" w:hAnsi="Arial" w:cs="Arial"/>
        </w:rPr>
        <w:t xml:space="preserve"> </w:t>
      </w:r>
      <w:r w:rsidR="00925E03">
        <w:rPr>
          <w:rFonts w:ascii="Arial" w:hAnsi="Arial" w:cs="Arial"/>
        </w:rPr>
        <w:t xml:space="preserve">ustalonego </w:t>
      </w:r>
      <w:r w:rsidR="001D12EE" w:rsidRPr="000963B2">
        <w:rPr>
          <w:rFonts w:ascii="Arial" w:hAnsi="Arial" w:cs="Arial"/>
        </w:rPr>
        <w:t>program</w:t>
      </w:r>
      <w:r w:rsidR="00925E03">
        <w:rPr>
          <w:rFonts w:ascii="Arial" w:hAnsi="Arial" w:cs="Arial"/>
        </w:rPr>
        <w:t xml:space="preserve">u – opracowanego </w:t>
      </w:r>
      <w:r w:rsidR="00F846C9">
        <w:rPr>
          <w:rFonts w:ascii="Arial" w:hAnsi="Arial" w:cs="Arial"/>
        </w:rPr>
        <w:t>w formie pisemnej</w:t>
      </w:r>
      <w:r>
        <w:rPr>
          <w:rFonts w:ascii="Arial" w:hAnsi="Arial" w:cs="Arial"/>
        </w:rPr>
        <w:t>;</w:t>
      </w:r>
      <w:r w:rsidR="00F846C9">
        <w:rPr>
          <w:rFonts w:ascii="Arial" w:hAnsi="Arial" w:cs="Arial"/>
        </w:rPr>
        <w:t xml:space="preserve"> </w:t>
      </w:r>
    </w:p>
    <w:p w14:paraId="3CDD9453" w14:textId="5BE1A433" w:rsidR="001D12EE" w:rsidRPr="000963B2" w:rsidRDefault="00F846C9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Opracowany program powinien obejmować zdefiniowane </w:t>
      </w:r>
      <w:r w:rsidR="001D12EE" w:rsidRPr="000963B2">
        <w:rPr>
          <w:rFonts w:ascii="Arial" w:hAnsi="Arial" w:cs="Arial"/>
        </w:rPr>
        <w:t xml:space="preserve">cele edukacyjne </w:t>
      </w:r>
      <w:r>
        <w:rPr>
          <w:rFonts w:ascii="Arial" w:hAnsi="Arial" w:cs="Arial"/>
        </w:rPr>
        <w:t>oraz określać treści edukacyjne</w:t>
      </w:r>
      <w:r w:rsidR="00391E1D">
        <w:rPr>
          <w:rFonts w:ascii="Arial" w:hAnsi="Arial" w:cs="Arial"/>
        </w:rPr>
        <w:t xml:space="preserve"> i być sformułowany z wykorzystaniem efektów uczenia się;</w:t>
      </w:r>
    </w:p>
    <w:p w14:paraId="01F109E1" w14:textId="29296349" w:rsidR="001D12EE" w:rsidRPr="000963B2" w:rsidRDefault="00F846C9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12EE" w:rsidRPr="000963B2">
        <w:rPr>
          <w:rFonts w:ascii="Arial" w:hAnsi="Arial" w:cs="Arial"/>
        </w:rPr>
        <w:t xml:space="preserve">akres obowiązków </w:t>
      </w:r>
      <w:r>
        <w:rPr>
          <w:rFonts w:ascii="Arial" w:hAnsi="Arial" w:cs="Arial"/>
        </w:rPr>
        <w:t>stron oraz osób uczestniczących w procesie kształcenia powinien zostać jasno określony</w:t>
      </w:r>
      <w:r w:rsidR="00391E1D">
        <w:rPr>
          <w:rFonts w:ascii="Arial" w:hAnsi="Arial" w:cs="Arial"/>
        </w:rPr>
        <w:t>;</w:t>
      </w:r>
    </w:p>
    <w:p w14:paraId="1714A8E0" w14:textId="331BC645" w:rsidR="001D12EE" w:rsidRPr="000963B2" w:rsidRDefault="00F846C9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powinien być pod opieką</w:t>
      </w:r>
      <w:r w:rsidR="001D12EE" w:rsidRPr="000963B2">
        <w:rPr>
          <w:rFonts w:ascii="Arial" w:hAnsi="Arial" w:cs="Arial"/>
        </w:rPr>
        <w:t xml:space="preserve"> mentorska </w:t>
      </w:r>
      <w:r>
        <w:rPr>
          <w:rFonts w:ascii="Arial" w:hAnsi="Arial" w:cs="Arial"/>
        </w:rPr>
        <w:t>w trakcie realizacji praktycznej nauki zawodu</w:t>
      </w:r>
      <w:r w:rsidR="00391E1D">
        <w:rPr>
          <w:rFonts w:ascii="Arial" w:hAnsi="Arial" w:cs="Arial"/>
        </w:rPr>
        <w:t>;</w:t>
      </w:r>
    </w:p>
    <w:p w14:paraId="0E9F4C55" w14:textId="4F3DA83E" w:rsidR="001D12EE" w:rsidRPr="000963B2" w:rsidRDefault="00F846C9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 procesu kształcenia powinien zostać przedstawiony (podsumowany) z wykorzystaniem języka </w:t>
      </w:r>
      <w:r w:rsidR="001D12EE" w:rsidRPr="000963B2">
        <w:rPr>
          <w:rFonts w:ascii="Arial" w:hAnsi="Arial" w:cs="Arial"/>
        </w:rPr>
        <w:t xml:space="preserve">efektów uczenia się </w:t>
      </w:r>
      <w:r w:rsidR="00391E1D">
        <w:rPr>
          <w:rFonts w:ascii="Arial" w:hAnsi="Arial" w:cs="Arial"/>
        </w:rPr>
        <w:t>– na przykład w postaci certyfikatu;</w:t>
      </w:r>
    </w:p>
    <w:p w14:paraId="104010C7" w14:textId="4DC982C6" w:rsidR="001D12EE" w:rsidRPr="000963B2" w:rsidRDefault="00F846C9" w:rsidP="002905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Niezbędnym elementem zapewnienia jakości </w:t>
      </w:r>
      <w:r w:rsidR="00391E1D">
        <w:rPr>
          <w:rFonts w:ascii="Arial" w:hAnsi="Arial" w:cs="Arial"/>
        </w:rPr>
        <w:t xml:space="preserve">praktycznej nauki zawodu </w:t>
      </w:r>
      <w:r>
        <w:rPr>
          <w:rFonts w:ascii="Arial" w:hAnsi="Arial" w:cs="Arial"/>
        </w:rPr>
        <w:t>jest obustronna informacja zwrotna</w:t>
      </w:r>
      <w:r w:rsidR="00391E1D">
        <w:rPr>
          <w:rFonts w:ascii="Arial" w:hAnsi="Arial" w:cs="Arial"/>
        </w:rPr>
        <w:t>, zarówno</w:t>
      </w:r>
      <w:r>
        <w:rPr>
          <w:rFonts w:ascii="Arial" w:hAnsi="Arial" w:cs="Arial"/>
        </w:rPr>
        <w:t xml:space="preserve"> w trakcie </w:t>
      </w:r>
      <w:r w:rsidR="00391E1D">
        <w:rPr>
          <w:rFonts w:ascii="Arial" w:hAnsi="Arial" w:cs="Arial"/>
        </w:rPr>
        <w:t xml:space="preserve">nauki, jak </w:t>
      </w:r>
      <w:r>
        <w:rPr>
          <w:rFonts w:ascii="Arial" w:hAnsi="Arial" w:cs="Arial"/>
        </w:rPr>
        <w:t>i po jej zakończeniu.</w:t>
      </w:r>
    </w:p>
    <w:p w14:paraId="68490D7B" w14:textId="77777777" w:rsidR="00925E03" w:rsidRDefault="00925E03" w:rsidP="001D12EE">
      <w:pPr>
        <w:spacing w:line="360" w:lineRule="auto"/>
        <w:jc w:val="both"/>
        <w:rPr>
          <w:rFonts w:ascii="Arial" w:hAnsi="Arial" w:cs="Arial"/>
        </w:rPr>
      </w:pPr>
    </w:p>
    <w:p w14:paraId="6F121FE8" w14:textId="77777777" w:rsidR="001D12EE" w:rsidRPr="000963B2" w:rsidRDefault="001D12EE" w:rsidP="001D12E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255F00AB" w14:textId="534821AD" w:rsidR="001D12EE" w:rsidRPr="00C27162" w:rsidRDefault="00404886" w:rsidP="00C27162">
      <w:pPr>
        <w:pStyle w:val="Nagwek2"/>
      </w:pPr>
      <w:bookmarkStart w:id="5" w:name="_Toc535846692"/>
      <w:r>
        <w:t>Zalecenie w sprawie E</w:t>
      </w:r>
      <w:r w:rsidRPr="00C27162">
        <w:t>uropejskich Ram Jakości I Skuteczności Przygotowania Zawodowego</w:t>
      </w:r>
      <w:bookmarkEnd w:id="5"/>
    </w:p>
    <w:p w14:paraId="06199559" w14:textId="3979F05A" w:rsidR="00AC6273" w:rsidRDefault="00C27162" w:rsidP="001D12EE">
      <w:pPr>
        <w:spacing w:before="240" w:line="360" w:lineRule="auto"/>
        <w:jc w:val="both"/>
        <w:rPr>
          <w:rFonts w:ascii="Arial" w:hAnsi="Arial" w:cs="Arial"/>
        </w:rPr>
      </w:pPr>
      <w:r w:rsidRPr="00C27162">
        <w:rPr>
          <w:rFonts w:ascii="Arial" w:hAnsi="Arial" w:cs="Arial"/>
        </w:rPr>
        <w:t>Zalecenie Rady Unii Europejskiej z dnia 15 marca 2018 r. W sprawie europejskich ram jakości i skuteczności przygotowania zawodowego</w:t>
      </w:r>
      <w:r>
        <w:rPr>
          <w:rFonts w:ascii="Arial" w:hAnsi="Arial" w:cs="Arial"/>
        </w:rPr>
        <w:t xml:space="preserve"> </w:t>
      </w:r>
      <w:r w:rsidR="00AC6273">
        <w:rPr>
          <w:rFonts w:ascii="Arial" w:hAnsi="Arial" w:cs="Arial"/>
        </w:rPr>
        <w:t xml:space="preserve">stanowi, że: </w:t>
      </w:r>
    </w:p>
    <w:p w14:paraId="2AFD7978" w14:textId="367F33D8" w:rsidR="00AC6273" w:rsidRPr="00AC6273" w:rsidRDefault="00AC6273" w:rsidP="00AC6273">
      <w:pPr>
        <w:spacing w:before="240" w:line="360" w:lineRule="auto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t>„</w:t>
      </w:r>
      <w:r w:rsidR="001D12EE" w:rsidRPr="00AC6273">
        <w:rPr>
          <w:rFonts w:ascii="Arial" w:hAnsi="Arial" w:cs="Arial"/>
          <w:i/>
        </w:rPr>
        <w:t>(…)</w:t>
      </w:r>
      <w:r w:rsidRPr="00AC6273">
        <w:rPr>
          <w:rFonts w:ascii="Arial" w:hAnsi="Arial" w:cs="Arial"/>
          <w:i/>
        </w:rPr>
        <w:t xml:space="preserve"> </w:t>
      </w:r>
      <w:r w:rsidR="001D12EE" w:rsidRPr="00AC6273">
        <w:rPr>
          <w:rFonts w:ascii="Arial" w:hAnsi="Arial" w:cs="Arial"/>
          <w:i/>
        </w:rPr>
        <w:t>Państwa członkowskie powinny, zgodnie z ustawodawstwem krajowym i w ścisłej współpracy z interesariuszami, zapewnić, aby programy przygotowania zawodowego odpowiadały potrzebom rynku pracy i przynosiły korzyści zarówno osobom uczącym się, jak i pracodawcom, w oparciu o określone poniżej kryteria jakości i skuteczności przygotowania zawodowego.</w:t>
      </w:r>
    </w:p>
    <w:p w14:paraId="2474552F" w14:textId="46B85238" w:rsidR="001D12EE" w:rsidRPr="00AC6273" w:rsidRDefault="00AC6273" w:rsidP="001D12EE">
      <w:pPr>
        <w:spacing w:line="360" w:lineRule="auto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t>(…) pod</w:t>
      </w:r>
      <w:r w:rsidR="001D12EE" w:rsidRPr="00AC6273">
        <w:rPr>
          <w:rFonts w:ascii="Arial" w:hAnsi="Arial" w:cs="Arial"/>
          <w:i/>
        </w:rPr>
        <w:t xml:space="preserve"> pojęciem przygotowania zawodowego rozumie się programy formalnego kształcenia i szkolenia zawodowego, które:</w:t>
      </w:r>
    </w:p>
    <w:p w14:paraId="1DF4BE93" w14:textId="77777777" w:rsidR="001D12EE" w:rsidRPr="00AC6273" w:rsidRDefault="001D12EE" w:rsidP="00AC6273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t>a) łączą naukę w instytucjach kształcenia lub szkolenia ze znacznym komponentem uczenia się opartego na pracy w przedsiębiorstwach i innych miejscach pracy;</w:t>
      </w:r>
    </w:p>
    <w:p w14:paraId="513FC05A" w14:textId="77777777" w:rsidR="001D12EE" w:rsidRPr="00AC6273" w:rsidRDefault="001D12EE" w:rsidP="00AC6273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t>b) prowadzą do uzyskania kwalifikacji uznawanych w skali kraju;</w:t>
      </w:r>
    </w:p>
    <w:p w14:paraId="15C32A51" w14:textId="77777777" w:rsidR="001D12EE" w:rsidRPr="00AC6273" w:rsidRDefault="001D12EE" w:rsidP="00AC6273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lastRenderedPageBreak/>
        <w:t>c) opierają się na umowie definiującej prawa i obowiązki ucznia zawodu, pracodawcy, a w stosownych przypadkach, instytucji kształcenia i szkolenia zawodowego; oraz</w:t>
      </w:r>
    </w:p>
    <w:p w14:paraId="7B3B354C" w14:textId="77777777" w:rsidR="001D12EE" w:rsidRPr="00AC6273" w:rsidRDefault="001D12EE" w:rsidP="00AC6273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</w:rPr>
      </w:pPr>
      <w:r w:rsidRPr="00AC6273">
        <w:rPr>
          <w:rFonts w:ascii="Arial" w:hAnsi="Arial" w:cs="Arial"/>
          <w:i/>
        </w:rPr>
        <w:t xml:space="preserve">d) zapewniają uczniowi zawodu wynagrodzenie pieniężne lub inny rodzaj wynagrodzenia za komponent uczenia się opartego na pracy. </w:t>
      </w:r>
    </w:p>
    <w:p w14:paraId="70DC24CD" w14:textId="77777777" w:rsidR="00B75576" w:rsidRDefault="00B75576" w:rsidP="00AC6273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</w:p>
    <w:p w14:paraId="254E127C" w14:textId="277C913A" w:rsidR="00AC6273" w:rsidRDefault="00AC6273" w:rsidP="00AC6273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Najważniejszą  z punktu widzenia opracowywanych zasad zapewniania jakości kształcenia praktycznego treścią Zalecenia</w:t>
      </w:r>
      <w:r w:rsidRPr="00AC6273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>:</w:t>
      </w:r>
    </w:p>
    <w:p w14:paraId="25F9D70E" w14:textId="7D6FB429" w:rsidR="00AC6273" w:rsidRPr="002D25AA" w:rsidRDefault="00AC6273" w:rsidP="0029050F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 w:rsidRPr="002D25AA">
        <w:rPr>
          <w:rFonts w:ascii="Arial" w:hAnsi="Arial" w:cs="Arial"/>
        </w:rPr>
        <w:t>kryteria dotyczące warunków uczenia się i warunków pracy</w:t>
      </w:r>
      <w:r w:rsidR="002176F9" w:rsidRPr="002D25AA">
        <w:rPr>
          <w:rFonts w:ascii="Arial" w:hAnsi="Arial" w:cs="Arial"/>
        </w:rPr>
        <w:t>;</w:t>
      </w:r>
    </w:p>
    <w:p w14:paraId="66D41D60" w14:textId="62A6CD30" w:rsidR="00AC6273" w:rsidRPr="002D25AA" w:rsidRDefault="00AC6273" w:rsidP="0029050F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 w:rsidRPr="002D25AA">
        <w:rPr>
          <w:rFonts w:ascii="Arial" w:hAnsi="Arial" w:cs="Arial"/>
        </w:rPr>
        <w:t>kryteria dotyczące warunków ramowych</w:t>
      </w:r>
      <w:r w:rsidR="002176F9" w:rsidRPr="002D25AA">
        <w:rPr>
          <w:rFonts w:ascii="Arial" w:hAnsi="Arial" w:cs="Arial"/>
        </w:rPr>
        <w:t>;</w:t>
      </w:r>
    </w:p>
    <w:p w14:paraId="1F34F12D" w14:textId="7C0223AF" w:rsidR="00B75576" w:rsidRPr="00B75576" w:rsidRDefault="00B75576" w:rsidP="00B7557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punktu widzenia wspierania jakości kształcenia praktycznego znaczenie mają również:</w:t>
      </w:r>
    </w:p>
    <w:p w14:paraId="3490E1ED" w14:textId="562E93A4" w:rsidR="00AC6273" w:rsidRDefault="00AC6273" w:rsidP="0029050F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zalecenia dotyczące wdrożenia</w:t>
      </w:r>
      <w:r w:rsidRPr="00AC6273">
        <w:rPr>
          <w:rFonts w:ascii="Arial" w:hAnsi="Arial" w:cs="Arial"/>
        </w:rPr>
        <w:t xml:space="preserve"> na szczeblu krajowym</w:t>
      </w:r>
      <w:r w:rsidR="002176F9">
        <w:rPr>
          <w:rFonts w:ascii="Arial" w:hAnsi="Arial" w:cs="Arial"/>
        </w:rPr>
        <w:t>;</w:t>
      </w:r>
    </w:p>
    <w:p w14:paraId="3E3136F6" w14:textId="7C7940C3" w:rsidR="00AC6273" w:rsidRPr="000963B2" w:rsidRDefault="00AC6273" w:rsidP="0029050F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zalecenia odnoszące się do usług wsparcia, działań informacyjnych, finansowania i dalszych działań.</w:t>
      </w:r>
    </w:p>
    <w:p w14:paraId="0AC6BBFD" w14:textId="4F71EF56" w:rsidR="00AC6273" w:rsidRDefault="00AC6273" w:rsidP="00AC627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Zalecenia te przytaczam poniżej </w:t>
      </w:r>
      <w:r w:rsidR="00B50C5F">
        <w:rPr>
          <w:rFonts w:ascii="Arial" w:hAnsi="Arial" w:cs="Arial"/>
        </w:rPr>
        <w:t xml:space="preserve">(niemalże) </w:t>
      </w:r>
      <w:r>
        <w:rPr>
          <w:rFonts w:ascii="Arial" w:hAnsi="Arial" w:cs="Arial"/>
        </w:rPr>
        <w:t xml:space="preserve">w całości. Są one </w:t>
      </w:r>
      <w:r w:rsidR="00936F41">
        <w:rPr>
          <w:rFonts w:ascii="Arial" w:hAnsi="Arial" w:cs="Arial"/>
        </w:rPr>
        <w:t>zwięzłe, spójne z krajowymi ramami jakości staży i praktyk. Powinny one być bezpośrednio włączone do zasad zapewniania jakości kształcenia praktycznego realizowanego u pracodawcy.</w:t>
      </w:r>
    </w:p>
    <w:p w14:paraId="147DE4CF" w14:textId="77777777" w:rsidR="002176F9" w:rsidRDefault="002176F9" w:rsidP="002176F9">
      <w:pPr>
        <w:spacing w:after="160" w:line="259" w:lineRule="auto"/>
        <w:rPr>
          <w:rFonts w:ascii="Arial" w:hAnsi="Arial" w:cs="Arial"/>
          <w:i/>
        </w:rPr>
      </w:pPr>
    </w:p>
    <w:p w14:paraId="35348680" w14:textId="7C13890E" w:rsidR="002176F9" w:rsidRPr="002176F9" w:rsidRDefault="00936F41" w:rsidP="002176F9">
      <w:pPr>
        <w:spacing w:after="160" w:line="259" w:lineRule="auto"/>
        <w:rPr>
          <w:rFonts w:ascii="Arial" w:hAnsi="Arial" w:cs="Arial"/>
          <w:i/>
        </w:rPr>
      </w:pPr>
      <w:r w:rsidRPr="00B75576">
        <w:rPr>
          <w:rFonts w:ascii="Arial" w:hAnsi="Arial" w:cs="Arial"/>
          <w:i/>
        </w:rPr>
        <w:t>Ramka 2. Europejskie ramy jakości i skuteczności przygotowania zawodowego</w:t>
      </w:r>
      <w:r w:rsidR="00B75576" w:rsidRPr="00B75576">
        <w:rPr>
          <w:rFonts w:ascii="Arial" w:hAnsi="Arial" w:cs="Arial"/>
          <w:i/>
        </w:rPr>
        <w:t xml:space="preserve"> </w:t>
      </w:r>
      <w:r w:rsidR="002176F9">
        <w:rPr>
          <w:rFonts w:ascii="Arial" w:hAnsi="Arial" w:cs="Arial"/>
          <w:i/>
        </w:rPr>
        <w:t>– wyciąg</w:t>
      </w:r>
    </w:p>
    <w:tbl>
      <w:tblPr>
        <w:tblStyle w:val="Tabela-Siatka"/>
        <w:tblW w:w="9409" w:type="dxa"/>
        <w:tblLook w:val="04A0" w:firstRow="1" w:lastRow="0" w:firstColumn="1" w:lastColumn="0" w:noHBand="0" w:noVBand="1"/>
      </w:tblPr>
      <w:tblGrid>
        <w:gridCol w:w="1924"/>
        <w:gridCol w:w="7485"/>
      </w:tblGrid>
      <w:tr w:rsidR="00B50C5F" w:rsidRPr="000963B2" w14:paraId="51072BA5" w14:textId="77777777" w:rsidTr="002176F9">
        <w:trPr>
          <w:trHeight w:val="416"/>
        </w:trPr>
        <w:tc>
          <w:tcPr>
            <w:tcW w:w="9409" w:type="dxa"/>
            <w:gridSpan w:val="2"/>
          </w:tcPr>
          <w:p w14:paraId="38D4A693" w14:textId="1582E751" w:rsidR="00B50C5F" w:rsidRPr="000963B2" w:rsidRDefault="00B50C5F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  <w:b/>
              </w:rPr>
              <w:t>Kryteria dotyczące warunków uczenia się i warunków pracy</w:t>
            </w:r>
          </w:p>
        </w:tc>
      </w:tr>
      <w:tr w:rsidR="001D12EE" w:rsidRPr="000963B2" w14:paraId="14C1C819" w14:textId="77777777" w:rsidTr="002176F9">
        <w:trPr>
          <w:trHeight w:val="1266"/>
        </w:trPr>
        <w:tc>
          <w:tcPr>
            <w:tcW w:w="1924" w:type="dxa"/>
          </w:tcPr>
          <w:p w14:paraId="1EA5C330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Umowa w formie pisemnej</w:t>
            </w:r>
          </w:p>
          <w:p w14:paraId="583DCC06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55C8D5E0" w14:textId="77777777" w:rsidR="001D12EE" w:rsidRPr="000963B2" w:rsidRDefault="001D12EE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Przed rozpoczęciem przygotowania zawodowego powinna zostać zawarta pisemna umowa definiująca prawa i obowiązki ucznia zawodu, pracodawcy, a w stosownych przypadkach, instytucji kształcenia i szkolenia zawodowego, w zakresie warunków uczenia się i warunków pracy.</w:t>
            </w:r>
          </w:p>
        </w:tc>
      </w:tr>
      <w:tr w:rsidR="001D12EE" w:rsidRPr="000963B2" w14:paraId="6987E361" w14:textId="77777777" w:rsidTr="002176F9">
        <w:trPr>
          <w:trHeight w:val="198"/>
        </w:trPr>
        <w:tc>
          <w:tcPr>
            <w:tcW w:w="1924" w:type="dxa"/>
          </w:tcPr>
          <w:p w14:paraId="692612C3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Efekty uczenia się</w:t>
            </w:r>
          </w:p>
          <w:p w14:paraId="74AABF11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5570F585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</w:rPr>
              <w:t xml:space="preserve">Pracodawcy i instytucje kształcenia i szkolenia zawodowego oraz, w stosownych przypadkach, związki zawodowe, powinni uzgodnić zapewnienie zestawu kompleksowych efektów uczenia się określonych zgodnie z ustawodawstwem krajowym. Należy zadbać o </w:t>
            </w:r>
            <w:r w:rsidRPr="000963B2">
              <w:rPr>
                <w:rFonts w:ascii="Arial" w:hAnsi="Arial" w:cs="Arial"/>
              </w:rPr>
              <w:lastRenderedPageBreak/>
              <w:t>równowagę między umiejętnościami związanymi z danym stanowiskiem, wiedzą i kompetencjami kluczowymi dla uczenia się przez całe życie, wspierając zarówno rozwój osobisty uczniów zawodu, jak i możliwości ich rozwoju zawodowego przez całe życie, tak by mogli dostosowywać się do zmieniających się modeli kariery zawodowej</w:t>
            </w:r>
          </w:p>
        </w:tc>
      </w:tr>
      <w:tr w:rsidR="001D12EE" w:rsidRPr="000963B2" w14:paraId="73051380" w14:textId="77777777" w:rsidTr="002176F9">
        <w:trPr>
          <w:trHeight w:val="205"/>
        </w:trPr>
        <w:tc>
          <w:tcPr>
            <w:tcW w:w="1924" w:type="dxa"/>
          </w:tcPr>
          <w:p w14:paraId="1D2AE7F1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lastRenderedPageBreak/>
              <w:t>Wsparcie pedagogiczne</w:t>
            </w:r>
          </w:p>
          <w:p w14:paraId="1210CB04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2949105A" w14:textId="77777777" w:rsidR="001D12EE" w:rsidRPr="000963B2" w:rsidRDefault="001D12EE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Wewnątrz przedsiębiorstw powinni zostać wyznaczeni szkoleniowcy, których zadaniem powinna być ścisła współpraca z instytucjami kształcenia i szkolenia zawodowego i nauczycielami, tak aby dostarczać wsparcia uczniom zawodu oraz zapewniać wzajemne i regularne przekazywanie informacji zwrotnych. Nauczyciele, szkoleniowcy i mentorzy, zwłaszcza w mikroprzedsiębiorstwach oraz małych i średnich przedsiębiorstwach, powinni otrzymywać wsparcie w zakresie podnoszenia swoich umiejętności, wiedzy i kompetencji, tak by mogli szkolić uczniów zawodu zgodnie z najnowszymi metodami nauczania i szkolenia oraz potrzebami rynku pracy.</w:t>
            </w:r>
          </w:p>
        </w:tc>
      </w:tr>
      <w:tr w:rsidR="001D12EE" w:rsidRPr="000963B2" w14:paraId="741433F8" w14:textId="77777777" w:rsidTr="002176F9">
        <w:trPr>
          <w:trHeight w:val="198"/>
        </w:trPr>
        <w:tc>
          <w:tcPr>
            <w:tcW w:w="1924" w:type="dxa"/>
          </w:tcPr>
          <w:p w14:paraId="24CA084B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Komponent dotyczący miejsca pracy</w:t>
            </w:r>
          </w:p>
          <w:p w14:paraId="75ACE335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049570C7" w14:textId="77777777" w:rsidR="001D12EE" w:rsidRPr="000963B2" w:rsidRDefault="001D12EE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Znaczna część przygotowania zawodowego, czyli co najmniej połowa, powinna odbywać się w miejscu pracy, a tam gdzie to możliwe część tego komponentu powinna być możliwa do zrealizowania za granicą. Przy uwzględnieniu różnorodności systemów krajowych celem jest stopniowe uzyskiwanie takiego udziału uczenia się opartego na pracy w ramach przygotowania zawodowego.</w:t>
            </w:r>
          </w:p>
        </w:tc>
      </w:tr>
      <w:tr w:rsidR="001D12EE" w:rsidRPr="000963B2" w14:paraId="22D16B53" w14:textId="77777777" w:rsidTr="002176F9">
        <w:trPr>
          <w:trHeight w:val="198"/>
        </w:trPr>
        <w:tc>
          <w:tcPr>
            <w:tcW w:w="1924" w:type="dxa"/>
          </w:tcPr>
          <w:p w14:paraId="461A9B58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Wynagrodzenie pieniężne lub inny rodzaj wynagrodzenia</w:t>
            </w:r>
          </w:p>
        </w:tc>
        <w:tc>
          <w:tcPr>
            <w:tcW w:w="7485" w:type="dxa"/>
          </w:tcPr>
          <w:p w14:paraId="05C64854" w14:textId="77777777" w:rsidR="001D12EE" w:rsidRPr="000963B2" w:rsidRDefault="001D12EE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Uczniowie zawodu powinni otrzymywać wynagrodzenie pieniężne lub inny rodzaj wynagrodzenia, zgodnie z wymogami krajowymi lub sektorowymi bądź układami zbiorowymi, gdy takie istnieją, i z uwzględnieniem uzgodnień dotyczących podziału kosztów między pracodawcami i władzami publicznymi.</w:t>
            </w:r>
          </w:p>
        </w:tc>
      </w:tr>
      <w:tr w:rsidR="001D12EE" w:rsidRPr="000963B2" w14:paraId="1304B14D" w14:textId="77777777" w:rsidTr="002176F9">
        <w:trPr>
          <w:trHeight w:val="205"/>
        </w:trPr>
        <w:tc>
          <w:tcPr>
            <w:tcW w:w="1924" w:type="dxa"/>
          </w:tcPr>
          <w:p w14:paraId="570F1A74" w14:textId="77777777" w:rsidR="001D12EE" w:rsidRPr="000963B2" w:rsidRDefault="001D12EE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Ochrona socjalna</w:t>
            </w:r>
          </w:p>
          <w:p w14:paraId="7976C308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5C250383" w14:textId="77777777" w:rsidR="001D12EE" w:rsidRPr="000963B2" w:rsidRDefault="001D12EE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Uczniowie zawodu powinni być uprawnieni do ochrony socjalnej, w tym do niezbędnego ubezpieczenia zgodnie z ustawodawstwem krajowym</w:t>
            </w:r>
          </w:p>
        </w:tc>
      </w:tr>
      <w:tr w:rsidR="001D12EE" w:rsidRPr="000963B2" w14:paraId="6F251B49" w14:textId="77777777" w:rsidTr="002176F9">
        <w:trPr>
          <w:trHeight w:val="189"/>
        </w:trPr>
        <w:tc>
          <w:tcPr>
            <w:tcW w:w="1924" w:type="dxa"/>
          </w:tcPr>
          <w:p w14:paraId="3612A25A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</w:rPr>
              <w:t>Warunki pracy, warunki zdrowia i bezpieczeństwa</w:t>
            </w:r>
          </w:p>
        </w:tc>
        <w:tc>
          <w:tcPr>
            <w:tcW w:w="7485" w:type="dxa"/>
          </w:tcPr>
          <w:p w14:paraId="03EB2633" w14:textId="77777777" w:rsidR="001D12EE" w:rsidRPr="000963B2" w:rsidRDefault="001D12EE" w:rsidP="00217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963B2">
              <w:rPr>
                <w:rFonts w:ascii="Arial" w:hAnsi="Arial" w:cs="Arial"/>
              </w:rPr>
              <w:t>W przyjmującym miejscu pracy powinny być spełnione odpowiednie zasady i przepisy dotyczące warunków pracy, w szczególności w zakresie zdrowia i bezpieczeństwa</w:t>
            </w:r>
          </w:p>
        </w:tc>
      </w:tr>
      <w:tr w:rsidR="00B50C5F" w:rsidRPr="000963B2" w14:paraId="7FFFD21D" w14:textId="77777777" w:rsidTr="002176F9">
        <w:trPr>
          <w:trHeight w:val="189"/>
        </w:trPr>
        <w:tc>
          <w:tcPr>
            <w:tcW w:w="9409" w:type="dxa"/>
            <w:gridSpan w:val="2"/>
          </w:tcPr>
          <w:p w14:paraId="0CB111AD" w14:textId="1092B142" w:rsidR="00B50C5F" w:rsidRPr="000963B2" w:rsidRDefault="00B50C5F" w:rsidP="00217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  <w:b/>
              </w:rPr>
              <w:t>Kryteria dotyczące warunków ramowych</w:t>
            </w:r>
          </w:p>
        </w:tc>
      </w:tr>
      <w:tr w:rsidR="00B50C5F" w:rsidRPr="000963B2" w14:paraId="40A83555" w14:textId="77777777" w:rsidTr="002176F9">
        <w:tblPrEx>
          <w:tblCellMar>
            <w:left w:w="85" w:type="dxa"/>
            <w:right w:w="85" w:type="dxa"/>
          </w:tblCellMar>
        </w:tblPrEx>
        <w:trPr>
          <w:trHeight w:val="1266"/>
        </w:trPr>
        <w:tc>
          <w:tcPr>
            <w:tcW w:w="1924" w:type="dxa"/>
          </w:tcPr>
          <w:p w14:paraId="6BF58D99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Ramy regulacyjne </w:t>
            </w:r>
          </w:p>
          <w:p w14:paraId="464613C1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09709F9E" w14:textId="70C3DD28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Powinny istnieć jasne i spójne ramy regulacyjne oparte na uczciwym i sprawiedliwym podejściu partnerskim, w tym na zorganizowanym i przejrzystym dialogu wszystkich interesariuszy. Dla przedsiębiorstw i miejsc pracy oferujących przygotowanie zawodowe może to </w:t>
            </w:r>
            <w:r w:rsidRPr="000963B2">
              <w:rPr>
                <w:rFonts w:ascii="Arial" w:hAnsi="Arial" w:cs="Arial"/>
              </w:rPr>
              <w:lastRenderedPageBreak/>
              <w:t>oznaczać konieczność przejścia procedur akredytacji lub poddania się innym środkom zapewniania jakości.</w:t>
            </w:r>
          </w:p>
        </w:tc>
      </w:tr>
      <w:tr w:rsidR="00B50C5F" w:rsidRPr="000963B2" w14:paraId="0791EE39" w14:textId="77777777" w:rsidTr="002176F9">
        <w:tblPrEx>
          <w:tblCellMar>
            <w:left w:w="85" w:type="dxa"/>
            <w:right w:w="85" w:type="dxa"/>
          </w:tblCellMar>
        </w:tblPrEx>
        <w:trPr>
          <w:trHeight w:val="1266"/>
        </w:trPr>
        <w:tc>
          <w:tcPr>
            <w:tcW w:w="1924" w:type="dxa"/>
          </w:tcPr>
          <w:p w14:paraId="1012DBEB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lastRenderedPageBreak/>
              <w:t>Zaangażowanie partnerów społecznych</w:t>
            </w:r>
          </w:p>
        </w:tc>
        <w:tc>
          <w:tcPr>
            <w:tcW w:w="7485" w:type="dxa"/>
          </w:tcPr>
          <w:p w14:paraId="3E8B7846" w14:textId="68EBFD2F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Partnerzy społeczni, w tym, w stosownych przypadkach, na poziomie sektorowym, lub podmioty pośredniczące powinni być zaangażowani w projektowanie program-ów przygotowania zawodowego, zarządzanie nimi i ich wdrażanie, zgodnie z </w:t>
            </w:r>
            <w:r w:rsidR="00B75576">
              <w:rPr>
                <w:rFonts w:ascii="Arial" w:hAnsi="Arial" w:cs="Arial"/>
              </w:rPr>
              <w:t>krajo</w:t>
            </w:r>
            <w:r w:rsidRPr="000963B2">
              <w:rPr>
                <w:rFonts w:ascii="Arial" w:hAnsi="Arial" w:cs="Arial"/>
              </w:rPr>
              <w:t>wymi systemami w zakresie stosunków pracy i praktykami w dziedzinie kształcenia i szkolenia.</w:t>
            </w:r>
          </w:p>
        </w:tc>
      </w:tr>
      <w:tr w:rsidR="00B50C5F" w:rsidRPr="000963B2" w14:paraId="2C11A1DE" w14:textId="77777777" w:rsidTr="002176F9">
        <w:tblPrEx>
          <w:tblCellMar>
            <w:left w:w="85" w:type="dxa"/>
            <w:right w:w="85" w:type="dxa"/>
          </w:tblCellMar>
        </w:tblPrEx>
        <w:trPr>
          <w:trHeight w:val="1561"/>
        </w:trPr>
        <w:tc>
          <w:tcPr>
            <w:tcW w:w="1924" w:type="dxa"/>
          </w:tcPr>
          <w:p w14:paraId="046CBD8E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Wsparcie dla przedsiębiorstw </w:t>
            </w:r>
          </w:p>
          <w:p w14:paraId="5AB09094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42A76D1C" w14:textId="0FC41770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Należy przewidzieć wsparcie finansowe lub niefina</w:t>
            </w:r>
            <w:r w:rsidR="00B75576">
              <w:rPr>
                <w:rFonts w:ascii="Arial" w:hAnsi="Arial" w:cs="Arial"/>
              </w:rPr>
              <w:t>nsowe, zwłaszcza dla mikroprzed</w:t>
            </w:r>
            <w:r w:rsidRPr="000963B2">
              <w:rPr>
                <w:rFonts w:ascii="Arial" w:hAnsi="Arial" w:cs="Arial"/>
              </w:rPr>
              <w:t xml:space="preserve">siębiorstw oraz małych i średnich przedsiębiorstw, umożliwiające firmom oferowanie racjonalnego pod względem kosztów przygotowania zawodowego, z uwzględnieniem w stosownych przypadkach uzgodnień dotyczących podziału kosztów między pracodawcami i władzami publicznymi.   </w:t>
            </w:r>
          </w:p>
        </w:tc>
      </w:tr>
      <w:tr w:rsidR="00B50C5F" w:rsidRPr="000963B2" w14:paraId="079CE5A7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3B7B7B32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Elastyczne ścieżki kształcenia i mobilność </w:t>
            </w:r>
          </w:p>
          <w:p w14:paraId="0B31F3D3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1663A425" w14:textId="24161234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Z myślą o ułatwieniu dostępu warunki uczestnictwa w przygotowaniu zawodowym powinny uwzględniać uczenie się pozaformalne i nieformalne lub, w stosownych przypadkach, ukończenie programów przygotowawczych. Kwalifikacje uzyskane poprzez przygotowanie zawodowe powinny zostać</w:t>
            </w:r>
            <w:r w:rsidR="00B75576">
              <w:rPr>
                <w:rFonts w:ascii="Arial" w:hAnsi="Arial" w:cs="Arial"/>
              </w:rPr>
              <w:t xml:space="preserve"> włączone do krajowych ram kwal</w:t>
            </w:r>
            <w:r w:rsidRPr="000963B2">
              <w:rPr>
                <w:rFonts w:ascii="Arial" w:hAnsi="Arial" w:cs="Arial"/>
              </w:rPr>
              <w:t>ifikacji odniesionych do europejskich ram kwalifika</w:t>
            </w:r>
            <w:r w:rsidR="00B75576">
              <w:rPr>
                <w:rFonts w:ascii="Arial" w:hAnsi="Arial" w:cs="Arial"/>
              </w:rPr>
              <w:t>cji (ERK). Przygotowanie zawodo</w:t>
            </w:r>
            <w:r w:rsidRPr="000963B2">
              <w:rPr>
                <w:rFonts w:ascii="Arial" w:hAnsi="Arial" w:cs="Arial"/>
              </w:rPr>
              <w:t>we powinno pozwalać na dostęp do innych możliwości uczenia się, w tym na wyż-szych poziomach kształcenia i szkolenia, do ścieżek kariery lub, w stosownych przypadkach, umożliwiać akumulację jednostek efektów uczenia się. Transnarodowa mobilność uczniów zawodu, w ramach miejsca pracy lub instytucji kształcenia i szkolenia, powinna być stopniowo propagowana jako element kwalifikacji zdobywanych w ramach przygotowania zawodowego.</w:t>
            </w:r>
          </w:p>
        </w:tc>
      </w:tr>
      <w:tr w:rsidR="00B50C5F" w:rsidRPr="000963B2" w14:paraId="442B5FCD" w14:textId="77777777" w:rsidTr="002176F9">
        <w:tblPrEx>
          <w:tblCellMar>
            <w:left w:w="85" w:type="dxa"/>
            <w:right w:w="85" w:type="dxa"/>
          </w:tblCellMar>
        </w:tblPrEx>
        <w:trPr>
          <w:trHeight w:val="198"/>
        </w:trPr>
        <w:tc>
          <w:tcPr>
            <w:tcW w:w="1924" w:type="dxa"/>
          </w:tcPr>
          <w:p w14:paraId="2922F2B7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Poradnictwo zawodowe i działania informacyjne </w:t>
            </w:r>
          </w:p>
          <w:p w14:paraId="3CC60F0D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153C44E2" w14:textId="3B88ADF5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Przed rozpoczęciem przygotowania zawodowego i w jego trakcie należy zapewnić osobom uczącym się poradnictwo zawodowe, opiekę mentora i wsparcie, by zadbać o osiąganie pozytywnych wyników, zapobiegać wczesnemu przerywaniu takiego przygotowania i zmniejszyć skalę tego zjawiska, a także by wspierać osoby uczące się w ponownym włączeniu się w odpowiednie ścieżki kształ</w:t>
            </w:r>
            <w:r w:rsidR="00B75576">
              <w:rPr>
                <w:rFonts w:ascii="Arial" w:hAnsi="Arial" w:cs="Arial"/>
              </w:rPr>
              <w:t>cenia i szkolenia. Przygoto</w:t>
            </w:r>
            <w:r w:rsidRPr="000963B2">
              <w:rPr>
                <w:rFonts w:ascii="Arial" w:hAnsi="Arial" w:cs="Arial"/>
              </w:rPr>
              <w:t>wanie zawodowe powinno być propagowane poprzez szeroko zakrojone działania informacyjne jako atrakcyjna ścieżka uczenia się.</w:t>
            </w:r>
          </w:p>
        </w:tc>
      </w:tr>
      <w:tr w:rsidR="00B50C5F" w:rsidRPr="000963B2" w14:paraId="1D0D1BAD" w14:textId="77777777" w:rsidTr="002176F9">
        <w:tblPrEx>
          <w:tblCellMar>
            <w:left w:w="85" w:type="dxa"/>
            <w:right w:w="85" w:type="dxa"/>
          </w:tblCellMar>
        </w:tblPrEx>
        <w:trPr>
          <w:trHeight w:val="198"/>
        </w:trPr>
        <w:tc>
          <w:tcPr>
            <w:tcW w:w="1924" w:type="dxa"/>
          </w:tcPr>
          <w:p w14:paraId="4F07232C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lastRenderedPageBreak/>
              <w:t xml:space="preserve">Przejrzystość </w:t>
            </w:r>
          </w:p>
          <w:p w14:paraId="5FDD37CF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44B2DE76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Należy zapewnić przejrzystość ofert przygotowania zawodowego w obrębie państw członkowskich i między państwami członkowskimi oraz dostęp do nich, m.in. przy wsparciu publicznych i prywatnych służb zatrudnienia, a także innych odpowiednich organów, a w stosownych przypadkach, za pomocą unijnych narzędzi, takich jak EURES, jak przewidują przepisy rozporządzenia o EURES.</w:t>
            </w:r>
          </w:p>
        </w:tc>
      </w:tr>
      <w:tr w:rsidR="00B50C5F" w:rsidRPr="000963B2" w14:paraId="3B6C93BE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1AEB8847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Zapewnianie jakości i monitorowanie losów uczniów zawodu </w:t>
            </w:r>
          </w:p>
          <w:p w14:paraId="58D7C9C2" w14:textId="77777777" w:rsidR="00B50C5F" w:rsidRPr="000963B2" w:rsidRDefault="00B50C5F" w:rsidP="002176F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485" w:type="dxa"/>
          </w:tcPr>
          <w:p w14:paraId="6963F9A1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Należy stosować podejścia służące zapewnieniu jakości, uwzględniające </w:t>
            </w:r>
            <w:r w:rsidRPr="002176F9">
              <w:rPr>
                <w:rFonts w:ascii="Arial" w:hAnsi="Arial" w:cs="Arial"/>
              </w:rPr>
              <w:t>europejskie ramy odniesienia na rzecz zapewniania jakości w kształceniu i szkoleniu zawodowym</w:t>
            </w:r>
            <w:r w:rsidRPr="000963B2">
              <w:rPr>
                <w:rFonts w:ascii="Arial" w:hAnsi="Arial" w:cs="Arial"/>
              </w:rPr>
              <w:t xml:space="preserve"> (EQAVET), w tym proces umożliwiający przeprowadzenie prawidłowej i rzetelnej oceny efektów uczenia się. Należy starać się monitorować zatrudnienie i przebieg kariery uczniów zawodu, przy poszanowaniu krajowych i europejskich przepisów ochrony danych.</w:t>
            </w:r>
          </w:p>
        </w:tc>
      </w:tr>
      <w:tr w:rsidR="00B50C5F" w:rsidRPr="000963B2" w14:paraId="6AFE21B5" w14:textId="77777777" w:rsidTr="002176F9">
        <w:tblPrEx>
          <w:tblCellMar>
            <w:left w:w="85" w:type="dxa"/>
            <w:right w:w="85" w:type="dxa"/>
          </w:tblCellMar>
        </w:tblPrEx>
        <w:trPr>
          <w:trHeight w:val="133"/>
        </w:trPr>
        <w:tc>
          <w:tcPr>
            <w:tcW w:w="9409" w:type="dxa"/>
            <w:gridSpan w:val="2"/>
          </w:tcPr>
          <w:p w14:paraId="074E8983" w14:textId="4D6B66D3" w:rsidR="00B50C5F" w:rsidRPr="00B50C5F" w:rsidRDefault="00B50C5F" w:rsidP="002176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50C5F">
              <w:rPr>
                <w:rFonts w:ascii="Arial" w:hAnsi="Arial" w:cs="Arial"/>
                <w:b/>
              </w:rPr>
              <w:t xml:space="preserve">Wdrożenie na szczeblu krajowym </w:t>
            </w:r>
          </w:p>
        </w:tc>
      </w:tr>
      <w:tr w:rsidR="00B50C5F" w:rsidRPr="000963B2" w14:paraId="0F1469C8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1C027BCF" w14:textId="3EC4FCF8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B50C5F">
              <w:rPr>
                <w:rFonts w:ascii="Arial" w:hAnsi="Arial" w:cs="Arial"/>
              </w:rPr>
              <w:t>W zakresie niniejszego zalecenia w celu jego wdrożenia państwa członkowskie powinny:</w:t>
            </w:r>
          </w:p>
        </w:tc>
        <w:tc>
          <w:tcPr>
            <w:tcW w:w="7485" w:type="dxa"/>
          </w:tcPr>
          <w:p w14:paraId="183F68A3" w14:textId="77777777" w:rsidR="00B50C5F" w:rsidRPr="000963B2" w:rsidRDefault="00B50C5F" w:rsidP="0029050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Propagować zaangażowanie partnerów społecznych w opracowywanie przygotowania zawodowego, zarządzanie nim i jego wdrażanie, zgodnie z krajowymi systemami w zakresie stosunków pracy i praktykami w dziedzinie kształcenia i szkolenia.</w:t>
            </w:r>
          </w:p>
          <w:p w14:paraId="539E03BD" w14:textId="77777777" w:rsidR="00B50C5F" w:rsidRPr="000963B2" w:rsidRDefault="00B50C5F" w:rsidP="0029050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Zapewnić równy dostęp do programów przygotowania zawodowego, propagować równowagę płci i zwalczać dyskryminację w tych programach.</w:t>
            </w:r>
          </w:p>
          <w:p w14:paraId="70025149" w14:textId="77777777" w:rsidR="00B50C5F" w:rsidRPr="000963B2" w:rsidRDefault="00B50C5F" w:rsidP="0029050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Zawrzeć odpowiednie środki wykonawcze w krajowych programach reform w ramach europejskiego semestru.</w:t>
            </w:r>
          </w:p>
          <w:p w14:paraId="26546787" w14:textId="565A31BC" w:rsidR="00B50C5F" w:rsidRPr="00B50C5F" w:rsidRDefault="00B50C5F" w:rsidP="0029050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Uwzględniać niniejsze ramy przy korzystaniu z unijnych funduszy i instrumentów wspierających przygotowanie zawodowe.</w:t>
            </w:r>
          </w:p>
        </w:tc>
      </w:tr>
      <w:tr w:rsidR="00B50C5F" w:rsidRPr="000963B2" w14:paraId="70CC2BAC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9409" w:type="dxa"/>
            <w:gridSpan w:val="2"/>
          </w:tcPr>
          <w:p w14:paraId="0FF97A0E" w14:textId="7488FC23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  <w:b/>
              </w:rPr>
              <w:t>Komisja powinna zapewnić niezbędne wsparcie, w tym poprzez następujące działania:</w:t>
            </w:r>
          </w:p>
        </w:tc>
      </w:tr>
      <w:tr w:rsidR="00B50C5F" w:rsidRPr="000963B2" w14:paraId="054B1F98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59B6E8BC" w14:textId="77777777" w:rsidR="00B50C5F" w:rsidRPr="000963B2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Usługi wsparcia </w:t>
            </w:r>
          </w:p>
          <w:p w14:paraId="2A7DE87C" w14:textId="77777777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5" w:type="dxa"/>
          </w:tcPr>
          <w:p w14:paraId="3B4C9DB6" w14:textId="590B5E78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B50C5F">
              <w:rPr>
                <w:rFonts w:ascii="Arial" w:hAnsi="Arial" w:cs="Arial"/>
              </w:rPr>
              <w:t>Opracowanie zestawu usług wsparcia na rzecz wymiany wiedzy, tworzenia sieci kontaktów i wzajemnego uczenia się w celu wspomagania państw członkowskich i właściwych interesariuszy we wdrażaniu programów przygotowania zawodowego zgodnie z niniejszymi ramami. Wsparciem tym należy objąć dalsze potrzeby szkoleniowe nauczycieli i instruktorów kształcenia i szkolenia zawodowego związane z innowacjami cyfrowymi w przygotowaniu zawodowym.</w:t>
            </w:r>
          </w:p>
        </w:tc>
      </w:tr>
      <w:tr w:rsidR="00B50C5F" w:rsidRPr="000963B2" w14:paraId="2EDA87C4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24340A32" w14:textId="77777777" w:rsidR="00B50C5F" w:rsidRPr="000963B2" w:rsidRDefault="00B50C5F" w:rsidP="002176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 xml:space="preserve">Działania informacyjne </w:t>
            </w:r>
          </w:p>
          <w:p w14:paraId="0C28FA45" w14:textId="77777777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5" w:type="dxa"/>
          </w:tcPr>
          <w:p w14:paraId="1B15D008" w14:textId="7B77E984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B50C5F">
              <w:rPr>
                <w:rFonts w:ascii="Arial" w:hAnsi="Arial" w:cs="Arial"/>
              </w:rPr>
              <w:t>Propagowanie doskonałości i atrakcyjności przygotowania zawodowego, a także pozytywnego wizerunku wśród młodych ludzi, ich rodzin i pracodawców, poprzez kampanie informacyjne, takie jak Europejski Tydzień Umiejętności Zawodowych.</w:t>
            </w:r>
          </w:p>
        </w:tc>
      </w:tr>
      <w:tr w:rsidR="00B50C5F" w:rsidRPr="000963B2" w14:paraId="52B9E723" w14:textId="77777777" w:rsidTr="002176F9">
        <w:tblPrEx>
          <w:tblCellMar>
            <w:left w:w="85" w:type="dxa"/>
            <w:right w:w="85" w:type="dxa"/>
          </w:tblCellMar>
        </w:tblPrEx>
        <w:trPr>
          <w:trHeight w:val="205"/>
        </w:trPr>
        <w:tc>
          <w:tcPr>
            <w:tcW w:w="1924" w:type="dxa"/>
          </w:tcPr>
          <w:p w14:paraId="72172BFE" w14:textId="68AE72AE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Finansowanie</w:t>
            </w:r>
          </w:p>
        </w:tc>
        <w:tc>
          <w:tcPr>
            <w:tcW w:w="7485" w:type="dxa"/>
          </w:tcPr>
          <w:p w14:paraId="7DFFA069" w14:textId="71400222" w:rsidR="00B50C5F" w:rsidRPr="00B50C5F" w:rsidRDefault="00B50C5F" w:rsidP="002176F9">
            <w:pPr>
              <w:spacing w:line="276" w:lineRule="auto"/>
              <w:rPr>
                <w:rFonts w:ascii="Arial" w:hAnsi="Arial" w:cs="Arial"/>
              </w:rPr>
            </w:pPr>
            <w:r w:rsidRPr="00B50C5F">
              <w:rPr>
                <w:rFonts w:ascii="Arial" w:hAnsi="Arial" w:cs="Arial"/>
              </w:rPr>
              <w:t>Wsparcie wdrożenia niniejszego zalecenia poprzez odpowiednie finansowanie ze środków unijnych, zgodnie</w:t>
            </w:r>
            <w:r>
              <w:rPr>
                <w:rFonts w:ascii="Arial" w:hAnsi="Arial" w:cs="Arial"/>
              </w:rPr>
              <w:t xml:space="preserve"> </w:t>
            </w:r>
            <w:r w:rsidRPr="00B50C5F">
              <w:rPr>
                <w:rFonts w:ascii="Arial" w:hAnsi="Arial" w:cs="Arial"/>
              </w:rPr>
              <w:t>z odnośnymi ramami prawnymi.</w:t>
            </w:r>
          </w:p>
        </w:tc>
      </w:tr>
    </w:tbl>
    <w:p w14:paraId="092F5FD5" w14:textId="2747E4A5" w:rsidR="001D12EE" w:rsidRDefault="001D12EE" w:rsidP="001D12EE">
      <w:pPr>
        <w:spacing w:line="276" w:lineRule="auto"/>
        <w:jc w:val="both"/>
        <w:rPr>
          <w:rFonts w:ascii="Arial" w:hAnsi="Arial" w:cs="Arial"/>
          <w:b/>
        </w:rPr>
      </w:pPr>
    </w:p>
    <w:p w14:paraId="0C1B5101" w14:textId="77777777" w:rsidR="002176F9" w:rsidRPr="000963B2" w:rsidRDefault="002176F9" w:rsidP="001D12EE">
      <w:pPr>
        <w:spacing w:line="276" w:lineRule="auto"/>
        <w:jc w:val="both"/>
        <w:rPr>
          <w:rFonts w:ascii="Arial" w:hAnsi="Arial" w:cs="Arial"/>
          <w:b/>
        </w:rPr>
      </w:pPr>
    </w:p>
    <w:p w14:paraId="3F5158F5" w14:textId="77777777" w:rsidR="00603166" w:rsidRPr="00B30A07" w:rsidRDefault="00603166" w:rsidP="00603166">
      <w:pPr>
        <w:pStyle w:val="Nagwek2"/>
        <w:rPr>
          <w:lang w:val="en-GB"/>
        </w:rPr>
      </w:pPr>
      <w:bookmarkStart w:id="6" w:name="_Toc535846693"/>
      <w:r w:rsidRPr="00B30A07">
        <w:rPr>
          <w:lang w:val="en-GB"/>
        </w:rPr>
        <w:t>Projekt TRIFT</w:t>
      </w:r>
      <w:bookmarkEnd w:id="6"/>
    </w:p>
    <w:p w14:paraId="2ECE9848" w14:textId="77777777" w:rsidR="00603166" w:rsidRDefault="00603166" w:rsidP="00603166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B265F5">
        <w:rPr>
          <w:rFonts w:ascii="Arial" w:hAnsi="Arial" w:cs="Arial"/>
          <w:lang w:val="en-GB"/>
        </w:rPr>
        <w:t>Projekt TRIFT, czyli „</w:t>
      </w:r>
      <w:r w:rsidRPr="00B265F5">
        <w:rPr>
          <w:rFonts w:ascii="Arial" w:hAnsi="Arial" w:cs="Arial"/>
          <w:i/>
          <w:lang w:val="en-GB"/>
        </w:rPr>
        <w:t>Transfer of Innovation into the Area of Foreign Trade</w:t>
      </w:r>
      <w:r>
        <w:rPr>
          <w:rFonts w:ascii="Arial" w:hAnsi="Arial" w:cs="Arial"/>
          <w:lang w:val="en-GB"/>
        </w:rPr>
        <w:t xml:space="preserve">” był realizowany w latach 2010-2012. </w:t>
      </w:r>
      <w:r w:rsidRPr="00B265F5">
        <w:rPr>
          <w:rFonts w:ascii="Arial" w:hAnsi="Arial" w:cs="Arial"/>
        </w:rPr>
        <w:t>Brak jest szczegółowych informacji na temat projektu w języku Polskim</w:t>
      </w:r>
      <w:r>
        <w:rPr>
          <w:rFonts w:ascii="Arial" w:hAnsi="Arial" w:cs="Arial"/>
        </w:rPr>
        <w:t xml:space="preserve">, pełna informacja dostępna jest pod adresem </w:t>
      </w:r>
      <w:hyperlink r:id="rId9" w:history="1">
        <w:r w:rsidRPr="001E25A5">
          <w:rPr>
            <w:rStyle w:val="Hipercze"/>
            <w:rFonts w:ascii="Arial" w:hAnsi="Arial" w:cs="Arial"/>
          </w:rPr>
          <w:t>http://trift.eu</w:t>
        </w:r>
      </w:hyperlink>
      <w:r w:rsidRPr="00B265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Kluczowe informacje o projekcie przedstawiono w punktach poniżej:</w:t>
      </w:r>
    </w:p>
    <w:p w14:paraId="46B4BD80" w14:textId="77777777" w:rsidR="00603166" w:rsidRDefault="00603166" w:rsidP="00603166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B50C5F">
        <w:rPr>
          <w:rFonts w:ascii="Arial" w:hAnsi="Arial" w:cs="Arial"/>
        </w:rPr>
        <w:t>Projekt pozwolił wypracować metodykę realizowania kształcenia praktycznego obejmującą, m.in.:</w:t>
      </w:r>
    </w:p>
    <w:p w14:paraId="1ED6ABF2" w14:textId="77777777" w:rsidR="00603166" w:rsidRDefault="00603166" w:rsidP="00603166">
      <w:pPr>
        <w:pStyle w:val="Akapitzlist"/>
        <w:numPr>
          <w:ilvl w:val="1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podejście do definiowania efektów uczenia się z wykorzystaniem macierzy kompetencji i profili kompetencji;</w:t>
      </w:r>
    </w:p>
    <w:p w14:paraId="2C8F3197" w14:textId="77777777" w:rsidR="00603166" w:rsidRPr="005A5A73" w:rsidRDefault="00603166" w:rsidP="00603166">
      <w:pPr>
        <w:pStyle w:val="Akapitzlist"/>
        <w:numPr>
          <w:ilvl w:val="1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zestaw dokumentacji pozwalający na przygotowanie i koordynację i ewaluację samej praktyki, jak również ewaluację i certyfikację efektów uczenia się;</w:t>
      </w:r>
    </w:p>
    <w:p w14:paraId="0C6E3D0F" w14:textId="77777777" w:rsidR="00603166" w:rsidRDefault="00603166" w:rsidP="00603166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B265F5">
        <w:rPr>
          <w:rFonts w:ascii="Arial" w:hAnsi="Arial" w:cs="Arial"/>
        </w:rPr>
        <w:t xml:space="preserve">Projekt opiera się na wykorzystaniu ‘macierzy kompetencji’ opracowanych w ramach projektu VQTS. W modelu tym opracowano strukturę opisów kompetencji związanych z pracą i ich nabywania. Model ten nazwano „modelem VQTS” (Vocational Qulifications Transfer System). </w:t>
      </w:r>
      <w:r w:rsidRPr="002D25AA">
        <w:rPr>
          <w:rFonts w:ascii="Arial" w:hAnsi="Arial" w:cs="Arial"/>
        </w:rPr>
        <w:t>Projekt VQTS otrzymał Helsinki Award 2006 (w kategorii „Uznawanie kompetencji i kwalifikacji w</w:t>
      </w:r>
      <w:r w:rsidRPr="00B265F5">
        <w:rPr>
          <w:rFonts w:ascii="Arial" w:hAnsi="Arial" w:cs="Arial"/>
        </w:rPr>
        <w:t xml:space="preserve"> kształceniu zawodowym”) oraz Lifelong Learning Award 2007 in Gold za wkład w realizację celów Procesu Kopenhaskiego (więcej informacji można znaleźć na stronie: ww.vocationalqualification.net).</w:t>
      </w:r>
    </w:p>
    <w:p w14:paraId="7C291BB2" w14:textId="77777777" w:rsidR="00603166" w:rsidRDefault="00603166" w:rsidP="00603166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B50C5F">
        <w:rPr>
          <w:rFonts w:ascii="Arial" w:hAnsi="Arial" w:cs="Arial"/>
        </w:rPr>
        <w:t>Macierze kompetencji:</w:t>
      </w:r>
    </w:p>
    <w:p w14:paraId="50188528" w14:textId="77777777" w:rsidR="00603166" w:rsidRDefault="00603166" w:rsidP="00603166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 xml:space="preserve">Podejście to różni się od przyjętego w podstawach programowych kształcenia w zawodzie stopniem szczegółowości, ale przede wszystkim sposobem uporządkowania (obszary kompetencji) i przedstawieniem kolejnych stopni rozwoju kompetencji. </w:t>
      </w:r>
    </w:p>
    <w:p w14:paraId="57B9355C" w14:textId="77777777" w:rsidR="00603166" w:rsidRDefault="00603166" w:rsidP="00603166">
      <w:pPr>
        <w:pStyle w:val="Akapitzlist"/>
        <w:spacing w:before="240" w:line="360" w:lineRule="auto"/>
        <w:jc w:val="both"/>
        <w:rPr>
          <w:rFonts w:ascii="Arial" w:hAnsi="Arial" w:cs="Arial"/>
        </w:rPr>
        <w:sectPr w:rsidR="00603166" w:rsidSect="00A27990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B50C5F">
        <w:rPr>
          <w:rFonts w:ascii="Arial" w:hAnsi="Arial" w:cs="Arial"/>
        </w:rPr>
        <w:t xml:space="preserve">Celem tworzenia matryc nie jest zastąpienie treści określonych w podstawach programowych, ale przedstawienie kompetencji zawodowych w sposób </w:t>
      </w:r>
      <w:r w:rsidRPr="00B50C5F">
        <w:rPr>
          <w:rFonts w:ascii="Arial" w:hAnsi="Arial" w:cs="Arial"/>
        </w:rPr>
        <w:lastRenderedPageBreak/>
        <w:t xml:space="preserve">zrozumiały dla pracodawców i nauczycieli. </w:t>
      </w:r>
      <w:r>
        <w:rPr>
          <w:rFonts w:ascii="Arial" w:hAnsi="Arial" w:cs="Arial"/>
        </w:rPr>
        <w:t>Przykład macierzy kompetencji przedstawiono w tabeli poniżej.</w:t>
      </w:r>
    </w:p>
    <w:p w14:paraId="7740DE7D" w14:textId="77777777" w:rsidR="00603166" w:rsidRPr="00B75576" w:rsidRDefault="00603166" w:rsidP="00603166">
      <w:pPr>
        <w:pStyle w:val="Akapitzlist"/>
        <w:spacing w:before="240" w:line="360" w:lineRule="auto"/>
        <w:ind w:left="0"/>
        <w:jc w:val="both"/>
        <w:rPr>
          <w:rFonts w:ascii="Arial" w:hAnsi="Arial" w:cs="Arial"/>
          <w:i/>
        </w:rPr>
      </w:pPr>
      <w:r w:rsidRPr="00B75576">
        <w:rPr>
          <w:rFonts w:ascii="Arial" w:hAnsi="Arial" w:cs="Arial"/>
          <w:i/>
        </w:rPr>
        <w:lastRenderedPageBreak/>
        <w:t>Rysunek 1. Fragment macierzy kompetencji w obszarze mechatroniki</w:t>
      </w:r>
    </w:p>
    <w:tbl>
      <w:tblPr>
        <w:tblStyle w:val="Tabela-Siatka"/>
        <w:tblW w:w="5369" w:type="pct"/>
        <w:tblInd w:w="-431" w:type="dxa"/>
        <w:tblLook w:val="04A0" w:firstRow="1" w:lastRow="0" w:firstColumn="1" w:lastColumn="0" w:noHBand="0" w:noVBand="1"/>
      </w:tblPr>
      <w:tblGrid>
        <w:gridCol w:w="2836"/>
        <w:gridCol w:w="2125"/>
        <w:gridCol w:w="1984"/>
        <w:gridCol w:w="328"/>
        <w:gridCol w:w="1175"/>
        <w:gridCol w:w="1049"/>
        <w:gridCol w:w="1987"/>
        <w:gridCol w:w="192"/>
        <w:gridCol w:w="625"/>
        <w:gridCol w:w="884"/>
        <w:gridCol w:w="1842"/>
      </w:tblGrid>
      <w:tr w:rsidR="00603166" w:rsidRPr="00EE2508" w14:paraId="260DC92B" w14:textId="77777777" w:rsidTr="00863F03">
        <w:tc>
          <w:tcPr>
            <w:tcW w:w="944" w:type="pct"/>
            <w:shd w:val="clear" w:color="auto" w:fill="E7E6E6" w:themeFill="background2"/>
          </w:tcPr>
          <w:p w14:paraId="0EA459F9" w14:textId="77777777" w:rsidR="00603166" w:rsidRPr="00EE2508" w:rsidRDefault="00603166" w:rsidP="00863F03">
            <w:pPr>
              <w:rPr>
                <w:b/>
                <w:sz w:val="12"/>
                <w:szCs w:val="12"/>
              </w:rPr>
            </w:pPr>
            <w:r w:rsidRPr="00EE2508">
              <w:rPr>
                <w:b/>
                <w:sz w:val="12"/>
                <w:szCs w:val="12"/>
              </w:rPr>
              <w:t>Obszar kompetencji</w:t>
            </w:r>
          </w:p>
        </w:tc>
        <w:tc>
          <w:tcPr>
            <w:tcW w:w="4056" w:type="pct"/>
            <w:gridSpan w:val="10"/>
            <w:shd w:val="clear" w:color="auto" w:fill="E7E6E6" w:themeFill="background2"/>
          </w:tcPr>
          <w:p w14:paraId="521C62F9" w14:textId="77777777" w:rsidR="00603166" w:rsidRPr="00EE2508" w:rsidRDefault="00603166" w:rsidP="00863F03">
            <w:pPr>
              <w:rPr>
                <w:b/>
                <w:sz w:val="12"/>
                <w:szCs w:val="12"/>
              </w:rPr>
            </w:pPr>
            <w:r w:rsidRPr="00EE2508">
              <w:rPr>
                <w:b/>
                <w:sz w:val="12"/>
                <w:szCs w:val="12"/>
              </w:rPr>
              <w:t>Stopnie rozwoju kompetencji</w:t>
            </w:r>
          </w:p>
        </w:tc>
      </w:tr>
      <w:tr w:rsidR="00603166" w:rsidRPr="00EE2508" w14:paraId="26E15262" w14:textId="77777777" w:rsidTr="00863F03">
        <w:tc>
          <w:tcPr>
            <w:tcW w:w="944" w:type="pct"/>
          </w:tcPr>
          <w:p w14:paraId="79EB40DF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Konserwacja i zapewnianie niezawodności systemów mechatronicznych</w:t>
            </w:r>
          </w:p>
        </w:tc>
        <w:tc>
          <w:tcPr>
            <w:tcW w:w="707" w:type="pct"/>
          </w:tcPr>
          <w:p w14:paraId="5124AB70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przeprowadzić podstawową planowaną konserwację maszyn i systemów mechatronicznych oraz przestrzegać planów konserwacji urządzeń.</w:t>
            </w:r>
          </w:p>
          <w:p w14:paraId="06D1CE6B" w14:textId="77777777" w:rsidR="00603166" w:rsidRPr="00EE2508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160" w:type="pct"/>
            <w:gridSpan w:val="3"/>
          </w:tcPr>
          <w:p w14:paraId="39E89379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Zna procedury konserwacji systemów mechatronicznych, np. potrafi stosować dokumenty serwisowe i plany konserwacji oraz – w razie nowych wyzwań – odpowiednio je dostosować.</w:t>
            </w:r>
          </w:p>
        </w:tc>
        <w:tc>
          <w:tcPr>
            <w:tcW w:w="1074" w:type="pct"/>
            <w:gridSpan w:val="3"/>
          </w:tcPr>
          <w:p w14:paraId="2A6E5011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stosować konserwację prewencyjną, aby zapewnić bezproblemowe działanie systemów mechatronicznych. Ponadto potrafi modyfikować sekwencje operacyjne w celu wdrażania środków zapewniania jakości.</w:t>
            </w:r>
          </w:p>
        </w:tc>
        <w:tc>
          <w:tcPr>
            <w:tcW w:w="1115" w:type="pct"/>
            <w:gridSpan w:val="3"/>
          </w:tcPr>
          <w:p w14:paraId="65025E1C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tworzyć odpowiednie procedury konserwacji urządzeń i systemów mechatronicznych oraz planować konserwację i procedury zapewniania jakości.</w:t>
            </w:r>
          </w:p>
        </w:tc>
      </w:tr>
      <w:tr w:rsidR="00603166" w:rsidRPr="00EE2508" w14:paraId="2A2C5D71" w14:textId="77777777" w:rsidTr="00863F03">
        <w:tc>
          <w:tcPr>
            <w:tcW w:w="944" w:type="pct"/>
          </w:tcPr>
          <w:p w14:paraId="2D2236E5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Instalacja i demontaż systemów i zakładów mechatronicznych</w:t>
            </w:r>
          </w:p>
        </w:tc>
        <w:tc>
          <w:tcPr>
            <w:tcW w:w="1367" w:type="pct"/>
            <w:gridSpan w:val="2"/>
          </w:tcPr>
          <w:p w14:paraId="14A0B900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stosować pisemne instrukcje instalacji i demontażu poszczególnych komponentów (np. czujników, siłowników, napędów, silników, systemów transportowych, szaf) tworzących grupę funkcjonalną systemów mechatronicznych.</w:t>
            </w:r>
          </w:p>
        </w:tc>
        <w:tc>
          <w:tcPr>
            <w:tcW w:w="849" w:type="pct"/>
            <w:gridSpan w:val="3"/>
          </w:tcPr>
          <w:p w14:paraId="74E5E540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Zna metody instalacji i demontażu systemów mechatronicznych wykorzystujących kilka technologii (np. mechanikę, hydraulikę, pneumatykę, elektromechanikę, elektronikę). Potrafi ustawić technologię połączeń i sprawdzić sprawność całego systemu.</w:t>
            </w:r>
          </w:p>
        </w:tc>
        <w:tc>
          <w:tcPr>
            <w:tcW w:w="1840" w:type="pct"/>
            <w:gridSpan w:val="5"/>
          </w:tcPr>
          <w:p w14:paraId="3298C78E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zaproponować niezależne rozwiązania mechatroniczne do budowy linii produkcyjnych, zapewnić ich ogólne działanie oraz stosować zarówno istniejące jak i zmodyfikowane komponenty standardowe.</w:t>
            </w:r>
          </w:p>
        </w:tc>
      </w:tr>
      <w:tr w:rsidR="00603166" w:rsidRPr="00EE2508" w14:paraId="5AC094EC" w14:textId="77777777" w:rsidTr="00863F03">
        <w:tc>
          <w:tcPr>
            <w:tcW w:w="944" w:type="pct"/>
          </w:tcPr>
          <w:p w14:paraId="03097D24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Instalacja i regulacja komponentów mechatronicznych w systemach i liniach produkcyjnych</w:t>
            </w:r>
          </w:p>
        </w:tc>
        <w:tc>
          <w:tcPr>
            <w:tcW w:w="1367" w:type="pct"/>
            <w:gridSpan w:val="2"/>
          </w:tcPr>
          <w:p w14:paraId="1E126D53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instalować i regulować standaryzowane komponenty mechatroniczne (np. poszczególne zawory elektropneumatyczne, czujniki i siłowniki).</w:t>
            </w:r>
          </w:p>
        </w:tc>
        <w:tc>
          <w:tcPr>
            <w:tcW w:w="849" w:type="pct"/>
            <w:gridSpan w:val="3"/>
          </w:tcPr>
          <w:p w14:paraId="43F8D92E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instalować i regulować komponenty podsystemów mechatronicznych (np. napędy liniowe, systemy pomiarowe, systemy transportowe).</w:t>
            </w:r>
          </w:p>
        </w:tc>
        <w:tc>
          <w:tcPr>
            <w:tcW w:w="1840" w:type="pct"/>
            <w:gridSpan w:val="5"/>
          </w:tcPr>
          <w:p w14:paraId="3CB083E4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- Potrafi instalować i regulować złożone zakłady mechatroniczne obejmujące różne technologie oraz urządzenia oprzyrządowania i sterujące, a także regulować powiązane parametry, testować ogólne funkcje obiektu i zapewniać jego niezawodność.</w:t>
            </w:r>
          </w:p>
        </w:tc>
      </w:tr>
      <w:tr w:rsidR="00603166" w:rsidRPr="0004571B" w14:paraId="1104E6DA" w14:textId="77777777" w:rsidTr="00863F03">
        <w:tc>
          <w:tcPr>
            <w:tcW w:w="944" w:type="pct"/>
          </w:tcPr>
          <w:p w14:paraId="291E0C6F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Projektowanie, dostosowywanie i budowanie systemów i obiektów mechatronicznych na podstawie potrzeb klientów i planów zakładów</w:t>
            </w:r>
          </w:p>
        </w:tc>
        <w:tc>
          <w:tcPr>
            <w:tcW w:w="707" w:type="pct"/>
          </w:tcPr>
          <w:p w14:paraId="00CFCAFB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- Potrafi używać narzędzi mechanicznych ręcznych bądź sterowanych komputerowo do wytwarzania (zgodnie z projektami produkcyjnymi i wymogami klientów) poszczególnych komponentów systemów mechatronicznych. Potrafi tworzyć proste projekty i opisy podsystemów mechatronicznych i korzystać z podstawowych aplikacji CAD.</w:t>
            </w:r>
          </w:p>
        </w:tc>
        <w:tc>
          <w:tcPr>
            <w:tcW w:w="660" w:type="pct"/>
          </w:tcPr>
          <w:p w14:paraId="3EAAABB1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- Potrafi budować proste podsystemy mechatroniczne stosując rysunki techniczne oraz instalować te urządzenia zgodnie z określonymi wymaganiami produkcyjnymi. Potrafi korzystać z obszernej wiedzy na temat standardów i przepisów (np. dotyczących wykończeń powierzchni) oraz stosować bardziej zaawansowane funkcje CAD (np. kontroli zakłóceń).</w:t>
            </w:r>
          </w:p>
        </w:tc>
        <w:tc>
          <w:tcPr>
            <w:tcW w:w="849" w:type="pct"/>
            <w:gridSpan w:val="3"/>
          </w:tcPr>
          <w:p w14:paraId="34897B19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- Potrafi budować systemy mechatroniczne korzystając zarówno z oryginalnych technik budowy jak i zaprojektowanych wcześniej części. W pełni rozumie funkcje CAD i potrafi dokumentować zmiany w systemie (np. listy części, opisy funkcji, instrukcje obsługi).</w:t>
            </w:r>
          </w:p>
        </w:tc>
        <w:tc>
          <w:tcPr>
            <w:tcW w:w="661" w:type="pct"/>
          </w:tcPr>
          <w:p w14:paraId="19442C33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- Potrafi projektować i budować samodzielne podsystemy mechatroniczne i – za pomocą odpowiednich urządzeń pomiarowych i testowych – potrafi ocenić wymaganą dokładność produkcji. Potrafi dokumentować wyniki za pomocą systemów kontroli jakości.</w:t>
            </w:r>
          </w:p>
        </w:tc>
        <w:tc>
          <w:tcPr>
            <w:tcW w:w="566" w:type="pct"/>
            <w:gridSpan w:val="3"/>
          </w:tcPr>
          <w:p w14:paraId="67606A41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Pracownik posiada umiejętność wprowadzania niezależnych modyfikacji do różnych urządzeń (włącznie z doborem napędów, czujników PLC) oraz wykorzystania programów CNC do zbudowania systemu. Potrafi tworzyć i stymulować funkcjonujący system poprzez cyfrowych makiet, oraz wykorzystania obliczeń wspieranych komputerowo (np. FEM). Potrafi tworzyć analizę kosztów i zysków (np. Jako podstawa do decydowania o zakupie lub tworzeniu od podstaw komponentów).</w:t>
            </w:r>
          </w:p>
          <w:p w14:paraId="78D9359F" w14:textId="77777777" w:rsidR="00603166" w:rsidRPr="0004571B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13" w:type="pct"/>
          </w:tcPr>
          <w:p w14:paraId="3FEB1830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Pracownik potrafi samodzielnie tworzyć złożone systemy mecharonicznczne oraz kalkulacji ekonomicznej użyteczności systemu. Posiada umiejętność optymalizacji programów CNC na rzecz tworzenia złożonych urządzeń i systemów mechatronicznych oraz monitorowania zautomatyzowanej wielkości systemów kontroli pętli otwartych.</w:t>
            </w:r>
          </w:p>
          <w:p w14:paraId="390BB3FE" w14:textId="77777777" w:rsidR="00603166" w:rsidRPr="0004571B" w:rsidRDefault="00603166" w:rsidP="00863F03">
            <w:pPr>
              <w:rPr>
                <w:sz w:val="12"/>
                <w:szCs w:val="12"/>
              </w:rPr>
            </w:pPr>
          </w:p>
        </w:tc>
      </w:tr>
      <w:tr w:rsidR="00603166" w:rsidRPr="00EE2508" w14:paraId="562CAA6C" w14:textId="77777777" w:rsidTr="00863F03">
        <w:tc>
          <w:tcPr>
            <w:tcW w:w="944" w:type="pct"/>
          </w:tcPr>
          <w:p w14:paraId="0418E8EE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Wprowadzanie do eksploatacji systemów mechatronicznych oraz zapewnianie wsparcia ekonomicznego i technicznego</w:t>
            </w:r>
          </w:p>
          <w:p w14:paraId="4AAC9A9F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</w:tcPr>
          <w:p w14:paraId="5AB4AD63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wprowadzenia do eksploatacji urządzeń mechatronicznych, zgodnie ze specyfikacją i projektem, oraz zapewnienia wsparcia klientom w trakcie etapu przekazywania.</w:t>
            </w:r>
          </w:p>
          <w:p w14:paraId="606C90D2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60" w:type="pct"/>
          </w:tcPr>
          <w:p w14:paraId="3FFCAAAC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potrafi wprowadzić do eksploatacji systemy mechatroniczne – po uwzględnieniu podstawowych potrzeb i warunków przedsiębiorstwa – potrafi tworzyć niezbędną dokumentację, doradzać klientowi w temacie bezpiecznej obsługi urządzeń oraz na temat wyboru technologii w przyszłości.</w:t>
            </w:r>
          </w:p>
          <w:p w14:paraId="5B2C4EEA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849" w:type="pct"/>
            <w:gridSpan w:val="3"/>
          </w:tcPr>
          <w:p w14:paraId="4DDC5D52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opanowania wdrażania połączonych ze sobą systemów mechatronicznych oraz maszyn uwzględniając wszystkie podstawowe warunki, potrafi zapewnić podstawową dokumentację, włącznie z instrukcją obsługi. Potrafi ocenić potrzeby klienta i konfigurować maszyny zapewniające rozwiązanie. Potrafi również wyszkolić klienta w przypadku potrzeby oraz zapewnienia wsparcia na rzecz bezpiecznych działań.</w:t>
            </w:r>
          </w:p>
          <w:p w14:paraId="19F4E55D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3"/>
          </w:tcPr>
          <w:p w14:paraId="630FDAB4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oceny wymagań klienta w zakresie urządzeń mechatronicznych, tworzenia rozwiązań oraz planowania wdrażania i działania systemu.</w:t>
            </w:r>
          </w:p>
          <w:p w14:paraId="724614E3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2"/>
          </w:tcPr>
          <w:p w14:paraId="059C3F15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potrafi pokierować przy wdrażaniu projektu, włącznie z zaplanowaniem i zarządzaniem czasem, od stworzenia propozycji dla klienta po jego akceptację.</w:t>
            </w:r>
          </w:p>
        </w:tc>
      </w:tr>
      <w:tr w:rsidR="00603166" w:rsidRPr="00EE2508" w14:paraId="15CA047B" w14:textId="77777777" w:rsidTr="00863F03">
        <w:tc>
          <w:tcPr>
            <w:tcW w:w="944" w:type="pct"/>
          </w:tcPr>
          <w:p w14:paraId="0A92C801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Nadzór i ocena tak sekwencji procesu systemów mechatronicznych oraz urządzeń, jak i sekwencji działania (włącznie z zapewnieniem jakości)</w:t>
            </w:r>
          </w:p>
          <w:p w14:paraId="3C0F8EE1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</w:tcPr>
          <w:p w14:paraId="3BE91046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posiada umiejętność nadzoru sekwencji procesu zgodnie ze specyfikacjami oraz wdrożenie wszelkich żądanych działań zapewniających kontrole jakości.</w:t>
            </w:r>
          </w:p>
        </w:tc>
        <w:tc>
          <w:tcPr>
            <w:tcW w:w="660" w:type="pct"/>
          </w:tcPr>
          <w:p w14:paraId="772232A8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 xml:space="preserve">Pracownik potrafi samodzielnie nadzorować sekwencję procesów, oceniać wyników, obsługiwać towarzyszący proces kontroli statystycznej (SPC) planować kontrolę jakości oraz przygotowanie prostych planów pracy – włącznie z </w:t>
            </w:r>
            <w:r w:rsidRPr="005600F3">
              <w:rPr>
                <w:sz w:val="12"/>
                <w:szCs w:val="12"/>
              </w:rPr>
              <w:lastRenderedPageBreak/>
              <w:t>planem produkcji i zarządzaniem czasem.</w:t>
            </w:r>
          </w:p>
        </w:tc>
        <w:tc>
          <w:tcPr>
            <w:tcW w:w="849" w:type="pct"/>
            <w:gridSpan w:val="3"/>
          </w:tcPr>
          <w:p w14:paraId="75FE4014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lastRenderedPageBreak/>
              <w:t xml:space="preserve">Pracownik posiada umiejętność obsługi i nadzoru urządzeń mechatronicznych, wybór programów sprawdzających i monitorujących, konfiguracja towarzyszących SPC, dążenie do osiągnięcia optymalnych wyników na linii produkcyjnej zgodnie z przepływem materiału, </w:t>
            </w:r>
            <w:r w:rsidRPr="005600F3">
              <w:rPr>
                <w:sz w:val="12"/>
                <w:szCs w:val="12"/>
              </w:rPr>
              <w:lastRenderedPageBreak/>
              <w:t>oraz umiejętność zapewnienia planów pracy łącznie z standardowymi czasami produkcji.</w:t>
            </w:r>
          </w:p>
          <w:p w14:paraId="35ED3295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3"/>
          </w:tcPr>
          <w:p w14:paraId="67BA4695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lastRenderedPageBreak/>
              <w:t>Pracownik potrafi monitorować złożone systemy mechatronicznych przy użyciu wirtualnych instrumentów oraz systemów PPS, jak i kontrolować pętle otwartych na rzecz optymalizacji rozmieszczenia maszyn, analizy przepływu materiału oraz planowania.</w:t>
            </w:r>
          </w:p>
          <w:p w14:paraId="7032B4C4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2"/>
          </w:tcPr>
          <w:p w14:paraId="644DBFF5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posiada umiejętność optymalizacji cyklów procesów mechatronicznych linii produkcyjnych, zapewnienia instrukcji służących do modyfikacji systemów PPS (np. dopasowanie do systemów</w:t>
            </w:r>
            <w:r w:rsidRPr="005600F3">
              <w:rPr>
                <w:sz w:val="12"/>
                <w:szCs w:val="12"/>
              </w:rPr>
              <w:fldChar w:fldCharType="begin"/>
            </w:r>
            <w:r w:rsidRPr="005600F3">
              <w:rPr>
                <w:sz w:val="12"/>
                <w:szCs w:val="12"/>
              </w:rPr>
              <w:instrText xml:space="preserve"> LISTNUM </w:instrText>
            </w:r>
            <w:r w:rsidRPr="005600F3">
              <w:rPr>
                <w:sz w:val="12"/>
                <w:szCs w:val="12"/>
              </w:rPr>
              <w:fldChar w:fldCharType="end"/>
            </w:r>
            <w:r w:rsidRPr="005600F3">
              <w:rPr>
                <w:sz w:val="12"/>
                <w:szCs w:val="12"/>
              </w:rPr>
              <w:t xml:space="preserve"> SAP) oraz wprowadzenia systemów jakościowych na rzecz procesu stałego ulepszania (CIV/KVP)</w:t>
            </w:r>
          </w:p>
        </w:tc>
      </w:tr>
      <w:tr w:rsidR="00603166" w:rsidRPr="001A3CCB" w14:paraId="288BFAF3" w14:textId="77777777" w:rsidTr="00863F03">
        <w:tc>
          <w:tcPr>
            <w:tcW w:w="944" w:type="pct"/>
          </w:tcPr>
          <w:p w14:paraId="021A9A6F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Instalacja, konfiguracja, programowanie i testowanie osprzętu i elementów oprogramowania na potrzeby regulacji systemów i urządzeń mechatronicznych.</w:t>
            </w:r>
          </w:p>
        </w:tc>
        <w:tc>
          <w:tcPr>
            <w:tcW w:w="707" w:type="pct"/>
          </w:tcPr>
          <w:p w14:paraId="51A34D32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instalacji i konfiguracji programów osprzętu i elementów oprogramowania oraz prostych programów sterowania programowalnego (PLC).</w:t>
            </w:r>
          </w:p>
          <w:p w14:paraId="00D54BD7" w14:textId="77777777" w:rsidR="00603166" w:rsidRPr="001A3CCB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60" w:type="pct"/>
          </w:tcPr>
          <w:p w14:paraId="11CB24F7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wyboru osprzętu i oprogramowania dla systemów mechatronicznych (np. czujniki, siłowniki, interfejsy, procedury komunikacyjne) oraz zapewnienia jak i sprawdzenia prostych programów sterowania programowalnego (PLC) zgodnie z wymaganiami procesu produkcyjnego.</w:t>
            </w:r>
          </w:p>
        </w:tc>
        <w:tc>
          <w:tcPr>
            <w:tcW w:w="849" w:type="pct"/>
            <w:gridSpan w:val="3"/>
          </w:tcPr>
          <w:p w14:paraId="3955D181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integracji i konfiguracji mechanizmów programowania, kontroli i regulacji w systemach mechatronicznych, programowanie prostych urządzeń (we współpracy z deweloperami) oraz stymulacji sekwencji programowej przed uruchomieniem.</w:t>
            </w:r>
          </w:p>
        </w:tc>
        <w:tc>
          <w:tcPr>
            <w:tcW w:w="1840" w:type="pct"/>
            <w:gridSpan w:val="5"/>
          </w:tcPr>
          <w:p w14:paraId="2C530291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potrafi stworzyć, sprawdzić i konfigurować oprogramowanie i sprzęt dla sieciowych systemów mechatronicznych; posiada umiejętność monitorowania warunków systemowych przy wykorzystaniu odpowiednich narzędzi pomiaru i wizualizacji.</w:t>
            </w:r>
          </w:p>
          <w:p w14:paraId="0796356B" w14:textId="77777777" w:rsidR="00603166" w:rsidRPr="001A3CCB" w:rsidRDefault="00603166" w:rsidP="00863F03">
            <w:pPr>
              <w:rPr>
                <w:sz w:val="12"/>
                <w:szCs w:val="12"/>
              </w:rPr>
            </w:pPr>
          </w:p>
        </w:tc>
      </w:tr>
      <w:tr w:rsidR="00603166" w:rsidRPr="00EE2508" w14:paraId="5B2F57BC" w14:textId="77777777" w:rsidTr="00863F03">
        <w:tc>
          <w:tcPr>
            <w:tcW w:w="944" w:type="pct"/>
          </w:tcPr>
          <w:p w14:paraId="1D271525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Przygotowanie i dystrybucja informacji technicznej w celu dopasowania systemów mechatronicznych do potrzeb poszczególnych przedsiębiorstw.</w:t>
            </w:r>
          </w:p>
          <w:p w14:paraId="7F62F03F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476" w:type="pct"/>
            <w:gridSpan w:val="3"/>
          </w:tcPr>
          <w:p w14:paraId="11A7AFDA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potrafi zapewnić opisy i projekty podsystemów mechatronicznych oraz zna podstawowych aplikacji CAD.</w:t>
            </w:r>
          </w:p>
          <w:p w14:paraId="6912078C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40" w:type="pct"/>
            <w:gridSpan w:val="2"/>
          </w:tcPr>
          <w:p w14:paraId="73B87F64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potrafi w pełni zrozumieć proces zarządzania dokumentami technicznymi systemów mechatronicznych oraz przygotować, jak i dostosować, te dokumenty według konkretnych wymagań działania przedsiębiorstwa.</w:t>
            </w:r>
          </w:p>
          <w:p w14:paraId="07FC1100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840" w:type="pct"/>
            <w:gridSpan w:val="5"/>
          </w:tcPr>
          <w:p w14:paraId="6C24CF3D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posiada umiejętność analizy poszczególnych złożonych sekwencji działania mającej na celu zrozumienie połączeń oraz sporządzenie procedur produkcji i utrzymania. Potrafi zrozumieć, iż parametry systemu są ważne dla funkcjonowania sprzętu oraz ocenić i udokumentować zużycie i ogólne warunki sprzętu mechatronicznego.</w:t>
            </w:r>
          </w:p>
        </w:tc>
      </w:tr>
      <w:tr w:rsidR="00603166" w:rsidRPr="00EE2508" w14:paraId="46160E2E" w14:textId="77777777" w:rsidTr="00863F03">
        <w:tc>
          <w:tcPr>
            <w:tcW w:w="944" w:type="pct"/>
          </w:tcPr>
          <w:p w14:paraId="4245BBD0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Diagnoza i naprawa usterek w systemach oraz urządzeniach mechatronicznych, doradzanie w jaki sposób uniknąć awarii oraz modyfikacja i rozszerzanie systemów mechatronicznych.</w:t>
            </w:r>
          </w:p>
          <w:p w14:paraId="0842DF5A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</w:tcPr>
          <w:p w14:paraId="087F296F" w14:textId="77777777" w:rsidR="00603166" w:rsidRPr="000347E9" w:rsidRDefault="00603166" w:rsidP="00863F03">
            <w:pPr>
              <w:rPr>
                <w:sz w:val="12"/>
                <w:szCs w:val="12"/>
                <w:lang w:val="en-GB"/>
              </w:rPr>
            </w:pPr>
            <w:r w:rsidRPr="000347E9">
              <w:rPr>
                <w:sz w:val="12"/>
                <w:szCs w:val="12"/>
              </w:rPr>
              <w:t xml:space="preserve">Pracownik potrafi zdiagnozować i naprawić błędy i usterki w prostych częściach i urządzeniach systemów mechatronicznych. </w:t>
            </w:r>
            <w:r w:rsidRPr="000347E9">
              <w:rPr>
                <w:sz w:val="12"/>
                <w:szCs w:val="12"/>
                <w:lang w:val="en-GB"/>
              </w:rPr>
              <w:t>Pracownik potrafi wykorzystać niezbędne narzędzia diagnozy i pomiaru.</w:t>
            </w:r>
          </w:p>
          <w:p w14:paraId="11654179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60" w:type="pct"/>
          </w:tcPr>
          <w:p w14:paraId="748D70A2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samodzielnie naprawiać problemy w sprzęcie produkcyjnym przy pomocy wspieranych komputerowo systemów diagnostycznych oraz wykorzystać specjalistyczne systemy, bazy danych i dokumentacje błędów.</w:t>
            </w:r>
          </w:p>
        </w:tc>
        <w:tc>
          <w:tcPr>
            <w:tcW w:w="849" w:type="pct"/>
            <w:gridSpan w:val="3"/>
          </w:tcPr>
          <w:p w14:paraId="7126E119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zdiagnozować i naprawić błędy i zakłócenia w złożonym sprzęcie mechatronicznym oraz potrafi doradzić klientowi w jaki sposób uniknąć awarii poprzez zmiany w aktualizacjach systemów i sprzętu.</w:t>
            </w:r>
          </w:p>
          <w:p w14:paraId="7B966BCC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840" w:type="pct"/>
            <w:gridSpan w:val="5"/>
          </w:tcPr>
          <w:p w14:paraId="54B26AB8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stworzyć system monitorujący i diagnostyczny na podstawie analizy usterek sprzętu mechatronicznego.</w:t>
            </w:r>
          </w:p>
          <w:p w14:paraId="5BB4E730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</w:tr>
    </w:tbl>
    <w:p w14:paraId="572ACA35" w14:textId="77777777" w:rsidR="00603166" w:rsidRDefault="00603166" w:rsidP="00603166">
      <w:pPr>
        <w:sectPr w:rsidR="00603166" w:rsidSect="00F41A73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Źródło: </w:t>
      </w:r>
      <w:hyperlink r:id="rId12" w:history="1">
        <w:r w:rsidRPr="00E14D2F">
          <w:rPr>
            <w:rStyle w:val="Hipercze"/>
            <w:rFonts w:eastAsiaTheme="majorEastAsia"/>
          </w:rPr>
          <w:t>https://upload.wikimedia.org/wikipedia/commons/f/f2/VQTS_Matrix_Mechatronics.pdf</w:t>
        </w:r>
      </w:hyperlink>
      <w:r>
        <w:t xml:space="preserve"> - tłumaczenie własne.</w:t>
      </w:r>
    </w:p>
    <w:p w14:paraId="1F9C48BE" w14:textId="77777777" w:rsidR="00603166" w:rsidRPr="005A5A73" w:rsidRDefault="00603166" w:rsidP="00603166">
      <w:pPr>
        <w:rPr>
          <w:b/>
        </w:rPr>
      </w:pPr>
    </w:p>
    <w:p w14:paraId="499F73AB" w14:textId="77777777" w:rsidR="00603166" w:rsidRPr="005A5A73" w:rsidRDefault="00603166" w:rsidP="00603166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Profile kompetencji</w:t>
      </w:r>
      <w:r>
        <w:rPr>
          <w:rFonts w:ascii="Arial" w:hAnsi="Arial" w:cs="Arial"/>
        </w:rPr>
        <w:t>:</w:t>
      </w:r>
    </w:p>
    <w:p w14:paraId="05254E60" w14:textId="77777777" w:rsidR="00603166" w:rsidRPr="005A5A73" w:rsidRDefault="00603166" w:rsidP="00603166">
      <w:pPr>
        <w:spacing w:line="360" w:lineRule="auto"/>
        <w:ind w:left="708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W projekcie proponuje się stosowanie profili kompetencji. Profile tworzy się w oparciu o macierz kompetencji (najkrócej mówiąc poprzez „zakreślenie” obszarów i stopni rozwoju kompetencji). Wyróżniono dwa rodzaje profili:</w:t>
      </w:r>
    </w:p>
    <w:p w14:paraId="033C77E5" w14:textId="77777777" w:rsidR="00603166" w:rsidRPr="005A5A73" w:rsidRDefault="00603166" w:rsidP="006031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Profile organizacyjne – odzwierciedlające zakres kompetencji kształconych w ramach programu realizowanego przez daną placówkę.</w:t>
      </w:r>
    </w:p>
    <w:p w14:paraId="41D03674" w14:textId="77777777" w:rsidR="00603166" w:rsidRDefault="00603166" w:rsidP="006031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Profile indywidualne – pozwalające zaplanować i monitorować rozwój kompetencji uczniów.</w:t>
      </w:r>
    </w:p>
    <w:p w14:paraId="6BC5C4B3" w14:textId="77777777" w:rsidR="00603166" w:rsidRDefault="00603166" w:rsidP="00603166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 profili przedstawiono na rysunku 2 poniżej.</w:t>
      </w:r>
    </w:p>
    <w:p w14:paraId="1D17FF97" w14:textId="77777777" w:rsidR="00603166" w:rsidRDefault="00603166" w:rsidP="00603166">
      <w:pPr>
        <w:spacing w:after="160" w:line="259" w:lineRule="auto"/>
        <w:rPr>
          <w:rFonts w:ascii="Arial" w:hAnsi="Arial" w:cs="Arial"/>
        </w:rPr>
        <w:sectPr w:rsidR="00603166" w:rsidSect="00A2799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3CB5015F" w14:textId="77777777" w:rsidR="00603166" w:rsidRPr="00B75576" w:rsidRDefault="00603166" w:rsidP="00603166">
      <w:pPr>
        <w:spacing w:line="360" w:lineRule="auto"/>
        <w:jc w:val="both"/>
        <w:rPr>
          <w:rFonts w:ascii="Arial" w:hAnsi="Arial" w:cs="Arial"/>
          <w:i/>
        </w:rPr>
      </w:pPr>
      <w:r w:rsidRPr="00B75576">
        <w:rPr>
          <w:rFonts w:ascii="Arial" w:hAnsi="Arial" w:cs="Arial"/>
          <w:i/>
        </w:rPr>
        <w:lastRenderedPageBreak/>
        <w:t>Rysunek 2. Profile kompetencji – organizacyjny i indywidualny</w:t>
      </w:r>
      <w:r>
        <w:rPr>
          <w:rFonts w:ascii="Arial" w:hAnsi="Arial" w:cs="Arial"/>
          <w:i/>
        </w:rPr>
        <w:t xml:space="preserve"> (przykład)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03166" w14:paraId="04CAECF7" w14:textId="77777777" w:rsidTr="00863F03">
        <w:tc>
          <w:tcPr>
            <w:tcW w:w="9742" w:type="dxa"/>
          </w:tcPr>
          <w:p w14:paraId="0702783A" w14:textId="77777777" w:rsidR="00603166" w:rsidRDefault="00603166" w:rsidP="00863F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81391C" wp14:editId="0C78A60A">
                  <wp:extent cx="5978769" cy="4484078"/>
                  <wp:effectExtent l="0" t="0" r="3175" b="0"/>
                  <wp:docPr id="3" name="Obraz 3" descr="Image result for mechatronics competence profile example vq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chatronics competence profile example vq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998" cy="4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1736E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Źródło: Raport końcowy projektu VQTS II</w:t>
      </w:r>
    </w:p>
    <w:p w14:paraId="04E6298B" w14:textId="77777777" w:rsidR="00603166" w:rsidRDefault="00603166" w:rsidP="00603166">
      <w:pPr>
        <w:spacing w:line="360" w:lineRule="auto"/>
        <w:jc w:val="both"/>
        <w:rPr>
          <w:rFonts w:ascii="Arial" w:hAnsi="Arial" w:cs="Arial"/>
          <w:i/>
        </w:rPr>
      </w:pPr>
      <w:r w:rsidRPr="00B75576">
        <w:rPr>
          <w:rFonts w:ascii="Arial" w:hAnsi="Arial" w:cs="Arial"/>
          <w:i/>
        </w:rPr>
        <w:lastRenderedPageBreak/>
        <w:t>Rysunek 2. Profile kompetencji – organizacyjny i indywidualny</w:t>
      </w:r>
      <w:r>
        <w:rPr>
          <w:rFonts w:ascii="Arial" w:hAnsi="Arial" w:cs="Arial"/>
          <w:i/>
        </w:rPr>
        <w:t xml:space="preserve"> (przykład) – tłumaczenie</w:t>
      </w:r>
    </w:p>
    <w:p w14:paraId="0CD4603D" w14:textId="77777777" w:rsidR="00603166" w:rsidRPr="003476DB" w:rsidRDefault="00603166" w:rsidP="00603166">
      <w:pPr>
        <w:rPr>
          <w:rFonts w:ascii="Arial" w:hAnsi="Arial" w:cs="Arial"/>
          <w:iCs/>
        </w:rPr>
      </w:pPr>
      <w:r w:rsidRPr="003476DB">
        <w:rPr>
          <w:rFonts w:ascii="Arial" w:hAnsi="Arial" w:cs="Arial"/>
          <w:iCs/>
        </w:rPr>
        <w:t>Matryca kompetencji “Machatronika”</w:t>
      </w:r>
    </w:p>
    <w:p w14:paraId="4A7CB41D" w14:textId="77777777" w:rsidR="00603166" w:rsidRDefault="00603166" w:rsidP="00603166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5369" w:type="pct"/>
        <w:tblInd w:w="-431" w:type="dxa"/>
        <w:tblLook w:val="04A0" w:firstRow="1" w:lastRow="0" w:firstColumn="1" w:lastColumn="0" w:noHBand="0" w:noVBand="1"/>
      </w:tblPr>
      <w:tblGrid>
        <w:gridCol w:w="2837"/>
        <w:gridCol w:w="2125"/>
        <w:gridCol w:w="1845"/>
        <w:gridCol w:w="466"/>
        <w:gridCol w:w="1175"/>
        <w:gridCol w:w="1052"/>
        <w:gridCol w:w="1987"/>
        <w:gridCol w:w="189"/>
        <w:gridCol w:w="628"/>
        <w:gridCol w:w="884"/>
        <w:gridCol w:w="1839"/>
      </w:tblGrid>
      <w:tr w:rsidR="00603166" w:rsidRPr="00EE2508" w14:paraId="1E6A7042" w14:textId="77777777" w:rsidTr="00863F03">
        <w:tc>
          <w:tcPr>
            <w:tcW w:w="944" w:type="pct"/>
            <w:shd w:val="clear" w:color="auto" w:fill="E7E6E6" w:themeFill="background2"/>
          </w:tcPr>
          <w:p w14:paraId="2D169FF7" w14:textId="77777777" w:rsidR="00603166" w:rsidRPr="00EE2508" w:rsidRDefault="00603166" w:rsidP="00863F03">
            <w:pPr>
              <w:rPr>
                <w:b/>
                <w:sz w:val="12"/>
                <w:szCs w:val="12"/>
              </w:rPr>
            </w:pPr>
            <w:r w:rsidRPr="00EE2508">
              <w:rPr>
                <w:b/>
                <w:sz w:val="12"/>
                <w:szCs w:val="12"/>
              </w:rPr>
              <w:t>Obszar kompetencji</w:t>
            </w:r>
          </w:p>
        </w:tc>
        <w:tc>
          <w:tcPr>
            <w:tcW w:w="4056" w:type="pct"/>
            <w:gridSpan w:val="10"/>
            <w:shd w:val="clear" w:color="auto" w:fill="E7E6E6" w:themeFill="background2"/>
          </w:tcPr>
          <w:p w14:paraId="5803A1FE" w14:textId="77777777" w:rsidR="00603166" w:rsidRPr="00EE2508" w:rsidRDefault="00603166" w:rsidP="00863F03">
            <w:pPr>
              <w:rPr>
                <w:b/>
                <w:sz w:val="12"/>
                <w:szCs w:val="12"/>
              </w:rPr>
            </w:pPr>
            <w:r w:rsidRPr="00EE2508">
              <w:rPr>
                <w:b/>
                <w:sz w:val="12"/>
                <w:szCs w:val="12"/>
              </w:rPr>
              <w:t>Stopnie rozwoju kompetencji</w:t>
            </w:r>
          </w:p>
        </w:tc>
      </w:tr>
      <w:tr w:rsidR="00603166" w:rsidRPr="00EE2508" w14:paraId="0AA2A98F" w14:textId="77777777" w:rsidTr="00863F03">
        <w:tc>
          <w:tcPr>
            <w:tcW w:w="944" w:type="pct"/>
          </w:tcPr>
          <w:p w14:paraId="7461456D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Konserwacja i zapewnianie niezawodności systemów mechatronicznych</w:t>
            </w:r>
          </w:p>
        </w:tc>
        <w:tc>
          <w:tcPr>
            <w:tcW w:w="707" w:type="pct"/>
            <w:shd w:val="clear" w:color="auto" w:fill="F7CAAC" w:themeFill="accent2" w:themeFillTint="66"/>
          </w:tcPr>
          <w:p w14:paraId="52B1624E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przeprowadzić podstawową planowaną konserwację maszyn i systemów mechatronicznych oraz przestrzegać planów konserwacji urządzeń.</w:t>
            </w:r>
          </w:p>
          <w:p w14:paraId="7A151FFA" w14:textId="77777777" w:rsidR="00603166" w:rsidRPr="00EE2508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160" w:type="pct"/>
            <w:gridSpan w:val="3"/>
            <w:shd w:val="clear" w:color="auto" w:fill="FFE599" w:themeFill="accent4" w:themeFillTint="66"/>
          </w:tcPr>
          <w:p w14:paraId="1778AB44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Zna procedury konserwacji systemów mechatronicznych, np. potrafi stosować dokumenty serwisowe i plany konserwacji oraz – w razie nowych wyzwań – odpowiednio je dostosować.</w:t>
            </w:r>
          </w:p>
        </w:tc>
        <w:tc>
          <w:tcPr>
            <w:tcW w:w="1074" w:type="pct"/>
            <w:gridSpan w:val="3"/>
            <w:shd w:val="clear" w:color="auto" w:fill="FFE599" w:themeFill="accent4" w:themeFillTint="66"/>
          </w:tcPr>
          <w:p w14:paraId="0B4F037B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stosować konserwację prewencyjną, aby zapewnić bezproblemowe działanie systemów mechatronicznych. Ponadto potrafi modyfikować sekwencje operacyjne w celu wdrażania środków zapewniania jakości.</w:t>
            </w:r>
          </w:p>
        </w:tc>
        <w:tc>
          <w:tcPr>
            <w:tcW w:w="1115" w:type="pct"/>
            <w:gridSpan w:val="3"/>
            <w:shd w:val="clear" w:color="auto" w:fill="FFE599" w:themeFill="accent4" w:themeFillTint="66"/>
          </w:tcPr>
          <w:p w14:paraId="71454CDD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tworzyć odpowiednie procedury konserwacji urządzeń i systemów mechatronicznych oraz planować konserwację i procedury zapewniania jakości.</w:t>
            </w:r>
          </w:p>
        </w:tc>
      </w:tr>
      <w:tr w:rsidR="00603166" w:rsidRPr="00EE2508" w14:paraId="51462D3D" w14:textId="77777777" w:rsidTr="00863F03">
        <w:tc>
          <w:tcPr>
            <w:tcW w:w="944" w:type="pct"/>
          </w:tcPr>
          <w:p w14:paraId="1D4F7C63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Instalacja i demontaż systemów i zakładów mechatronicznych</w:t>
            </w:r>
          </w:p>
        </w:tc>
        <w:tc>
          <w:tcPr>
            <w:tcW w:w="1321" w:type="pct"/>
            <w:gridSpan w:val="2"/>
            <w:shd w:val="clear" w:color="auto" w:fill="F7CAAC" w:themeFill="accent2" w:themeFillTint="66"/>
          </w:tcPr>
          <w:p w14:paraId="0D63A69A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stosować pisemne instrukcje instalacji i demontażu poszczególnych komponentów (np. czujników, siłowników, napędów, silników, systemów transportowych, szaf) tworzących grupę funkcjonalną systemów mechatronicznych.</w:t>
            </w: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42FB241B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Zna metody instalacji i demontażu systemów mechatronicznych wykorzystujących kilka technologii (np. mechanikę, hydraulikę, pneumatykę, elektromechanikę, elektronikę). Potrafi ustawić technologię połączeń i sprawdzić sprawność całego systemu.</w:t>
            </w:r>
          </w:p>
        </w:tc>
        <w:tc>
          <w:tcPr>
            <w:tcW w:w="1840" w:type="pct"/>
            <w:gridSpan w:val="5"/>
            <w:shd w:val="clear" w:color="auto" w:fill="FFE599" w:themeFill="accent4" w:themeFillTint="66"/>
          </w:tcPr>
          <w:p w14:paraId="37A5088F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zaproponować niezależne rozwiązania mechatroniczne do budowy linii produkcyjnych, zapewnić ich ogólne działanie oraz stosować zarówno istniejące jak i zmodyfikowane komponenty standardowe.</w:t>
            </w:r>
          </w:p>
        </w:tc>
      </w:tr>
      <w:tr w:rsidR="00603166" w:rsidRPr="00EE2508" w14:paraId="4E2B67EF" w14:textId="77777777" w:rsidTr="00863F03">
        <w:tc>
          <w:tcPr>
            <w:tcW w:w="944" w:type="pct"/>
          </w:tcPr>
          <w:p w14:paraId="0C426E75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Instalacja i regulacja komponentów mechatronicznych w systemach i liniach produkcyjnych</w:t>
            </w:r>
          </w:p>
        </w:tc>
        <w:tc>
          <w:tcPr>
            <w:tcW w:w="1321" w:type="pct"/>
            <w:gridSpan w:val="2"/>
            <w:shd w:val="clear" w:color="auto" w:fill="F7CAAC" w:themeFill="accent2" w:themeFillTint="66"/>
          </w:tcPr>
          <w:p w14:paraId="6B942431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instalować i regulować standaryzowane komponenty mechatroniczne (np. poszczególne zawory elektropneumatyczne, czujniki i siłowniki).</w:t>
            </w: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2D3D53A7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instalować i regulować komponenty podsystemów mechatronicznych (np. napędy liniowe, systemy pomiarowe, systemy transportowe).</w:t>
            </w:r>
          </w:p>
        </w:tc>
        <w:tc>
          <w:tcPr>
            <w:tcW w:w="1840" w:type="pct"/>
            <w:gridSpan w:val="5"/>
            <w:shd w:val="clear" w:color="auto" w:fill="FFE599" w:themeFill="accent4" w:themeFillTint="66"/>
          </w:tcPr>
          <w:p w14:paraId="24BEFE38" w14:textId="77777777" w:rsidR="00603166" w:rsidRPr="00EE2508" w:rsidRDefault="00603166" w:rsidP="00863F03">
            <w:pPr>
              <w:rPr>
                <w:sz w:val="12"/>
                <w:szCs w:val="12"/>
              </w:rPr>
            </w:pPr>
            <w:r w:rsidRPr="00EE2508">
              <w:rPr>
                <w:sz w:val="12"/>
                <w:szCs w:val="12"/>
              </w:rPr>
              <w:t>Potrafi instalować i regulować złożone zakłady mechatroniczne obejmujące różne technologie oraz urządzenia oprzyrządowania i sterujące, a także regulować powiązane parametry, testować ogólne funkcje obiektu i zapewniać jego niezawodność.</w:t>
            </w:r>
          </w:p>
        </w:tc>
      </w:tr>
      <w:tr w:rsidR="00603166" w:rsidRPr="0004571B" w14:paraId="1053CBF5" w14:textId="77777777" w:rsidTr="00863F03">
        <w:tc>
          <w:tcPr>
            <w:tcW w:w="944" w:type="pct"/>
          </w:tcPr>
          <w:p w14:paraId="723F2180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Projektowanie, dostosowywanie i budowanie systemów i obiektów mechatronicznych na podstawie potrzeb klientów i planów zakładów</w:t>
            </w:r>
          </w:p>
        </w:tc>
        <w:tc>
          <w:tcPr>
            <w:tcW w:w="707" w:type="pct"/>
            <w:shd w:val="clear" w:color="auto" w:fill="F7CAAC" w:themeFill="accent2" w:themeFillTint="66"/>
          </w:tcPr>
          <w:p w14:paraId="7AF517FE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Potrafi używać narzędzi mechanicznych ręcznych bądź sterowanych komputerowo do wytwarzania (zgodnie z projektami produkcyjnymi i wymogami klientów) poszczególnych komponentów systemów mechatronicznych. Potrafi tworzyć proste projekty i opisy podsystemów mechatronicznych i korzystać z podstawowych aplikacji CAD.</w:t>
            </w:r>
          </w:p>
        </w:tc>
        <w:tc>
          <w:tcPr>
            <w:tcW w:w="614" w:type="pct"/>
            <w:shd w:val="clear" w:color="auto" w:fill="F7CAAC" w:themeFill="accent2" w:themeFillTint="66"/>
          </w:tcPr>
          <w:p w14:paraId="27A66C14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Potrafi budować proste podsystemy mechatroniczne stosując rysunki techniczne oraz instalować te urządzenia zgodnie z określonymi wymaganiami produkcyjnymi. Potrafi korzystać z obszernej wiedzy na temat standardów i przepisów (np. dotyczących wykończeń powierzchni) oraz stosować bardziej zaawansowane funkcje CAD (np. kontroli zakłóceń).</w:t>
            </w:r>
          </w:p>
        </w:tc>
        <w:tc>
          <w:tcPr>
            <w:tcW w:w="896" w:type="pct"/>
            <w:gridSpan w:val="3"/>
            <w:shd w:val="clear" w:color="auto" w:fill="F7CAAC" w:themeFill="accent2" w:themeFillTint="66"/>
          </w:tcPr>
          <w:p w14:paraId="368CF809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04571B">
              <w:rPr>
                <w:sz w:val="12"/>
                <w:szCs w:val="12"/>
              </w:rPr>
              <w:t>otrafi budować systemy mechatroniczne korzystając zarówno z oryginalnych technik budowy jak i zaprojektowanych wcześniej części. W pełni rozumie funkcje CAD i potrafi dokumentować zmiany w systemie (np. listy części, opisy funkcji, instrukcje obsługi).</w:t>
            </w:r>
          </w:p>
        </w:tc>
        <w:tc>
          <w:tcPr>
            <w:tcW w:w="661" w:type="pct"/>
            <w:shd w:val="clear" w:color="auto" w:fill="FFE599" w:themeFill="accent4" w:themeFillTint="66"/>
          </w:tcPr>
          <w:p w14:paraId="591430A8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Potrafi projektować i budować samodzielne podsystemy mechatroniczne i – za pomocą odpowiednich urządzeń pomiarowych i testowych – potrafi ocenić wymaganą dokładność produkcji. Potrafi dokumentować wyniki za pomocą systemów kontroli jakości.</w:t>
            </w:r>
          </w:p>
        </w:tc>
        <w:tc>
          <w:tcPr>
            <w:tcW w:w="566" w:type="pct"/>
            <w:gridSpan w:val="3"/>
            <w:shd w:val="clear" w:color="auto" w:fill="FFE599" w:themeFill="accent4" w:themeFillTint="66"/>
          </w:tcPr>
          <w:p w14:paraId="769B907E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Pracownik posiada umiejętność wprowadzania niezależnych modyfikacji do różnych urządzeń (włącznie z doborem napędów, czujników PLC) oraz wykorzystania programów CNC do zbudowania systemu. Potrafi tworzyć i stymulować funkcjonujący system poprzez cyfrowych makiet, oraz wykorzystania obliczeń wspieranych komputerowo (np. FEM). Potrafi tworzyć analizę kosztów i zysków (np. Jako podstawa do decydowania o zakupie lub tworzeniu od podstaw komponentów).</w:t>
            </w:r>
          </w:p>
          <w:p w14:paraId="49032E74" w14:textId="77777777" w:rsidR="00603166" w:rsidRPr="0004571B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13" w:type="pct"/>
            <w:shd w:val="clear" w:color="auto" w:fill="FFE599" w:themeFill="accent4" w:themeFillTint="66"/>
          </w:tcPr>
          <w:p w14:paraId="1A19FB93" w14:textId="77777777" w:rsidR="00603166" w:rsidRPr="0004571B" w:rsidRDefault="00603166" w:rsidP="00863F03">
            <w:pPr>
              <w:rPr>
                <w:sz w:val="12"/>
                <w:szCs w:val="12"/>
              </w:rPr>
            </w:pPr>
            <w:r w:rsidRPr="0004571B">
              <w:rPr>
                <w:sz w:val="12"/>
                <w:szCs w:val="12"/>
              </w:rPr>
              <w:t>Pracownik potrafi samodzielnie tworzyć złożone systemy mecharonicznczne oraz kalkulacji ekonomicznej użyteczności systemu. Posiada umiejętność optymalizacji programów CNC na rzecz tworzenia złożonych urządzeń i systemów mechatronicznych oraz monitorowania zautomatyzowanej wielkości systemów kontroli pętli otwartych.</w:t>
            </w:r>
          </w:p>
          <w:p w14:paraId="71D4EB4D" w14:textId="77777777" w:rsidR="00603166" w:rsidRPr="0004571B" w:rsidRDefault="00603166" w:rsidP="00863F03">
            <w:pPr>
              <w:rPr>
                <w:sz w:val="12"/>
                <w:szCs w:val="12"/>
              </w:rPr>
            </w:pPr>
          </w:p>
        </w:tc>
      </w:tr>
      <w:tr w:rsidR="00603166" w:rsidRPr="00EE2508" w14:paraId="68B366AD" w14:textId="77777777" w:rsidTr="00863F03">
        <w:tc>
          <w:tcPr>
            <w:tcW w:w="944" w:type="pct"/>
          </w:tcPr>
          <w:p w14:paraId="79C42787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Wprowadzanie do eksploatacji systemów mechatronicznych oraz zapewnianie wsparcia ekonomicznego i technicznego</w:t>
            </w:r>
          </w:p>
          <w:p w14:paraId="752D68B7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7CAAC" w:themeFill="accent2" w:themeFillTint="66"/>
          </w:tcPr>
          <w:p w14:paraId="6A172C4A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wprowadzenia do eksploatacji urządzeń mechatronicznych, zgodnie ze specyfikacją i projektem, oraz zapewnienia wsparcia klientom w trakcie etapu przekazywania.</w:t>
            </w:r>
          </w:p>
          <w:p w14:paraId="160AFDCF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14" w:type="pct"/>
            <w:shd w:val="clear" w:color="auto" w:fill="F7CAAC" w:themeFill="accent2" w:themeFillTint="66"/>
          </w:tcPr>
          <w:p w14:paraId="3EB7A965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potrafi wprowadzić do eksploatacji systemy mechatroniczne – po uwzględnieniu podstawowych potrzeb i warunków przedsiębiorstwa – potrafi tworzyć niezbędną dokumentację, doradzać klientowi w temacie bezpiecznej obsługi urządzeń oraz na temat wyboru technologii w przyszłości.</w:t>
            </w:r>
          </w:p>
          <w:p w14:paraId="26EA4E33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05C6D173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opanowania wdrażania połączonych ze sobą systemów mechatronicznych oraz maszyn uwzględniając wszystkie podstawowe warunki, potrafi zapewnić podstawową dokumentację, włącznie z instrukcją obsługi. Potrafi ocenić potrzeby klienta i konfigurować maszyny zapewniające rozwiązanie. Potrafi również wyszkolić klienta w przypadku potrzeby oraz zapewnienia wsparcia na rzecz bezpiecznych działań.</w:t>
            </w:r>
          </w:p>
          <w:p w14:paraId="375DD0DD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3"/>
            <w:shd w:val="clear" w:color="auto" w:fill="FFE599" w:themeFill="accent4" w:themeFillTint="66"/>
          </w:tcPr>
          <w:p w14:paraId="25228EF2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posiada umiejętność oceny wymagań klienta w zakresie urządzeń mechatronicznych, tworzenia rozwiązań oraz planowania wdrażania i działania systemu.</w:t>
            </w:r>
          </w:p>
          <w:p w14:paraId="39D29987" w14:textId="77777777" w:rsidR="00603166" w:rsidRPr="00AD1BE6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2"/>
            <w:shd w:val="clear" w:color="auto" w:fill="FFE599" w:themeFill="accent4" w:themeFillTint="66"/>
          </w:tcPr>
          <w:p w14:paraId="5F58B20C" w14:textId="77777777" w:rsidR="00603166" w:rsidRPr="00AD1BE6" w:rsidRDefault="00603166" w:rsidP="00863F03">
            <w:pPr>
              <w:rPr>
                <w:sz w:val="12"/>
                <w:szCs w:val="12"/>
              </w:rPr>
            </w:pPr>
            <w:r w:rsidRPr="00AD1BE6">
              <w:rPr>
                <w:sz w:val="12"/>
                <w:szCs w:val="12"/>
              </w:rPr>
              <w:t>Pracownik potrafi pokierować przy wdrażaniu projektu, włącznie z zaplanowaniem i zarządzaniem czasem, od stworzenia propozycji dla klienta po jego akceptację.</w:t>
            </w:r>
          </w:p>
        </w:tc>
      </w:tr>
      <w:tr w:rsidR="00603166" w:rsidRPr="00EE2508" w14:paraId="1405A0D7" w14:textId="77777777" w:rsidTr="00863F03">
        <w:tc>
          <w:tcPr>
            <w:tcW w:w="944" w:type="pct"/>
          </w:tcPr>
          <w:p w14:paraId="4576DF67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lastRenderedPageBreak/>
              <w:t>Nadzór i ocena tak sekwencji procesu systemów mechatronicznych oraz urządzeń, jak i sekwencji działania (włącznie z zapewnieniem jakości)</w:t>
            </w:r>
          </w:p>
          <w:p w14:paraId="7C65431D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7CAAC" w:themeFill="accent2" w:themeFillTint="66"/>
          </w:tcPr>
          <w:p w14:paraId="53CCA16D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posiada umiejętność nadzoru sekwencji procesu zgodnie ze specyfikacjami oraz wdrożenie wszelkich żądanych działań zapewniających kontrole jakości.</w:t>
            </w:r>
          </w:p>
        </w:tc>
        <w:tc>
          <w:tcPr>
            <w:tcW w:w="614" w:type="pct"/>
            <w:shd w:val="clear" w:color="auto" w:fill="FFE599" w:themeFill="accent4" w:themeFillTint="66"/>
          </w:tcPr>
          <w:p w14:paraId="6C59B008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potrafi samodzielnie nadzorować sekwencję procesów, oceniać wyników, obsługiwać towarzyszący proces kontroli statystycznej (SPC) planować kontrolę jakości oraz przygotowanie prostych planów pracy – włącznie z planem produkcji i zarządzaniem czasem.</w:t>
            </w: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47C31027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posiada umiejętność obsługi i nadzoru urządzeń mechatronicznych, wybór programów sprawdzających i monitorujących, konfiguracja towarzyszących SPC, dążenie do osiągnięcia optymalnych wyników na linii produkcyjnej zgodnie z przepływem materiału, oraz umiejętność zapewnienia planów pracy łącznie z standardowymi czasami produkcji.</w:t>
            </w:r>
          </w:p>
          <w:p w14:paraId="214F7BB7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3"/>
            <w:shd w:val="clear" w:color="auto" w:fill="FFE599" w:themeFill="accent4" w:themeFillTint="66"/>
          </w:tcPr>
          <w:p w14:paraId="0149E344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potrafi monitorować złożone systemy mechatronicznych przy użyciu wirtualnych instrumentów oraz systemów PPS, jak i kontrolować pętle otwartych na rzecz optymalizacji rozmieszczenia maszyn, analizy przepływu materiału oraz planowania.</w:t>
            </w:r>
          </w:p>
          <w:p w14:paraId="0AA05BA2" w14:textId="77777777" w:rsidR="00603166" w:rsidRPr="005600F3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907" w:type="pct"/>
            <w:gridSpan w:val="2"/>
            <w:shd w:val="clear" w:color="auto" w:fill="FFE599" w:themeFill="accent4" w:themeFillTint="66"/>
          </w:tcPr>
          <w:p w14:paraId="44E8049C" w14:textId="77777777" w:rsidR="00603166" w:rsidRPr="005600F3" w:rsidRDefault="00603166" w:rsidP="00863F03">
            <w:pPr>
              <w:rPr>
                <w:sz w:val="12"/>
                <w:szCs w:val="12"/>
              </w:rPr>
            </w:pPr>
            <w:r w:rsidRPr="005600F3">
              <w:rPr>
                <w:sz w:val="12"/>
                <w:szCs w:val="12"/>
              </w:rPr>
              <w:t>Pracownik posiada umiejętność optymalizacji cyklów procesów mechatronicznych linii produkcyjnych, zapewnienia instrukcji służących do modyfikacji systemów PPS (np. dopasowanie do systemów</w:t>
            </w:r>
            <w:r w:rsidRPr="005600F3">
              <w:rPr>
                <w:sz w:val="12"/>
                <w:szCs w:val="12"/>
              </w:rPr>
              <w:fldChar w:fldCharType="begin"/>
            </w:r>
            <w:r w:rsidRPr="005600F3">
              <w:rPr>
                <w:sz w:val="12"/>
                <w:szCs w:val="12"/>
              </w:rPr>
              <w:instrText xml:space="preserve"> LISTNUM </w:instrText>
            </w:r>
            <w:r w:rsidRPr="005600F3">
              <w:rPr>
                <w:sz w:val="12"/>
                <w:szCs w:val="12"/>
              </w:rPr>
              <w:fldChar w:fldCharType="end"/>
            </w:r>
            <w:r w:rsidRPr="005600F3">
              <w:rPr>
                <w:sz w:val="12"/>
                <w:szCs w:val="12"/>
              </w:rPr>
              <w:t xml:space="preserve"> SAP) oraz wprowadzenia systemów jakościowych na rzecz procesu stałego ulepszania (CIV/KVP)</w:t>
            </w:r>
          </w:p>
        </w:tc>
      </w:tr>
      <w:tr w:rsidR="00603166" w:rsidRPr="001A3CCB" w14:paraId="60B5112B" w14:textId="77777777" w:rsidTr="00863F03">
        <w:tc>
          <w:tcPr>
            <w:tcW w:w="944" w:type="pct"/>
          </w:tcPr>
          <w:p w14:paraId="36F810E7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Instalacja, konfiguracja, programowanie i testowanie osprzętu i elementów oprogramowania na potrzeby regulacji systemów i urządzeń mechatronicznych.</w:t>
            </w:r>
          </w:p>
        </w:tc>
        <w:tc>
          <w:tcPr>
            <w:tcW w:w="707" w:type="pct"/>
            <w:shd w:val="clear" w:color="auto" w:fill="F7CAAC" w:themeFill="accent2" w:themeFillTint="66"/>
          </w:tcPr>
          <w:p w14:paraId="65AD3B9E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instalacji i konfiguracji programów osprzętu i elementów oprogramowania oraz prostych programów sterowania programowalnego (PLC).</w:t>
            </w:r>
          </w:p>
          <w:p w14:paraId="41D50419" w14:textId="77777777" w:rsidR="00603166" w:rsidRPr="001A3CCB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14" w:type="pct"/>
            <w:shd w:val="clear" w:color="auto" w:fill="FFE599" w:themeFill="accent4" w:themeFillTint="66"/>
          </w:tcPr>
          <w:p w14:paraId="240B1BE9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wyboru osprzętu i oprogramowania dla systemów mechatronicznych (np. czujniki, siłowniki, interfejsy, procedury komunikacyjne) oraz zapewnienia jak i sprawdzenia prostych programów sterowania programowalnego (PLC) zgodnie z wymaganiami procesu produkcyjnego.</w:t>
            </w: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593A718A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posiada umiejętność integracji i konfiguracji mechanizmów programowania, kontroli i regulacji w systemach mechatronicznych, programowanie prostych urządzeń (we współpracy z deweloperami) oraz stymulacji sekwencji programowej przed uruchomieniem.</w:t>
            </w:r>
          </w:p>
        </w:tc>
        <w:tc>
          <w:tcPr>
            <w:tcW w:w="1840" w:type="pct"/>
            <w:gridSpan w:val="5"/>
            <w:shd w:val="clear" w:color="auto" w:fill="FFE599" w:themeFill="accent4" w:themeFillTint="66"/>
          </w:tcPr>
          <w:p w14:paraId="3222A84E" w14:textId="77777777" w:rsidR="00603166" w:rsidRPr="001A3CCB" w:rsidRDefault="00603166" w:rsidP="00863F03">
            <w:pPr>
              <w:rPr>
                <w:sz w:val="12"/>
                <w:szCs w:val="12"/>
              </w:rPr>
            </w:pPr>
            <w:r w:rsidRPr="001A3CCB">
              <w:rPr>
                <w:sz w:val="12"/>
                <w:szCs w:val="12"/>
              </w:rPr>
              <w:t>Pracownik potrafi stworzyć, sprawdzić i konfigurować oprogramowanie i sprzęt dla sieciowych systemów mechatronicznych; posiada umiejętność monitorowania warunków systemowych przy wykorzystaniu odpowiednich narzędzi pomiaru i wizualizacji.</w:t>
            </w:r>
          </w:p>
          <w:p w14:paraId="769F84C3" w14:textId="77777777" w:rsidR="00603166" w:rsidRPr="001A3CCB" w:rsidRDefault="00603166" w:rsidP="00863F03">
            <w:pPr>
              <w:rPr>
                <w:sz w:val="12"/>
                <w:szCs w:val="12"/>
              </w:rPr>
            </w:pPr>
          </w:p>
        </w:tc>
      </w:tr>
      <w:tr w:rsidR="00603166" w:rsidRPr="00EE2508" w14:paraId="7FE2208B" w14:textId="77777777" w:rsidTr="00863F03">
        <w:tc>
          <w:tcPr>
            <w:tcW w:w="944" w:type="pct"/>
          </w:tcPr>
          <w:p w14:paraId="1D6080DB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Przygotowanie i dystrybucja informacji technicznej w celu dopasowania systemów mechatronicznych do potrzeb poszczególnych przedsiębiorstw.</w:t>
            </w:r>
          </w:p>
          <w:p w14:paraId="1A3C0A0F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476" w:type="pct"/>
            <w:gridSpan w:val="3"/>
            <w:shd w:val="clear" w:color="auto" w:fill="F7CAAC" w:themeFill="accent2" w:themeFillTint="66"/>
          </w:tcPr>
          <w:p w14:paraId="0C5A9348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potrafi zapewnić opisy i projekty podsystemów mechatronicznych oraz zna podstawowych aplikacji CAD.</w:t>
            </w:r>
          </w:p>
          <w:p w14:paraId="09D0DC9E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40" w:type="pct"/>
            <w:gridSpan w:val="2"/>
            <w:shd w:val="clear" w:color="auto" w:fill="FFE599" w:themeFill="accent4" w:themeFillTint="66"/>
          </w:tcPr>
          <w:p w14:paraId="2CAC5A5D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potrafi w pełni zrozumieć proces zarządzania dokumentami technicznymi systemów mechatronicznych oraz przygotować, jak i dostosować, te dokumenty według konkretnych wymagań działania przedsiębiorstwa.</w:t>
            </w:r>
          </w:p>
          <w:p w14:paraId="6B1367C4" w14:textId="77777777" w:rsidR="00603166" w:rsidRPr="009C3C50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840" w:type="pct"/>
            <w:gridSpan w:val="5"/>
            <w:shd w:val="clear" w:color="auto" w:fill="FFE599" w:themeFill="accent4" w:themeFillTint="66"/>
          </w:tcPr>
          <w:p w14:paraId="6280BD11" w14:textId="77777777" w:rsidR="00603166" w:rsidRPr="009C3C50" w:rsidRDefault="00603166" w:rsidP="00863F03">
            <w:pPr>
              <w:rPr>
                <w:sz w:val="12"/>
                <w:szCs w:val="12"/>
              </w:rPr>
            </w:pPr>
            <w:r w:rsidRPr="009C3C50">
              <w:rPr>
                <w:sz w:val="12"/>
                <w:szCs w:val="12"/>
              </w:rPr>
              <w:t>Pracownik posiada umiejętność analizy poszczególnych złożonych sekwencji działania mającej na celu zrozumienie połączeń oraz sporządzenie procedur produkcji i utrzymania. Potrafi zrozumieć, iż parametry systemu są ważne dla funkcjonowania sprzętu oraz ocenić i udokumentować zużycie i ogólne warunki sprzętu mechatronicznego.</w:t>
            </w:r>
          </w:p>
        </w:tc>
      </w:tr>
      <w:tr w:rsidR="00603166" w:rsidRPr="00EE2508" w14:paraId="7FEB9AE9" w14:textId="77777777" w:rsidTr="00863F03">
        <w:tc>
          <w:tcPr>
            <w:tcW w:w="944" w:type="pct"/>
          </w:tcPr>
          <w:p w14:paraId="21077FDD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Diagnoza i naprawa usterek w systemach oraz urządzeniach mechatronicznych, doradzanie w jaki sposób uniknąć awarii oraz modyfikacja i rozszerzanie systemów mechatronicznych.</w:t>
            </w:r>
          </w:p>
          <w:p w14:paraId="37C1156E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F7CAAC" w:themeFill="accent2" w:themeFillTint="66"/>
          </w:tcPr>
          <w:p w14:paraId="055FF621" w14:textId="77777777" w:rsidR="00603166" w:rsidRPr="000347E9" w:rsidRDefault="00603166" w:rsidP="00863F03">
            <w:pPr>
              <w:rPr>
                <w:sz w:val="12"/>
                <w:szCs w:val="12"/>
                <w:lang w:val="en-GB"/>
              </w:rPr>
            </w:pPr>
            <w:r w:rsidRPr="000347E9">
              <w:rPr>
                <w:sz w:val="12"/>
                <w:szCs w:val="12"/>
              </w:rPr>
              <w:t xml:space="preserve">Pracownik potrafi zdiagnozować i naprawić błędy i usterki w prostych częściach i urządzeniach systemów mechatronicznych. </w:t>
            </w:r>
            <w:r w:rsidRPr="000347E9">
              <w:rPr>
                <w:sz w:val="12"/>
                <w:szCs w:val="12"/>
                <w:lang w:val="en-GB"/>
              </w:rPr>
              <w:t>Pracownik potrafi wykorzystać niezbędne narzędzia diagnozy i pomiaru.</w:t>
            </w:r>
          </w:p>
          <w:p w14:paraId="4D72094F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614" w:type="pct"/>
            <w:shd w:val="clear" w:color="auto" w:fill="FFE599" w:themeFill="accent4" w:themeFillTint="66"/>
          </w:tcPr>
          <w:p w14:paraId="2ADBF3D1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samodzielnie naprawiać problemy w sprzęcie produkcyjnym przy pomocy wspieranych komputerowo systemów diagnostycznych oraz wykorzystać specjalistyczne systemy, bazy danych i dokumentacje błędów.</w:t>
            </w:r>
          </w:p>
        </w:tc>
        <w:tc>
          <w:tcPr>
            <w:tcW w:w="896" w:type="pct"/>
            <w:gridSpan w:val="3"/>
            <w:shd w:val="clear" w:color="auto" w:fill="FFE599" w:themeFill="accent4" w:themeFillTint="66"/>
          </w:tcPr>
          <w:p w14:paraId="532563C7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zdiagnozować i naprawić błędy i zakłócenia w złożonym sprzęcie mechatronicznym oraz potrafi doradzić klientowi w jaki sposób uniknąć awarii poprzez zmiany w aktualizacjach systemów i sprzętu.</w:t>
            </w:r>
          </w:p>
          <w:p w14:paraId="5C71B4BD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  <w:tc>
          <w:tcPr>
            <w:tcW w:w="1840" w:type="pct"/>
            <w:gridSpan w:val="5"/>
            <w:shd w:val="clear" w:color="auto" w:fill="FFE599" w:themeFill="accent4" w:themeFillTint="66"/>
          </w:tcPr>
          <w:p w14:paraId="112FA2A3" w14:textId="77777777" w:rsidR="00603166" w:rsidRPr="000347E9" w:rsidRDefault="00603166" w:rsidP="00863F03">
            <w:pPr>
              <w:rPr>
                <w:sz w:val="12"/>
                <w:szCs w:val="12"/>
              </w:rPr>
            </w:pPr>
            <w:r w:rsidRPr="000347E9">
              <w:rPr>
                <w:sz w:val="12"/>
                <w:szCs w:val="12"/>
              </w:rPr>
              <w:t>Pracownik potrafi stworzyć system monitorujący i diagnostyczny na podstawie analizy usterek sprzętu mechatronicznego.</w:t>
            </w:r>
          </w:p>
          <w:p w14:paraId="6B7EF0DF" w14:textId="77777777" w:rsidR="00603166" w:rsidRPr="000347E9" w:rsidRDefault="00603166" w:rsidP="00863F03">
            <w:pPr>
              <w:rPr>
                <w:sz w:val="12"/>
                <w:szCs w:val="12"/>
              </w:rPr>
            </w:pPr>
          </w:p>
        </w:tc>
      </w:tr>
    </w:tbl>
    <w:p w14:paraId="0CA2DF3F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603166" w14:paraId="5C908437" w14:textId="77777777" w:rsidTr="00863F03">
        <w:tc>
          <w:tcPr>
            <w:tcW w:w="2689" w:type="dxa"/>
            <w:shd w:val="clear" w:color="auto" w:fill="FFE599" w:themeFill="accent4" w:themeFillTint="66"/>
          </w:tcPr>
          <w:p w14:paraId="5F5B3E70" w14:textId="77777777" w:rsidR="00603166" w:rsidRDefault="00603166" w:rsidP="00863F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4A7744A0" w14:textId="77777777" w:rsidR="00603166" w:rsidRPr="003476DB" w:rsidRDefault="00603166" w:rsidP="00863F0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76DB">
              <w:rPr>
                <w:rFonts w:ascii="Arial" w:hAnsi="Arial" w:cs="Arial"/>
                <w:sz w:val="24"/>
                <w:szCs w:val="24"/>
              </w:rPr>
              <w:t xml:space="preserve">„Profil organizacyjny” - kompetencje istotne dla </w:t>
            </w:r>
            <w:r>
              <w:rPr>
                <w:rFonts w:ascii="Arial" w:hAnsi="Arial" w:cs="Arial"/>
                <w:sz w:val="24"/>
                <w:szCs w:val="24"/>
              </w:rPr>
              <w:t>określonych</w:t>
            </w:r>
            <w:r w:rsidRPr="003476DB">
              <w:rPr>
                <w:rFonts w:ascii="Arial" w:hAnsi="Arial" w:cs="Arial"/>
                <w:sz w:val="24"/>
                <w:szCs w:val="24"/>
              </w:rPr>
              <w:t xml:space="preserve"> programów szkoleniowych lub kwalifikacji</w:t>
            </w:r>
          </w:p>
        </w:tc>
      </w:tr>
      <w:tr w:rsidR="00603166" w14:paraId="0EE6314A" w14:textId="77777777" w:rsidTr="00863F03">
        <w:tc>
          <w:tcPr>
            <w:tcW w:w="2689" w:type="dxa"/>
            <w:shd w:val="clear" w:color="auto" w:fill="F7CAAC" w:themeFill="accent2" w:themeFillTint="66"/>
          </w:tcPr>
          <w:p w14:paraId="2F2D26DF" w14:textId="77777777" w:rsidR="00603166" w:rsidRDefault="00603166" w:rsidP="00863F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7238FA46" w14:textId="77777777" w:rsidR="00603166" w:rsidRDefault="00603166" w:rsidP="00863F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„Profil indywidualny” – kompetencje nabyte w wyniku szkolenia</w:t>
            </w:r>
          </w:p>
        </w:tc>
      </w:tr>
    </w:tbl>
    <w:p w14:paraId="2FFDA00D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2FF1E718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6E3B4B6C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73C967EA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  <w:sectPr w:rsidR="00603166" w:rsidSect="003804DC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0A47B9D" w14:textId="77777777" w:rsidR="00603166" w:rsidRPr="005A5A73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1126F667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1EC78205" w14:textId="77777777" w:rsidR="00603166" w:rsidRPr="005A5A73" w:rsidRDefault="00603166" w:rsidP="0060316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>Dokumentacja TRIFT - przygotowanie, koordynacja, ewaluacja i certyfikacja efektów uczenia się</w:t>
      </w:r>
      <w:r>
        <w:rPr>
          <w:rFonts w:ascii="Arial" w:hAnsi="Arial" w:cs="Arial"/>
        </w:rPr>
        <w:t>:</w:t>
      </w:r>
    </w:p>
    <w:p w14:paraId="66D3C0EC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  <w:r w:rsidRPr="005A5A73">
        <w:rPr>
          <w:rFonts w:ascii="Arial" w:hAnsi="Arial" w:cs="Arial"/>
        </w:rPr>
        <w:t xml:space="preserve">Projekt TRIFT przewiduje stosowanie dokumentacji na wszystkich etapach realizacji praktyk zawodowych. Dokumentacja ma służyć dobremu zaplanowaniu, organizacji, a w następnej kolejności także ewaluacji procesu kształcenia i jego efektów. Poniżej przedstawiam schemat dokumentacji, natomiast szczegółowe informacje (szablony wszystkich dokumentów) dostępne są na stronie projektu </w:t>
      </w:r>
      <w:hyperlink r:id="rId14" w:history="1">
        <w:r w:rsidRPr="001E25A5">
          <w:rPr>
            <w:rStyle w:val="Hipercze"/>
            <w:rFonts w:ascii="Arial" w:hAnsi="Arial" w:cs="Arial"/>
          </w:rPr>
          <w:t>http://trift.eu</w:t>
        </w:r>
      </w:hyperlink>
      <w:r w:rsidRPr="005A5A73">
        <w:rPr>
          <w:rFonts w:ascii="Arial" w:hAnsi="Arial" w:cs="Arial"/>
        </w:rPr>
        <w:t>.</w:t>
      </w:r>
    </w:p>
    <w:p w14:paraId="649D0608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  <w:i/>
        </w:rPr>
        <w:sectPr w:rsidR="00603166" w:rsidSect="00A2799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6FD5B1C" w14:textId="77777777" w:rsidR="00603166" w:rsidRPr="00B75576" w:rsidRDefault="00603166" w:rsidP="00603166">
      <w:pPr>
        <w:pStyle w:val="Akapitzlist"/>
        <w:spacing w:line="360" w:lineRule="auto"/>
        <w:jc w:val="both"/>
        <w:rPr>
          <w:rFonts w:ascii="Arial" w:hAnsi="Arial" w:cs="Arial"/>
          <w:i/>
        </w:rPr>
      </w:pPr>
      <w:r w:rsidRPr="00B75576">
        <w:rPr>
          <w:rFonts w:ascii="Arial" w:hAnsi="Arial" w:cs="Arial"/>
          <w:i/>
        </w:rPr>
        <w:lastRenderedPageBreak/>
        <w:t>Rysunek 3. Schemat dokumentacji w projekcie TRIFT</w:t>
      </w:r>
      <w:r>
        <w:rPr>
          <w:rFonts w:ascii="Arial" w:hAnsi="Arial" w:cs="Arial"/>
          <w:i/>
        </w:rPr>
        <w:t xml:space="preserve"> (wersja orginalna)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42"/>
      </w:tblGrid>
      <w:tr w:rsidR="00603166" w14:paraId="5D5A60C1" w14:textId="77777777" w:rsidTr="00863F03">
        <w:tc>
          <w:tcPr>
            <w:tcW w:w="9742" w:type="dxa"/>
          </w:tcPr>
          <w:p w14:paraId="709D4B30" w14:textId="77777777" w:rsidR="00603166" w:rsidRDefault="00603166" w:rsidP="00863F0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0B869053" wp14:editId="445B6697">
                  <wp:extent cx="5753735" cy="3333750"/>
                  <wp:effectExtent l="0" t="0" r="0" b="0"/>
                  <wp:docPr id="2" name="Obraz 2" descr="Zakres dokument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res dokument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EB0BD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Źródło: </w:t>
      </w:r>
      <w:hyperlink r:id="rId16" w:history="1">
        <w:r w:rsidRPr="00FE1173">
          <w:rPr>
            <w:rStyle w:val="Hipercze"/>
            <w:rFonts w:ascii="Arial" w:hAnsi="Arial" w:cs="Arial"/>
          </w:rPr>
          <w:t>http://trift.eu</w:t>
        </w:r>
      </w:hyperlink>
    </w:p>
    <w:p w14:paraId="530F40B0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B318DDC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71BF64F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6C4EFD1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C310AD4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079420D" w14:textId="77777777" w:rsidR="00603166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  <w:r w:rsidRPr="00B75576">
        <w:rPr>
          <w:rFonts w:ascii="Arial" w:hAnsi="Arial" w:cs="Arial"/>
          <w:i/>
        </w:rPr>
        <w:lastRenderedPageBreak/>
        <w:t xml:space="preserve">Rysunek </w:t>
      </w:r>
      <w:r>
        <w:rPr>
          <w:rFonts w:ascii="Arial" w:hAnsi="Arial" w:cs="Arial"/>
          <w:i/>
        </w:rPr>
        <w:t>4</w:t>
      </w:r>
      <w:r w:rsidRPr="00B75576">
        <w:rPr>
          <w:rFonts w:ascii="Arial" w:hAnsi="Arial" w:cs="Arial"/>
          <w:i/>
        </w:rPr>
        <w:t>. Schemat dokumentacji w projekcie TRIFT</w:t>
      </w:r>
      <w:r>
        <w:rPr>
          <w:rFonts w:ascii="Arial" w:hAnsi="Arial" w:cs="Arial"/>
          <w:i/>
        </w:rPr>
        <w:t xml:space="preserve"> (tłumaczenie na język polski)</w:t>
      </w:r>
    </w:p>
    <w:p w14:paraId="26E7E12A" w14:textId="77777777" w:rsidR="00603166" w:rsidRPr="005A5A73" w:rsidRDefault="00603166" w:rsidP="0060316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B8FAB" wp14:editId="7C433A4E">
                <wp:simplePos x="0" y="0"/>
                <wp:positionH relativeFrom="column">
                  <wp:posOffset>-19514</wp:posOffset>
                </wp:positionH>
                <wp:positionV relativeFrom="paragraph">
                  <wp:posOffset>-52553</wp:posOffset>
                </wp:positionV>
                <wp:extent cx="8611586" cy="3527946"/>
                <wp:effectExtent l="0" t="0" r="18415" b="15875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1586" cy="3527946"/>
                          <a:chOff x="0" y="0"/>
                          <a:chExt cx="8611586" cy="3527946"/>
                        </a:xfrm>
                      </wpg:grpSpPr>
                      <wpg:grpSp>
                        <wpg:cNvPr id="30" name="Grupa 30"/>
                        <wpg:cNvGrpSpPr/>
                        <wpg:grpSpPr>
                          <a:xfrm>
                            <a:off x="0" y="0"/>
                            <a:ext cx="1180465" cy="3527946"/>
                            <a:chOff x="0" y="0"/>
                            <a:chExt cx="1180465" cy="3527946"/>
                          </a:xfrm>
                        </wpg:grpSpPr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0465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C05FAF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Przed stażem</w:t>
                                </w:r>
                              </w:p>
                              <w:p w14:paraId="7023B2BC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1445"/>
                              <a:ext cx="1180465" cy="41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322B7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Formularz kontaktowy (dok 01)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1" y="2599741"/>
                              <a:ext cx="1159510" cy="928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77CD0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Pierwsza samoocena</w:t>
                                </w:r>
                              </w:p>
                              <w:p w14:paraId="67BBFF57" w14:textId="77777777" w:rsidR="00603166" w:rsidRPr="000E411A" w:rsidRDefault="00603166" w:rsidP="00603166">
                                <w:pPr>
                                  <w:pStyle w:val="Akapitzlist"/>
                                  <w:numPr>
                                    <w:ilvl w:val="0"/>
                                    <w:numId w:val="24"/>
                                  </w:numPr>
                                  <w:ind w:left="28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Przekrojowa</w:t>
                                </w:r>
                              </w:p>
                              <w:p w14:paraId="323FAD42" w14:textId="77777777" w:rsidR="00603166" w:rsidRPr="000E411A" w:rsidRDefault="00603166" w:rsidP="00603166">
                                <w:pPr>
                                  <w:pStyle w:val="Akapitzlist"/>
                                  <w:numPr>
                                    <w:ilvl w:val="0"/>
                                    <w:numId w:val="24"/>
                                  </w:numPr>
                                  <w:ind w:left="28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Zawodowa/ profesjonalna (dok 03)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2" y="1931158"/>
                              <a:ext cx="115951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F89BE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CV (Europass)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2" y="1289714"/>
                              <a:ext cx="115951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CB8E8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Podanie o pracę (dok 02)</w:t>
                                </w:r>
                              </w:p>
                              <w:p w14:paraId="5B4E8614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" name="Grupa 36"/>
                        <wpg:cNvGrpSpPr/>
                        <wpg:grpSpPr>
                          <a:xfrm>
                            <a:off x="1521601" y="0"/>
                            <a:ext cx="3288785" cy="3370822"/>
                            <a:chOff x="-124" y="0"/>
                            <a:chExt cx="3288785" cy="3370822"/>
                          </a:xfrm>
                        </wpg:grpSpPr>
                        <wps:wsp>
                          <wps:cNvPr id="3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21" y="0"/>
                              <a:ext cx="126873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B48EC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Staż</w:t>
                                </w:r>
                              </w:p>
                              <w:p w14:paraId="79097D8B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41" y="641445"/>
                              <a:ext cx="123444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57281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Profil firmy (dok 04)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po dwóch tygodniach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60" y="1289714"/>
                              <a:ext cx="120015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359847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Cele stażu (dok 05)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po dwóch tygodniach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012" y="1944806"/>
                              <a:ext cx="121412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375DE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Tygodniowe raporty (dok 06)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60" y="2436126"/>
                              <a:ext cx="1241425" cy="231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0A6FE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Projekt (dok 07 i 08)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4" y="2872505"/>
                              <a:ext cx="1057825" cy="498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F78C9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Plan projektu (dok 07)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po dwóch tygodniach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951" y="2872430"/>
                              <a:ext cx="982345" cy="497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DEC69A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Wyniki projektu (dok 08)</w:t>
                                </w:r>
                              </w:p>
                              <w:p w14:paraId="0175DAAA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6316" y="2872430"/>
                              <a:ext cx="982345" cy="497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84E54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Informacja zwrotna (dok 09)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Łącznik prosty 45"/>
                          <wps:cNvCnPr/>
                          <wps:spPr>
                            <a:xfrm flipH="1">
                              <a:off x="511791" y="2668138"/>
                              <a:ext cx="136478" cy="20495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Łącznik prosty 46"/>
                          <wps:cNvCnPr/>
                          <wps:spPr>
                            <a:xfrm>
                              <a:off x="812042" y="2668138"/>
                              <a:ext cx="812629" cy="2047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Łącznik prosty 47"/>
                          <wps:cNvCnPr/>
                          <wps:spPr>
                            <a:xfrm>
                              <a:off x="1160060" y="2668138"/>
                              <a:ext cx="1624672" cy="2047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" name="Grupa 48"/>
                        <wpg:cNvGrpSpPr/>
                        <wpg:grpSpPr>
                          <a:xfrm>
                            <a:off x="3411940" y="0"/>
                            <a:ext cx="5199646" cy="3118059"/>
                            <a:chOff x="0" y="0"/>
                            <a:chExt cx="5199646" cy="3118059"/>
                          </a:xfrm>
                        </wpg:grpSpPr>
                        <wps:wsp>
                          <wps:cNvPr id="49" name="Pole tekstowe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E73A86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Po stażu</w:t>
                                </w:r>
                              </w:p>
                              <w:p w14:paraId="11BCEC84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147" y="0"/>
                              <a:ext cx="15557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66B57E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Prezentacja</w:t>
                                </w:r>
                              </w:p>
                              <w:p w14:paraId="104D8010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726" y="0"/>
                              <a:ext cx="139192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5541D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Ocena</w:t>
                                </w:r>
                              </w:p>
                              <w:p w14:paraId="5A28BBFE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80" y="566298"/>
                              <a:ext cx="1063625" cy="93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B1A40C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Druga samoocena</w:t>
                                </w:r>
                              </w:p>
                              <w:p w14:paraId="2FEF4AAF" w14:textId="77777777" w:rsidR="00603166" w:rsidRPr="000E411A" w:rsidRDefault="00603166" w:rsidP="00603166">
                                <w:pPr>
                                  <w:pStyle w:val="Akapitzlist"/>
                                  <w:numPr>
                                    <w:ilvl w:val="0"/>
                                    <w:numId w:val="24"/>
                                  </w:numPr>
                                  <w:ind w:left="28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Przekrojowa</w:t>
                                </w:r>
                              </w:p>
                              <w:p w14:paraId="0A10EBD3" w14:textId="77777777" w:rsidR="00603166" w:rsidRPr="000E411A" w:rsidRDefault="00603166" w:rsidP="00603166">
                                <w:pPr>
                                  <w:pStyle w:val="Akapitzlist"/>
                                  <w:numPr>
                                    <w:ilvl w:val="0"/>
                                    <w:numId w:val="24"/>
                                  </w:numPr>
                                  <w:ind w:left="28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Zawodowa/ profesjonalna (dok 10)</w:t>
                                </w:r>
                              </w:p>
                              <w:p w14:paraId="4633C5BC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20" y="1658203"/>
                              <a:ext cx="1063625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2BCB7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Przemyślenia ucznia (dok 11)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845" y="641445"/>
                              <a:ext cx="135763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38C1D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Ocena stażu przez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firmę</w:t>
                                </w: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(EV 01)</w:t>
                                </w:r>
                              </w:p>
                              <w:p w14:paraId="5C930BD3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845" y="1214651"/>
                              <a:ext cx="135763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DA5F8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Ocena projektu przez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nauczyciela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(EV 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5965" y="1876567"/>
                              <a:ext cx="1323340" cy="518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CF1086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Ocena  kompetencji w miejscu pracy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przez nauczyciela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(EV03)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5965" y="2599899"/>
                              <a:ext cx="1322705" cy="518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ECA50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Ocena prezentacji przez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nauczyciela </w:t>
                                </w:r>
                                <w:r w:rsidRPr="000E41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(EV 04)</w:t>
                                </w:r>
                              </w:p>
                              <w:p w14:paraId="59A44DA8" w14:textId="77777777" w:rsidR="00603166" w:rsidRPr="000E411A" w:rsidRDefault="00603166" w:rsidP="0060316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B8FAB" id="Grupa 29" o:spid="_x0000_s1026" style="position:absolute;left:0;text-align:left;margin-left:-1.55pt;margin-top:-4.15pt;width:678.1pt;height:277.8pt;z-index:251659264;mso-height-relative:margin" coordsize="86115,3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">
                <v:group id="Grupa 30" o:spid="_x0000_s1027" style="position:absolute;width:11804;height:35279" coordsize="11804,3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8" type="#_x0000_t202" style="position:absolute;width:11804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textbox>
                      <w:txbxContent>
                        <w:p w14:paraId="75C05FAF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Przed stażem</w:t>
                          </w:r>
                        </w:p>
                        <w:p w14:paraId="7023B2BC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29" type="#_x0000_t202" style="position:absolute;top:6414;width:11804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14:paraId="46E322B7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Formularz kontaktowy (dok 01)</w:t>
                          </w:r>
                        </w:p>
                      </w:txbxContent>
                    </v:textbox>
                  </v:shape>
                  <v:shape id="Pole tekstowe 2" o:spid="_x0000_s1030" type="#_x0000_t202" style="position:absolute;left:204;top:25997;width:11595;height:9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<v:textbox>
                      <w:txbxContent>
                        <w:p w14:paraId="2C377CD0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Pierwsza samoocena</w:t>
                          </w:r>
                        </w:p>
                        <w:p w14:paraId="67BBFF57" w14:textId="77777777" w:rsidR="00603166" w:rsidRPr="000E411A" w:rsidRDefault="00603166" w:rsidP="00603166">
                          <w:pPr>
                            <w:pStyle w:val="Akapitzlist"/>
                            <w:numPr>
                              <w:ilvl w:val="0"/>
                              <w:numId w:val="24"/>
                            </w:numPr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Przekrojowa</w:t>
                          </w:r>
                        </w:p>
                        <w:p w14:paraId="323FAD42" w14:textId="77777777" w:rsidR="00603166" w:rsidRPr="000E411A" w:rsidRDefault="00603166" w:rsidP="00603166">
                          <w:pPr>
                            <w:pStyle w:val="Akapitzlist"/>
                            <w:numPr>
                              <w:ilvl w:val="0"/>
                              <w:numId w:val="24"/>
                            </w:numPr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Zawodowa/ profesjonalna (dok 03)</w:t>
                          </w:r>
                        </w:p>
                      </w:txbxContent>
                    </v:textbox>
                  </v:shape>
                  <v:shape id="Pole tekstowe 2" o:spid="_x0000_s1031" type="#_x0000_t202" style="position:absolute;left:204;top:19311;width:1159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<v:textbox>
                      <w:txbxContent>
                        <w:p w14:paraId="5B7F89BE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CV (Europass)</w:t>
                          </w:r>
                        </w:p>
                      </w:txbxContent>
                    </v:textbox>
                  </v:shape>
                  <v:shape id="Pole tekstowe 2" o:spid="_x0000_s1032" type="#_x0000_t202" style="position:absolute;left:204;top:12897;width:1159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14:paraId="55FCB8E8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Podanie o pracę (dok 02)</w:t>
                          </w:r>
                        </w:p>
                        <w:p w14:paraId="5B4E8614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upa 36" o:spid="_x0000_s1033" style="position:absolute;left:15216;width:32887;height:33708" coordorigin="-1" coordsize="32887,3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ole tekstowe 2" o:spid="_x0000_s1034" type="#_x0000_t202" style="position:absolute;left:1774;width:1268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14:paraId="705B48EC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Staż</w:t>
                          </w:r>
                        </w:p>
                        <w:p w14:paraId="79097D8B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35" type="#_x0000_t202" style="position:absolute;left:2115;top:6414;width:12344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<v:textbox>
                      <w:txbxContent>
                        <w:p w14:paraId="45757281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Profil firmy (dok 04)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po dwóch tygodniach</w:t>
                          </w:r>
                        </w:p>
                      </w:txbxContent>
                    </v:textbox>
                  </v:shape>
                  <v:shape id="Pole tekstowe 2" o:spid="_x0000_s1036" type="#_x0000_t202" style="position:absolute;left:2456;top:12897;width:12002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14:paraId="07359847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Cele stażu (dok 05)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po dwóch tygodniach</w:t>
                          </w:r>
                        </w:p>
                      </w:txbxContent>
                    </v:textbox>
                  </v:shape>
                  <v:shape id="Pole tekstowe 2" o:spid="_x0000_s1037" type="#_x0000_t202" style="position:absolute;left:2320;top:19448;width:12141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<v:textbox>
                      <w:txbxContent>
                        <w:p w14:paraId="098375DE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Tygodniowe raporty (dok 06)</w:t>
                          </w:r>
                        </w:p>
                      </w:txbxContent>
                    </v:textbox>
                  </v:shape>
                  <v:shape id="Pole tekstowe 2" o:spid="_x0000_s1038" type="#_x0000_t202" style="position:absolute;left:2456;top:24361;width:12414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14:paraId="1C60A6FE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Projekt (dok 07 i 08)</w:t>
                          </w:r>
                        </w:p>
                      </w:txbxContent>
                    </v:textbox>
                  </v:shape>
                  <v:shape id="Pole tekstowe 2" o:spid="_x0000_s1039" type="#_x0000_t202" style="position:absolute;left:-1;top:28725;width:10578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14:paraId="02FF78C9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Plan projektu (dok 07)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po dwóch tygodniach</w:t>
                          </w:r>
                        </w:p>
                      </w:txbxContent>
                    </v:textbox>
                  </v:shape>
                  <v:shape id="Pole tekstowe 2" o:spid="_x0000_s1040" type="#_x0000_t202" style="position:absolute;left:11599;top:28724;width:9823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14:paraId="54DEC69A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Wyniki projektu (dok 08)</w:t>
                          </w:r>
                        </w:p>
                        <w:p w14:paraId="0175DAAA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41" type="#_x0000_t202" style="position:absolute;left:23063;top:28724;width:9823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70784E54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Informacja zwrotna (dok 09)</w:t>
                          </w:r>
                        </w:p>
                      </w:txbxContent>
                    </v:textbox>
                  </v:shape>
                  <v:line id="Łącznik prosty 45" o:spid="_x0000_s1042" style="position:absolute;flip:x;visibility:visible;mso-wrap-style:square" from="5117,26681" to="6482,2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  <v:stroke joinstyle="miter"/>
                  </v:line>
                  <v:line id="Łącznik prosty 46" o:spid="_x0000_s1043" style="position:absolute;visibility:visible;mso-wrap-style:square" from="8120,26681" to="16246,2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  <v:stroke joinstyle="miter"/>
                  </v:line>
                  <v:line id="Łącznik prosty 47" o:spid="_x0000_s1044" style="position:absolute;visibility:visible;mso-wrap-style:square" from="11600,26681" to="27847,2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upa 48" o:spid="_x0000_s1045" style="position:absolute;left:34119;width:51996;height:31180" coordsize="51996,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Pole tekstowe 49" o:spid="_x0000_s1046" type="#_x0000_t202" style="position:absolute;width:10979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14:paraId="10E73A86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Po stażu</w:t>
                          </w:r>
                        </w:p>
                        <w:p w14:paraId="11BCEC84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47" type="#_x0000_t202" style="position:absolute;left:16991;width:1555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14:paraId="4566B57E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Prezentacja</w:t>
                          </w:r>
                        </w:p>
                        <w:p w14:paraId="104D8010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48" type="#_x0000_t202" style="position:absolute;left:38077;width:1391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3275541D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Ocena</w:t>
                          </w:r>
                        </w:p>
                        <w:p w14:paraId="5A28BBFE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49" type="#_x0000_t202" style="position:absolute;left:339;top:5662;width:10637;height:9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14:paraId="6EB1A40C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Druga samoocena</w:t>
                          </w:r>
                        </w:p>
                        <w:p w14:paraId="2FEF4AAF" w14:textId="77777777" w:rsidR="00603166" w:rsidRPr="000E411A" w:rsidRDefault="00603166" w:rsidP="00603166">
                          <w:pPr>
                            <w:pStyle w:val="Akapitzlist"/>
                            <w:numPr>
                              <w:ilvl w:val="0"/>
                              <w:numId w:val="24"/>
                            </w:numPr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Przekrojowa</w:t>
                          </w:r>
                        </w:p>
                        <w:p w14:paraId="0A10EBD3" w14:textId="77777777" w:rsidR="00603166" w:rsidRPr="000E411A" w:rsidRDefault="00603166" w:rsidP="00603166">
                          <w:pPr>
                            <w:pStyle w:val="Akapitzlist"/>
                            <w:numPr>
                              <w:ilvl w:val="0"/>
                              <w:numId w:val="24"/>
                            </w:numPr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Zawodowa/ profesjonalna (dok 10)</w:t>
                          </w:r>
                        </w:p>
                        <w:p w14:paraId="4633C5BC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50" type="#_x0000_t202" style="position:absolute;left:341;top:16582;width:1063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14:paraId="6072BCB7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Przemyślenia ucznia (dok 11)</w:t>
                          </w:r>
                        </w:p>
                      </w:txbxContent>
                    </v:textbox>
                  </v:shape>
                  <v:shape id="Pole tekstowe 2" o:spid="_x0000_s1051" type="#_x0000_t202" style="position:absolute;left:38418;top:6414;width:1357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28338C1D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Ocena stażu przez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firmę</w:t>
                          </w: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(EV 01)</w:t>
                          </w:r>
                        </w:p>
                        <w:p w14:paraId="5C930BD3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Pole tekstowe 2" o:spid="_x0000_s1052" type="#_x0000_t202" style="position:absolute;left:38418;top:12146;width:1357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14:paraId="0B2DA5F8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Ocena projektu przez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nauczyciela </w:t>
                          </w: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(EV 02)</w:t>
                          </w:r>
                        </w:p>
                      </w:txbxContent>
                    </v:textbox>
                  </v:shape>
                  <v:shape id="Pole tekstowe 2" o:spid="_x0000_s1053" type="#_x0000_t202" style="position:absolute;left:38759;top:18765;width:13234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14:paraId="79CF1086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Ocena  kompetencji w miejscu pracy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przez nauczyciela </w:t>
                          </w: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(EV03)</w:t>
                          </w:r>
                        </w:p>
                      </w:txbxContent>
                    </v:textbox>
                  </v:shape>
                  <v:shape id="Pole tekstowe 2" o:spid="_x0000_s1054" type="#_x0000_t202" style="position:absolute;left:38759;top:25998;width:13227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14:paraId="50FECA50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Ocena prezentacji przez </w:t>
                          </w:r>
                          <w:r w:rsidRPr="000E411A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nauczyciela </w:t>
                          </w:r>
                          <w:r w:rsidRPr="000E41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(EV 04)</w:t>
                          </w:r>
                        </w:p>
                        <w:p w14:paraId="59A44DA8" w14:textId="77777777" w:rsidR="00603166" w:rsidRPr="000E411A" w:rsidRDefault="00603166" w:rsidP="006031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B5C613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</w:p>
    <w:p w14:paraId="607C9B1F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  <w:sectPr w:rsidR="00603166" w:rsidSect="000E411A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757D466" w14:textId="77777777" w:rsidR="00603166" w:rsidRDefault="00603166" w:rsidP="006031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Kluczowe wnioski dla zasad zapewniania jakości kształcenia praktycznego realizowanego u pracodawców sformułowane na podstawie analizy wyników projektu TRIFT. Dla zapewnienia jakości kształcenia praktycznego szczególnie istotne jest:</w:t>
      </w:r>
    </w:p>
    <w:p w14:paraId="6F7C0240" w14:textId="77777777" w:rsidR="00603166" w:rsidRDefault="00603166" w:rsidP="006031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opisu ogólnych / kluczowych efektów uczenia się, uporządkowanych przy pomocy kategorii kompetencji zawodowych oraz umiejętności przenaszalnych (</w:t>
      </w:r>
      <w:r w:rsidRPr="007B7124">
        <w:rPr>
          <w:rFonts w:ascii="Arial" w:hAnsi="Arial" w:cs="Arial"/>
          <w:i/>
        </w:rPr>
        <w:t>transversal</w:t>
      </w:r>
      <w:r>
        <w:rPr>
          <w:rFonts w:ascii="Arial" w:hAnsi="Arial" w:cs="Arial"/>
        </w:rPr>
        <w:t xml:space="preserve"> </w:t>
      </w:r>
      <w:r w:rsidRPr="007B7124">
        <w:rPr>
          <w:rFonts w:ascii="Arial" w:hAnsi="Arial" w:cs="Arial"/>
          <w:i/>
        </w:rPr>
        <w:t>skills</w:t>
      </w:r>
      <w:r>
        <w:rPr>
          <w:rFonts w:ascii="Arial" w:hAnsi="Arial" w:cs="Arial"/>
        </w:rPr>
        <w:t>). Opisy te powinny zostać w sposób umożliwiający posługiwanie się nimi przez wszystkich uczestników procesu – powinny one być krótkie (macierz kompetencji lub inna forma opisu powinna mieścić się na 1-2 stronach A4).</w:t>
      </w:r>
    </w:p>
    <w:p w14:paraId="036F501C" w14:textId="77777777" w:rsidR="00603166" w:rsidRDefault="00603166" w:rsidP="006031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zaplanowanie kształcenia praktycznego powinno zostać opisane i uzgodnione między stronami z wyprzedzeniem – z uwzględnieniem profilu przedsiębiorstw (por. </w:t>
      </w:r>
      <w:r w:rsidRPr="0012170E">
        <w:rPr>
          <w:rFonts w:ascii="Arial" w:hAnsi="Arial" w:cs="Arial"/>
          <w:i/>
        </w:rPr>
        <w:t>organizational profile</w:t>
      </w:r>
      <w:r>
        <w:rPr>
          <w:rFonts w:ascii="Arial" w:hAnsi="Arial" w:cs="Arial"/>
        </w:rPr>
        <w:t>) oraz profilu uczestników.</w:t>
      </w:r>
    </w:p>
    <w:p w14:paraId="6060E337" w14:textId="77777777" w:rsidR="00603166" w:rsidRDefault="00603166" w:rsidP="006031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ewaluacji realizacji kształcenia i jej efektów w trzech etapach: przed rozpoczęciem kształcenia, w trakcie kształcenia i po jego zakończeniu. Ewaluacja powinna obejmować kompetencje zawodowe i przenaszalne. Ewaluacja powinna uwzględniać informację zwrotną od uczestnika, szkoły i pracodawcy.</w:t>
      </w:r>
    </w:p>
    <w:p w14:paraId="7FF992CA" w14:textId="77777777" w:rsidR="00603166" w:rsidRDefault="00603166" w:rsidP="006031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8C3E0C">
        <w:rPr>
          <w:rFonts w:ascii="Arial" w:hAnsi="Arial" w:cs="Arial"/>
        </w:rPr>
        <w:t>Ewaluacja powinna koncentrować się na aspektach związanych z rozwojem kompetencji uczestników. Narzędzia jej stosowania powinny obejmować arkusze pozwalające ocenić – przyrost kompetencji w uzgodnionych obszarach.</w:t>
      </w:r>
    </w:p>
    <w:p w14:paraId="4909AB70" w14:textId="625AA519" w:rsidR="002176F9" w:rsidRDefault="002176F9" w:rsidP="002176F9">
      <w:pPr>
        <w:spacing w:line="360" w:lineRule="auto"/>
        <w:jc w:val="both"/>
        <w:rPr>
          <w:rFonts w:ascii="Arial" w:hAnsi="Arial" w:cs="Arial"/>
        </w:rPr>
      </w:pPr>
    </w:p>
    <w:p w14:paraId="4A7C9EFA" w14:textId="77777777" w:rsidR="002176F9" w:rsidRPr="002176F9" w:rsidRDefault="002176F9" w:rsidP="002176F9">
      <w:pPr>
        <w:spacing w:line="360" w:lineRule="auto"/>
        <w:jc w:val="both"/>
        <w:rPr>
          <w:rFonts w:ascii="Arial" w:hAnsi="Arial" w:cs="Arial"/>
        </w:rPr>
      </w:pPr>
    </w:p>
    <w:p w14:paraId="3B21579F" w14:textId="78FA0601" w:rsidR="008C3E0C" w:rsidRDefault="00404886" w:rsidP="00C27162">
      <w:pPr>
        <w:pStyle w:val="Nagwek2"/>
      </w:pPr>
      <w:bookmarkStart w:id="7" w:name="_Toc535846694"/>
      <w:r w:rsidRPr="008C3E0C">
        <w:t>Standardy Jakości Kształcenia Zawodowego</w:t>
      </w:r>
      <w:bookmarkEnd w:id="7"/>
    </w:p>
    <w:p w14:paraId="0EFFDBA9" w14:textId="2DBFD890" w:rsidR="008C3E0C" w:rsidRDefault="008C3E0C" w:rsidP="008C3E0C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Opublikowane w 2013 roku przez Krajowy Ośrodek Edukacji Zawodowej i Ustawicznej (KOWEZiU) standardy jakości kształcenia </w:t>
      </w:r>
      <w:r w:rsidR="00AF356D">
        <w:rPr>
          <w:rFonts w:ascii="Arial" w:hAnsi="Arial" w:cs="Arial"/>
        </w:rPr>
        <w:t xml:space="preserve">zawierają opis aspektów, które mogą być wykorzystane przez placówki edukacyjne w celu podnoszenia jakości kształcenia. Pozwalają one ocenić ocenę różnych aspektów funkcjonowania szkół zawodowych i ich współpracy z otoczeniem – mając na uwadze jakość osiąganych efektów. </w:t>
      </w:r>
    </w:p>
    <w:p w14:paraId="33E3C6AF" w14:textId="3CAB986B" w:rsidR="00AF356D" w:rsidRDefault="00AF356D" w:rsidP="00AF356D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Standardy jakości kształcenia zawodowego odnoszą się do Zalecenia P</w:t>
      </w:r>
      <w:r w:rsidRPr="00AF356D">
        <w:rPr>
          <w:rFonts w:ascii="Arial" w:hAnsi="Arial" w:cs="Arial"/>
        </w:rPr>
        <w:t xml:space="preserve">arlamentu </w:t>
      </w:r>
      <w:r>
        <w:rPr>
          <w:rFonts w:ascii="Arial" w:hAnsi="Arial" w:cs="Arial"/>
        </w:rPr>
        <w:t>Europejskiego i R</w:t>
      </w:r>
      <w:r w:rsidRPr="00AF356D">
        <w:rPr>
          <w:rFonts w:ascii="Arial" w:hAnsi="Arial" w:cs="Arial"/>
        </w:rPr>
        <w:t>ady</w:t>
      </w:r>
      <w:r>
        <w:rPr>
          <w:rFonts w:ascii="Arial" w:hAnsi="Arial" w:cs="Arial"/>
        </w:rPr>
        <w:t xml:space="preserve"> </w:t>
      </w:r>
      <w:r w:rsidRPr="00AF356D">
        <w:rPr>
          <w:rFonts w:ascii="Arial" w:hAnsi="Arial" w:cs="Arial"/>
        </w:rPr>
        <w:t>z dnia 18 czerwca 2009 r.</w:t>
      </w:r>
      <w:r>
        <w:rPr>
          <w:rFonts w:ascii="Arial" w:hAnsi="Arial" w:cs="Arial"/>
        </w:rPr>
        <w:t xml:space="preserve"> </w:t>
      </w:r>
      <w:r w:rsidRPr="00AF356D">
        <w:rPr>
          <w:rFonts w:ascii="Arial" w:hAnsi="Arial" w:cs="Arial"/>
        </w:rPr>
        <w:t>w sprawie ustanowienia europejskich ram odniesienia na rzecz zapewniania jakości w kształceniu</w:t>
      </w:r>
      <w:r>
        <w:rPr>
          <w:rFonts w:ascii="Arial" w:hAnsi="Arial" w:cs="Arial"/>
        </w:rPr>
        <w:t xml:space="preserve"> </w:t>
      </w:r>
      <w:r w:rsidRPr="00AF356D">
        <w:rPr>
          <w:rFonts w:ascii="Arial" w:hAnsi="Arial" w:cs="Arial"/>
        </w:rPr>
        <w:t>i szkoleniu zawodowym</w:t>
      </w:r>
      <w:r>
        <w:rPr>
          <w:rFonts w:ascii="Arial" w:hAnsi="Arial" w:cs="Arial"/>
        </w:rPr>
        <w:t xml:space="preserve">. </w:t>
      </w:r>
    </w:p>
    <w:p w14:paraId="050103C5" w14:textId="5039EE63" w:rsidR="00AF356D" w:rsidRPr="00AF356D" w:rsidRDefault="00AF356D" w:rsidP="00AF356D">
      <w:pPr>
        <w:spacing w:before="240" w:line="360" w:lineRule="auto"/>
        <w:ind w:left="360"/>
        <w:jc w:val="both"/>
        <w:rPr>
          <w:rFonts w:ascii="Arial" w:hAnsi="Arial" w:cs="Arial"/>
        </w:rPr>
      </w:pPr>
      <w:r w:rsidRPr="00AF356D">
        <w:rPr>
          <w:rFonts w:ascii="Arial" w:hAnsi="Arial" w:cs="Arial"/>
        </w:rPr>
        <w:t>Standardy zostały określone w następujących obsz</w:t>
      </w:r>
      <w:r>
        <w:rPr>
          <w:rFonts w:ascii="Arial" w:hAnsi="Arial" w:cs="Arial"/>
        </w:rPr>
        <w:t xml:space="preserve">arach tematycznych obejmujących </w:t>
      </w:r>
      <w:r w:rsidRPr="00AF356D">
        <w:rPr>
          <w:rFonts w:ascii="Arial" w:hAnsi="Arial" w:cs="Arial"/>
        </w:rPr>
        <w:t>poszczególne</w:t>
      </w:r>
      <w:r>
        <w:rPr>
          <w:rFonts w:ascii="Arial" w:hAnsi="Arial" w:cs="Arial"/>
        </w:rPr>
        <w:t xml:space="preserve"> aspekty kształcenia zawodowego. Zostały one przedstawione poniżej: </w:t>
      </w:r>
    </w:p>
    <w:p w14:paraId="1A1D7193" w14:textId="22773673" w:rsidR="00AF356D" w:rsidRDefault="00AF356D" w:rsidP="00AF356D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Ramka 3. Obszary tematyczne Standarów jakości kształcenia zawodowego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56D" w14:paraId="318FE4EB" w14:textId="77777777" w:rsidTr="00AF356D">
        <w:tc>
          <w:tcPr>
            <w:tcW w:w="9742" w:type="dxa"/>
          </w:tcPr>
          <w:p w14:paraId="75BECFC5" w14:textId="77777777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oferta kształcenia i programy nauczania</w:t>
            </w:r>
          </w:p>
          <w:p w14:paraId="3435AF2E" w14:textId="001B951F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kadra szkoły/placówki</w:t>
            </w:r>
          </w:p>
          <w:p w14:paraId="0A8E3FDF" w14:textId="1CE362C2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zasoby materialne szkoły/placówki</w:t>
            </w:r>
          </w:p>
          <w:p w14:paraId="0E34FE6B" w14:textId="7A27B4A8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organizacja kształcenia</w:t>
            </w:r>
          </w:p>
          <w:p w14:paraId="22110F63" w14:textId="20267BF6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uczniowie z indywidualnymi potrzebami edukacyjnymi</w:t>
            </w:r>
          </w:p>
          <w:p w14:paraId="03880B81" w14:textId="078BFF6F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współpraca szkół/placówek z pracodawcami</w:t>
            </w:r>
          </w:p>
          <w:p w14:paraId="152E12BB" w14:textId="676DF6F5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współpraca z partnerami krajowymi i zagranicznymi</w:t>
            </w:r>
          </w:p>
          <w:p w14:paraId="2391529F" w14:textId="403C3772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potwierdzanie efektów kształcenia</w:t>
            </w:r>
          </w:p>
          <w:p w14:paraId="191B6A91" w14:textId="5BB636D9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doradztwo edukacyjno-zawodowe</w:t>
            </w:r>
          </w:p>
          <w:p w14:paraId="6EAE58C1" w14:textId="69034ECB" w:rsidR="00AF356D" w:rsidRPr="00AF356D" w:rsidRDefault="00AF356D" w:rsidP="0029050F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AF356D">
              <w:rPr>
                <w:rFonts w:ascii="Arial" w:hAnsi="Arial" w:cs="Arial"/>
              </w:rPr>
              <w:t>zarządzanie strategiczne szkołą/placówką</w:t>
            </w:r>
          </w:p>
        </w:tc>
      </w:tr>
    </w:tbl>
    <w:p w14:paraId="348BA677" w14:textId="6D4152F0" w:rsidR="00AF356D" w:rsidRDefault="00991075" w:rsidP="00AF356D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Standardy zostały sformułowane w sposób obejmujący aktywność szkoły i jej współpracę z otoczeniem. Z punktu widzenia niniejszego opracowania, należy jednak zauważyć, że zapisane w standardach wymogi</w:t>
      </w:r>
      <w:r w:rsidR="00AF356D">
        <w:rPr>
          <w:rFonts w:ascii="Arial" w:hAnsi="Arial" w:cs="Arial"/>
        </w:rPr>
        <w:t xml:space="preserve"> potwierdza</w:t>
      </w:r>
      <w:r>
        <w:rPr>
          <w:rFonts w:ascii="Arial" w:hAnsi="Arial" w:cs="Arial"/>
        </w:rPr>
        <w:t>ją m.in.</w:t>
      </w:r>
      <w:r w:rsidR="00AF356D">
        <w:rPr>
          <w:rFonts w:ascii="Arial" w:hAnsi="Arial" w:cs="Arial"/>
        </w:rPr>
        <w:t xml:space="preserve"> znaczenie kwestii związanych z starannym planowaniem kształcenia praktycznego we współpracy z pracodawcami (także w części nieodbywającej się w miejscu pracy), ciągłym doskonaleniem kompetencji nauczycieli, okresową i podsumowującą weryfikacją efektów uczenia się osiąganych przez uczniów, prowadzeniem ewaluacji </w:t>
      </w:r>
      <w:r>
        <w:rPr>
          <w:rFonts w:ascii="Arial" w:hAnsi="Arial" w:cs="Arial"/>
        </w:rPr>
        <w:t>procesu i zapewnieniem doradztwa edukacyjno-zawodowego uczniom.</w:t>
      </w:r>
    </w:p>
    <w:p w14:paraId="757E2BB3" w14:textId="20E3D7A0" w:rsidR="001D12EE" w:rsidRPr="000963B2" w:rsidRDefault="001D12EE" w:rsidP="00C27162">
      <w:pPr>
        <w:pStyle w:val="Nagwek1"/>
        <w:rPr>
          <w:snapToGrid w:val="0"/>
          <w:color w:val="000000"/>
        </w:rPr>
      </w:pPr>
      <w:r w:rsidRPr="000963B2">
        <w:br w:type="page"/>
      </w:r>
      <w:bookmarkStart w:id="8" w:name="_Toc535846695"/>
      <w:r w:rsidR="00404886">
        <w:lastRenderedPageBreak/>
        <w:t>Zasady zapewniania jakości kształcenia praktycznego realizowanego u pracodawcy</w:t>
      </w:r>
      <w:r w:rsidR="00852A8C">
        <w:t xml:space="preserve"> - narzędzia</w:t>
      </w:r>
      <w:bookmarkEnd w:id="8"/>
    </w:p>
    <w:p w14:paraId="3329CF3F" w14:textId="60C5F2A9" w:rsidR="001D12EE" w:rsidRPr="00424237" w:rsidRDefault="008C3E0C" w:rsidP="008C3E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zapewniania jakości oparte są na przedstawionych we wcześniejszych </w:t>
      </w:r>
      <w:r w:rsidRPr="00424237">
        <w:rPr>
          <w:rFonts w:ascii="Arial" w:hAnsi="Arial" w:cs="Arial"/>
        </w:rPr>
        <w:t xml:space="preserve">częściach opracowania dobrych praktykach krajowych i zagranicznych. </w:t>
      </w:r>
    </w:p>
    <w:p w14:paraId="00BCC13B" w14:textId="0C56F233" w:rsidR="0041271B" w:rsidRDefault="0041271B" w:rsidP="008C3E0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E9656E8" w14:textId="6DB34886" w:rsidR="00D559D6" w:rsidRPr="00D559D6" w:rsidRDefault="00404886" w:rsidP="00C27162">
      <w:pPr>
        <w:pStyle w:val="Nagwek2"/>
        <w:rPr>
          <w:color w:val="auto"/>
          <w:shd w:val="clear" w:color="auto" w:fill="FFFFFF"/>
        </w:rPr>
      </w:pPr>
      <w:bookmarkStart w:id="9" w:name="_Toc535846696"/>
      <w:r w:rsidRPr="00D559D6">
        <w:rPr>
          <w:shd w:val="clear" w:color="auto" w:fill="FFFFFF"/>
        </w:rPr>
        <w:t>Jak stosować zasady zapewniania jakości kształcenia praktycznego</w:t>
      </w:r>
      <w:bookmarkEnd w:id="9"/>
    </w:p>
    <w:p w14:paraId="18841EA6" w14:textId="0EC632BE" w:rsidR="00C90155" w:rsidRPr="00424237" w:rsidRDefault="00C90155" w:rsidP="0099107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4237">
        <w:rPr>
          <w:rFonts w:ascii="Arial" w:hAnsi="Arial" w:cs="Arial"/>
          <w:shd w:val="clear" w:color="auto" w:fill="FFFFFF"/>
        </w:rPr>
        <w:t xml:space="preserve">Stosowanie zasad zapewniania jakości kształcenia praktycznego </w:t>
      </w:r>
      <w:r w:rsidR="0041271B" w:rsidRPr="00424237">
        <w:rPr>
          <w:rFonts w:ascii="Arial" w:hAnsi="Arial" w:cs="Arial"/>
          <w:shd w:val="clear" w:color="auto" w:fill="FFFFFF"/>
        </w:rPr>
        <w:t>powinno opierać</w:t>
      </w:r>
      <w:r w:rsidRPr="00424237">
        <w:rPr>
          <w:rFonts w:ascii="Arial" w:hAnsi="Arial" w:cs="Arial"/>
          <w:shd w:val="clear" w:color="auto" w:fill="FFFFFF"/>
        </w:rPr>
        <w:t xml:space="preserve"> się koncepcji cyklu Deminga. Oznacza to, że istotą ich stosowania jest podjęcie wysiłku związanego ciągłym doskonaleniem w powtarzającym się cyklu planowania-wykonania-ewaluacji-korekty. Poniżej przedstawiono 14 zasad Deminga w ujęciu dostosowanym do specyfiki kształcenia praktycznego realizowanego we współpracy firm ze szkołami.</w:t>
      </w:r>
    </w:p>
    <w:p w14:paraId="4B704375" w14:textId="255F0428" w:rsidR="00C90155" w:rsidRPr="00424237" w:rsidRDefault="00C90155" w:rsidP="00991075">
      <w:pPr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424237">
        <w:rPr>
          <w:rFonts w:ascii="Arial" w:hAnsi="Arial" w:cs="Arial"/>
          <w:i/>
          <w:shd w:val="clear" w:color="auto" w:fill="FFFFFF"/>
        </w:rPr>
        <w:t>Ramka 4. 14 Zasad Deminga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155" w14:paraId="181EEED8" w14:textId="77777777" w:rsidTr="00C90155">
        <w:tc>
          <w:tcPr>
            <w:tcW w:w="9742" w:type="dxa"/>
          </w:tcPr>
          <w:p w14:paraId="1D089608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Określenie stałych celów w odniesieniu do usprawnienia jakości.</w:t>
            </w:r>
          </w:p>
          <w:p w14:paraId="6D707B02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Wprowadzenie nowej filozofii, czyli głębokiej wiedzy.</w:t>
            </w:r>
          </w:p>
          <w:p w14:paraId="0F2BEE38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Rezygnacja z masowej kontroli i wprowadzenie metod statystycznych.</w:t>
            </w:r>
          </w:p>
          <w:p w14:paraId="235EA2CD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Odejście od doboru dostawców uwzględniającego jedynie warunki cenowe.</w:t>
            </w:r>
          </w:p>
          <w:p w14:paraId="00985EC1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Ciągłe i niekończące się ulepszanie procesu planowania, produkcji i usług.</w:t>
            </w:r>
          </w:p>
          <w:p w14:paraId="7077C224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Wprowadzenie nowoczesnych metod szkolenia i edukacji pracowników.</w:t>
            </w:r>
          </w:p>
          <w:p w14:paraId="3D5FC97A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Wprowadzenie instytucjonalnego przywództwa.</w:t>
            </w:r>
          </w:p>
          <w:p w14:paraId="1EC13001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Odrzucenie obaw i niepokojów, tak aby wszyscy mogli pracować efektywnie i oszczędnie.</w:t>
            </w:r>
          </w:p>
          <w:p w14:paraId="745B524E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Likwidacja barier między pracownikami.</w:t>
            </w:r>
          </w:p>
          <w:p w14:paraId="6E716029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Eliminacja wszelkich form promocji zachęcających do osiągnięcia poziomu „zero defektów” na każdym poziomie produktywności.</w:t>
            </w:r>
          </w:p>
          <w:p w14:paraId="0E82FF68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Likwidacja liczbowych kontyngentów dla pracowników i kierownictwa.</w:t>
            </w:r>
          </w:p>
          <w:p w14:paraId="528CEBA8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Likwidacja barier pozbawiających pracowników dumy z wykonywanej pracy. Eliminacja rocznych ocen oraz systemu nagradzania zasług.</w:t>
            </w:r>
          </w:p>
          <w:p w14:paraId="033972B0" w14:textId="77777777" w:rsidR="0041271B" w:rsidRPr="000963B2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Wprowadzanie programów edukacyjnych oraz zachęcanie do samokształcenia.</w:t>
            </w:r>
          </w:p>
          <w:p w14:paraId="717106CE" w14:textId="04DC4C42" w:rsidR="00C90155" w:rsidRPr="0041271B" w:rsidRDefault="0041271B" w:rsidP="0029050F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0963B2">
              <w:rPr>
                <w:rFonts w:ascii="Arial" w:hAnsi="Arial" w:cs="Arial"/>
              </w:rPr>
              <w:t>Zaangażowanie wszystkich pracowników w procesie transformacji.</w:t>
            </w:r>
          </w:p>
        </w:tc>
      </w:tr>
    </w:tbl>
    <w:p w14:paraId="492F427B" w14:textId="00CBEE36" w:rsidR="00C90155" w:rsidRPr="00424237" w:rsidRDefault="0041271B" w:rsidP="0099107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4237">
        <w:rPr>
          <w:rFonts w:ascii="Arial" w:hAnsi="Arial" w:cs="Arial"/>
          <w:shd w:val="clear" w:color="auto" w:fill="FFFFFF"/>
        </w:rPr>
        <w:lastRenderedPageBreak/>
        <w:t xml:space="preserve">Źródło: </w:t>
      </w:r>
      <w:r w:rsidRPr="00424237">
        <w:rPr>
          <w:rFonts w:ascii="Arial" w:hAnsi="Arial" w:cs="Arial"/>
          <w:sz w:val="20"/>
          <w:szCs w:val="20"/>
        </w:rPr>
        <w:t>https://edukator.ore.edu.pl/200</w:t>
      </w:r>
    </w:p>
    <w:p w14:paraId="1E4CD4BD" w14:textId="77777777" w:rsidR="001D12EE" w:rsidRPr="000963B2" w:rsidRDefault="001D12EE" w:rsidP="001D12EE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004E0FFE" w14:textId="5D5DF44D" w:rsidR="00D559D6" w:rsidRDefault="00D559D6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7872131F" w14:textId="38AB5006" w:rsidR="00D559D6" w:rsidRDefault="00D559D6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1F29BD84" w14:textId="6C3615FC" w:rsidR="00D559D6" w:rsidRDefault="00404886" w:rsidP="00C27162">
      <w:pPr>
        <w:pStyle w:val="Nagwek2"/>
        <w:rPr>
          <w:color w:val="000000"/>
          <w:shd w:val="clear" w:color="auto" w:fill="FFFFFF"/>
          <w:lang w:eastAsia="en-US"/>
        </w:rPr>
      </w:pPr>
      <w:bookmarkStart w:id="10" w:name="_Toc535846697"/>
      <w:r>
        <w:t>Zasady zapewniania jakości kształcenia praktycznego realizowanego u pracodawcy</w:t>
      </w:r>
      <w:bookmarkEnd w:id="10"/>
    </w:p>
    <w:p w14:paraId="51B969A7" w14:textId="4FF1BDD7" w:rsidR="00D559D6" w:rsidRDefault="00D559D6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W celu klarownego przedstawienia zasad zapewniania jakości kształcenia praktycznego, zostały one podzielone na 5 obszarów i sformułowane w sposób odnoszący się do istotnych czynności, które mogą zostać zastosowane w celu zapewnienia wysokiej jakości kształcenia praktycznego. </w:t>
      </w:r>
    </w:p>
    <w:p w14:paraId="4E9B8457" w14:textId="14903623" w:rsidR="0047191A" w:rsidRDefault="00D559D6" w:rsidP="0047191A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>Zostały one dobrane i sformułowane w taki sposób, by odpowiadały specyfice branżowej oraz były zrozumiałe zarówno dla zaangażowanych szkół, placówek oświatowych, jak i pracodawców.</w:t>
      </w:r>
      <w:r w:rsidR="0047191A">
        <w:rPr>
          <w:rFonts w:ascii="Arial" w:hAnsi="Arial" w:cs="Arial"/>
          <w:color w:val="000000"/>
          <w:shd w:val="clear" w:color="auto" w:fill="FFFFFF"/>
          <w:lang w:eastAsia="en-US"/>
        </w:rPr>
        <w:t xml:space="preserve"> </w:t>
      </w:r>
    </w:p>
    <w:p w14:paraId="58A2C91C" w14:textId="0733CE06" w:rsidR="00424237" w:rsidRDefault="00FA15F0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Poniżej </w:t>
      </w:r>
      <w:r w:rsidR="00571AE0">
        <w:rPr>
          <w:rFonts w:ascii="Arial" w:hAnsi="Arial" w:cs="Arial"/>
          <w:color w:val="000000"/>
          <w:shd w:val="clear" w:color="auto" w:fill="FFFFFF"/>
          <w:lang w:eastAsia="en-US"/>
        </w:rPr>
        <w:t>przedstawiono zasady zapewniania jako</w:t>
      </w:r>
      <w:r w:rsidR="0047191A">
        <w:rPr>
          <w:rFonts w:ascii="Arial" w:hAnsi="Arial" w:cs="Arial"/>
          <w:color w:val="000000"/>
          <w:shd w:val="clear" w:color="auto" w:fill="FFFFFF"/>
          <w:lang w:eastAsia="en-US"/>
        </w:rPr>
        <w:t>ści uporządkowane w 5 obszarach.</w:t>
      </w:r>
    </w:p>
    <w:p w14:paraId="7BD95BA3" w14:textId="235C638A" w:rsidR="00571AE0" w:rsidRPr="00F67392" w:rsidRDefault="00F67392" w:rsidP="00DD73B1">
      <w:pPr>
        <w:spacing w:line="360" w:lineRule="auto"/>
        <w:ind w:left="57"/>
        <w:jc w:val="both"/>
        <w:rPr>
          <w:rFonts w:ascii="Arial" w:hAnsi="Arial" w:cs="Arial"/>
          <w:i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i/>
          <w:color w:val="000000"/>
          <w:shd w:val="clear" w:color="auto" w:fill="FFFFFF"/>
          <w:lang w:eastAsia="en-US"/>
        </w:rPr>
        <w:t>Tabela 1</w:t>
      </w:r>
      <w:r w:rsidR="00571AE0" w:rsidRPr="00F67392">
        <w:rPr>
          <w:rFonts w:ascii="Arial" w:hAnsi="Arial" w:cs="Arial"/>
          <w:i/>
          <w:color w:val="000000"/>
          <w:shd w:val="clear" w:color="auto" w:fill="FFFFFF"/>
          <w:lang w:eastAsia="en-US"/>
        </w:rPr>
        <w:t>. Zasady zapewniania jakości kształcenia praktycznego realizowanego u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8"/>
        <w:gridCol w:w="5544"/>
      </w:tblGrid>
      <w:tr w:rsidR="00F67392" w:rsidRPr="00F67392" w14:paraId="258B30FE" w14:textId="77777777" w:rsidTr="00F67392">
        <w:tc>
          <w:tcPr>
            <w:tcW w:w="3652" w:type="dxa"/>
            <w:shd w:val="clear" w:color="auto" w:fill="D9D9D9" w:themeFill="background1" w:themeFillShade="D9"/>
          </w:tcPr>
          <w:p w14:paraId="4BF2A061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F67392">
              <w:rPr>
                <w:rFonts w:ascii="Arial" w:hAnsi="Arial" w:cs="Arial"/>
                <w:b/>
              </w:rPr>
              <w:t>Obszary działań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14:paraId="35FF7DD5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F67392">
              <w:rPr>
                <w:rFonts w:ascii="Arial" w:hAnsi="Arial" w:cs="Arial"/>
                <w:b/>
              </w:rPr>
              <w:t>Zasady zapewniania jakości kształcenia praktycznego realizowanego u pracodawcy</w:t>
            </w:r>
          </w:p>
        </w:tc>
      </w:tr>
      <w:tr w:rsidR="00F67392" w:rsidRPr="00F67392" w14:paraId="00307A33" w14:textId="77777777" w:rsidTr="00F67392">
        <w:trPr>
          <w:trHeight w:val="442"/>
        </w:trPr>
        <w:tc>
          <w:tcPr>
            <w:tcW w:w="3652" w:type="dxa"/>
            <w:vMerge w:val="restart"/>
            <w:vAlign w:val="center"/>
          </w:tcPr>
          <w:p w14:paraId="67E3473A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A. Planowanie i dokumentacja kształcenia praktycznego</w:t>
            </w:r>
          </w:p>
        </w:tc>
        <w:tc>
          <w:tcPr>
            <w:tcW w:w="5807" w:type="dxa"/>
          </w:tcPr>
          <w:p w14:paraId="15307CCD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zasad poszukiwania partnerów do współpracy oraz formalizowania współpracy z pracodawcami</w:t>
            </w:r>
          </w:p>
        </w:tc>
      </w:tr>
      <w:tr w:rsidR="00F67392" w:rsidRPr="00F67392" w14:paraId="590FDFD0" w14:textId="77777777" w:rsidTr="00F67392">
        <w:trPr>
          <w:trHeight w:val="442"/>
        </w:trPr>
        <w:tc>
          <w:tcPr>
            <w:tcW w:w="3652" w:type="dxa"/>
            <w:vMerge/>
            <w:vAlign w:val="center"/>
          </w:tcPr>
          <w:p w14:paraId="5ECCB311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6DFE8A63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ogólnych zasad podejmowania współpracy pomiędzy szkołą, a pracodawcą</w:t>
            </w:r>
          </w:p>
        </w:tc>
      </w:tr>
      <w:tr w:rsidR="00F67392" w:rsidRPr="00F67392" w14:paraId="497AAE52" w14:textId="77777777" w:rsidTr="00F67392">
        <w:trPr>
          <w:trHeight w:val="442"/>
        </w:trPr>
        <w:tc>
          <w:tcPr>
            <w:tcW w:w="3652" w:type="dxa"/>
            <w:vMerge/>
            <w:vAlign w:val="center"/>
          </w:tcPr>
          <w:p w14:paraId="510A2579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0D4C76EA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 xml:space="preserve">Ujednolicenie dokumentacji obowiązującej podczas zawierania współpracy oraz w trakcie jej trwania </w:t>
            </w:r>
          </w:p>
        </w:tc>
      </w:tr>
      <w:tr w:rsidR="00F67392" w:rsidRPr="00F67392" w14:paraId="59D0C80F" w14:textId="77777777" w:rsidTr="00F67392">
        <w:trPr>
          <w:trHeight w:val="442"/>
        </w:trPr>
        <w:tc>
          <w:tcPr>
            <w:tcW w:w="3652" w:type="dxa"/>
            <w:vMerge/>
            <w:vAlign w:val="center"/>
          </w:tcPr>
          <w:p w14:paraId="027E6C4A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470D06F5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Przygotowanie ucznia, szkoły, pracodawcy do planowania i realizacji praktycznej nauki zawodu</w:t>
            </w:r>
          </w:p>
        </w:tc>
      </w:tr>
      <w:tr w:rsidR="00F67392" w:rsidRPr="00F67392" w14:paraId="6C7D3B31" w14:textId="77777777" w:rsidTr="00F67392">
        <w:trPr>
          <w:trHeight w:val="1184"/>
        </w:trPr>
        <w:tc>
          <w:tcPr>
            <w:tcW w:w="3652" w:type="dxa"/>
            <w:vMerge w:val="restart"/>
            <w:vAlign w:val="center"/>
          </w:tcPr>
          <w:p w14:paraId="3997DD3D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B. Podział odpowiedzialności i kompetencje kadry</w:t>
            </w:r>
          </w:p>
        </w:tc>
        <w:tc>
          <w:tcPr>
            <w:tcW w:w="5807" w:type="dxa"/>
          </w:tcPr>
          <w:p w14:paraId="120F3552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zakresu obowiązków i odpowiedzialności osób, które wykonują zadania przy planowaniu, realizacji i ewaluacji praktycznej nauki zawodu, a także wymaganych kompetencji i niezbędnych kwalifikacji</w:t>
            </w:r>
          </w:p>
        </w:tc>
      </w:tr>
      <w:tr w:rsidR="00F67392" w:rsidRPr="00F67392" w14:paraId="481A9A7C" w14:textId="77777777" w:rsidTr="00F67392">
        <w:trPr>
          <w:trHeight w:val="376"/>
        </w:trPr>
        <w:tc>
          <w:tcPr>
            <w:tcW w:w="3652" w:type="dxa"/>
            <w:vMerge/>
            <w:vAlign w:val="center"/>
          </w:tcPr>
          <w:p w14:paraId="1B54ADAE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1A97AED3" w14:textId="77777777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potrzeb w zakresie podnoszenia kwalifikacji zawodowych nauczycieli</w:t>
            </w:r>
          </w:p>
        </w:tc>
      </w:tr>
      <w:tr w:rsidR="00F67392" w:rsidRPr="00F67392" w14:paraId="60476DEC" w14:textId="77777777" w:rsidTr="00F67392">
        <w:tc>
          <w:tcPr>
            <w:tcW w:w="3652" w:type="dxa"/>
            <w:vAlign w:val="center"/>
          </w:tcPr>
          <w:p w14:paraId="3FA56BFA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C. Wyposażenie niezbędne do realizacji kształcenia</w:t>
            </w:r>
          </w:p>
        </w:tc>
        <w:tc>
          <w:tcPr>
            <w:tcW w:w="5807" w:type="dxa"/>
          </w:tcPr>
          <w:p w14:paraId="482C22FF" w14:textId="7DF19FCF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i zapewnienie minimalnego wyposażenia niezbędnego do realizacji praktycznej nauki zawodu</w:t>
            </w:r>
          </w:p>
        </w:tc>
      </w:tr>
      <w:tr w:rsidR="00F67392" w:rsidRPr="00F67392" w14:paraId="15060950" w14:textId="77777777" w:rsidTr="00F67392">
        <w:trPr>
          <w:trHeight w:val="395"/>
        </w:trPr>
        <w:tc>
          <w:tcPr>
            <w:tcW w:w="3652" w:type="dxa"/>
            <w:vMerge w:val="restart"/>
            <w:vAlign w:val="center"/>
          </w:tcPr>
          <w:p w14:paraId="2F50D60B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D. Współpraca i organizacja kształcenia praktycznego</w:t>
            </w:r>
          </w:p>
        </w:tc>
        <w:tc>
          <w:tcPr>
            <w:tcW w:w="5807" w:type="dxa"/>
          </w:tcPr>
          <w:p w14:paraId="4B303FA2" w14:textId="06A031C8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 xml:space="preserve">Ustalenie zasad komunikacji między szkołą i pracodawcą </w:t>
            </w:r>
          </w:p>
        </w:tc>
      </w:tr>
      <w:tr w:rsidR="00F67392" w:rsidRPr="00F67392" w14:paraId="3BAAFA9D" w14:textId="77777777" w:rsidTr="00F67392">
        <w:trPr>
          <w:trHeight w:val="394"/>
        </w:trPr>
        <w:tc>
          <w:tcPr>
            <w:tcW w:w="3652" w:type="dxa"/>
            <w:vMerge/>
            <w:vAlign w:val="center"/>
          </w:tcPr>
          <w:p w14:paraId="09EF2878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36F04C46" w14:textId="5C8F39B6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możliwego zakresu współpracy, w tym także wykraczającego poza realizację kształcenia praktycznego u pracodawcy</w:t>
            </w:r>
          </w:p>
        </w:tc>
      </w:tr>
      <w:tr w:rsidR="00F67392" w:rsidRPr="00F67392" w14:paraId="0FA797D2" w14:textId="77777777" w:rsidTr="00F67392">
        <w:trPr>
          <w:trHeight w:val="394"/>
        </w:trPr>
        <w:tc>
          <w:tcPr>
            <w:tcW w:w="3652" w:type="dxa"/>
            <w:vMerge/>
            <w:vAlign w:val="center"/>
          </w:tcPr>
          <w:p w14:paraId="295D2311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75170855" w14:textId="213E0AD5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Organizacja  kształcenia praktycznego (programowanie, realizacja, nadzór pedagogiczny)</w:t>
            </w:r>
          </w:p>
        </w:tc>
      </w:tr>
      <w:tr w:rsidR="00F67392" w:rsidRPr="00F67392" w14:paraId="406C1544" w14:textId="77777777" w:rsidTr="00F67392">
        <w:trPr>
          <w:trHeight w:val="557"/>
        </w:trPr>
        <w:tc>
          <w:tcPr>
            <w:tcW w:w="3652" w:type="dxa"/>
            <w:vMerge w:val="restart"/>
            <w:vAlign w:val="center"/>
          </w:tcPr>
          <w:p w14:paraId="23A00546" w14:textId="77777777" w:rsidR="00640B1D" w:rsidRPr="00F67392" w:rsidRDefault="00640B1D" w:rsidP="00F67392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E. Ewaluacja przebiegu i efektów kształcenia praktycznego</w:t>
            </w:r>
          </w:p>
        </w:tc>
        <w:tc>
          <w:tcPr>
            <w:tcW w:w="5807" w:type="dxa"/>
          </w:tcPr>
          <w:p w14:paraId="4CF725A5" w14:textId="5F96ECC0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Stworzenie systemu ewaluacji (monitorowania) przebiegu i efektów kształcenia praktycznego</w:t>
            </w:r>
          </w:p>
        </w:tc>
      </w:tr>
      <w:tr w:rsidR="00F67392" w:rsidRPr="00F67392" w14:paraId="0D59239F" w14:textId="77777777" w:rsidTr="00CD0D63">
        <w:trPr>
          <w:trHeight w:val="789"/>
        </w:trPr>
        <w:tc>
          <w:tcPr>
            <w:tcW w:w="3652" w:type="dxa"/>
            <w:vMerge/>
          </w:tcPr>
          <w:p w14:paraId="06601696" w14:textId="77777777" w:rsidR="00640B1D" w:rsidRPr="00F67392" w:rsidRDefault="00640B1D" w:rsidP="00F67392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2F4F3962" w14:textId="09BB2DA3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Weryfikacja i certyfikacja efektów uczenia się uzyskanych w trakcie kształcenia praktycznego</w:t>
            </w:r>
          </w:p>
        </w:tc>
      </w:tr>
      <w:tr w:rsidR="00F67392" w:rsidRPr="00F67392" w14:paraId="781E9337" w14:textId="77777777" w:rsidTr="00640B1D">
        <w:trPr>
          <w:trHeight w:val="416"/>
        </w:trPr>
        <w:tc>
          <w:tcPr>
            <w:tcW w:w="3652" w:type="dxa"/>
            <w:vMerge/>
          </w:tcPr>
          <w:p w14:paraId="2FB83506" w14:textId="77777777" w:rsidR="00640B1D" w:rsidRPr="00F67392" w:rsidRDefault="00640B1D" w:rsidP="00F67392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14:paraId="48D6EBBD" w14:textId="4EBC5E1D" w:rsidR="00640B1D" w:rsidRPr="00F67392" w:rsidRDefault="00640B1D" w:rsidP="0029050F">
            <w:pPr>
              <w:pStyle w:val="Akapitzlist"/>
              <w:numPr>
                <w:ilvl w:val="0"/>
                <w:numId w:val="17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Ewaluacja przebiegu kształcenia praktycznego i uzyskanych efektów uczenia się</w:t>
            </w:r>
          </w:p>
        </w:tc>
      </w:tr>
    </w:tbl>
    <w:p w14:paraId="4442E8D8" w14:textId="6E02A4EB" w:rsidR="00571AE0" w:rsidRDefault="00F67392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>Źródło: opracowanie własne</w:t>
      </w:r>
    </w:p>
    <w:p w14:paraId="1CAB5986" w14:textId="010D5B1E" w:rsidR="00424237" w:rsidRDefault="00424237" w:rsidP="00DD73B1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73F3EA36" w14:textId="7D024CD2" w:rsidR="00424237" w:rsidRPr="00F36770" w:rsidRDefault="00571AE0" w:rsidP="00F36770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Zasady zapewnienia jakości kształcenia praktycznego realizowanego u pracodawcy zostały dodatkowo uzupełnione o wskazanie </w:t>
      </w:r>
      <w:r w:rsidR="0047191A">
        <w:rPr>
          <w:rFonts w:ascii="Arial" w:hAnsi="Arial" w:cs="Arial"/>
          <w:color w:val="000000"/>
          <w:shd w:val="clear" w:color="auto" w:fill="FFFFFF"/>
          <w:lang w:eastAsia="en-US"/>
        </w:rPr>
        <w:t>narzędzi wdrożenia i weryfikacji zastosowania tych zasad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, </w:t>
      </w:r>
      <w:r w:rsidR="0047191A">
        <w:rPr>
          <w:rFonts w:ascii="Arial" w:hAnsi="Arial" w:cs="Arial"/>
          <w:color w:val="000000"/>
          <w:shd w:val="clear" w:color="auto" w:fill="FFFFFF"/>
          <w:lang w:eastAsia="en-US"/>
        </w:rPr>
        <w:t>np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. możliwych do wykorzystania list, umów, planów i innych dokumentów (por. tabela </w:t>
      </w:r>
      <w:r w:rsidR="0047191A">
        <w:rPr>
          <w:rFonts w:ascii="Arial" w:hAnsi="Arial" w:cs="Arial"/>
          <w:color w:val="000000"/>
          <w:shd w:val="clear" w:color="auto" w:fill="FFFFFF"/>
          <w:lang w:eastAsia="en-US"/>
        </w:rPr>
        <w:t>2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).</w:t>
      </w:r>
    </w:p>
    <w:p w14:paraId="17DAC436" w14:textId="6C70A0C3" w:rsidR="00424237" w:rsidRDefault="00424237" w:rsidP="00424237">
      <w:pPr>
        <w:pStyle w:val="Akapitzlist"/>
        <w:spacing w:line="360" w:lineRule="auto"/>
        <w:ind w:left="777"/>
        <w:jc w:val="both"/>
        <w:rPr>
          <w:rFonts w:ascii="Arial" w:hAnsi="Arial" w:cs="Arial"/>
          <w:b/>
          <w:lang w:eastAsia="en-US"/>
        </w:rPr>
      </w:pPr>
    </w:p>
    <w:p w14:paraId="37D44257" w14:textId="77777777" w:rsidR="00424237" w:rsidRPr="00DD73B1" w:rsidRDefault="00424237" w:rsidP="00424237">
      <w:pPr>
        <w:pStyle w:val="Akapitzlist"/>
        <w:spacing w:line="360" w:lineRule="auto"/>
        <w:ind w:left="777"/>
        <w:jc w:val="both"/>
        <w:rPr>
          <w:rFonts w:ascii="Arial" w:hAnsi="Arial" w:cs="Arial"/>
          <w:b/>
          <w:lang w:eastAsia="en-US"/>
        </w:rPr>
        <w:sectPr w:rsidR="00424237" w:rsidRPr="00DD73B1" w:rsidSect="00A27990">
          <w:headerReference w:type="default" r:id="rId17"/>
          <w:footerReference w:type="default" r:id="rId1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BCA06D5" w14:textId="6E5B4196" w:rsidR="001D12EE" w:rsidRPr="00934583" w:rsidRDefault="0047191A" w:rsidP="001D12EE">
      <w:pPr>
        <w:spacing w:line="360" w:lineRule="auto"/>
        <w:jc w:val="both"/>
        <w:rPr>
          <w:rFonts w:ascii="Arial" w:hAnsi="Arial" w:cs="Arial"/>
          <w:b/>
          <w:i/>
          <w:lang w:eastAsia="en-US"/>
        </w:rPr>
      </w:pPr>
      <w:r w:rsidRPr="00934583">
        <w:rPr>
          <w:rFonts w:ascii="Arial" w:hAnsi="Arial" w:cs="Arial"/>
          <w:i/>
          <w:lang w:eastAsia="en-US"/>
        </w:rPr>
        <w:lastRenderedPageBreak/>
        <w:t>Tabela 2. Zasady jakości</w:t>
      </w:r>
      <w:r w:rsidR="00934583" w:rsidRPr="00934583">
        <w:rPr>
          <w:rFonts w:ascii="Arial" w:hAnsi="Arial" w:cs="Arial"/>
          <w:i/>
          <w:lang w:eastAsia="en-US"/>
        </w:rPr>
        <w:t xml:space="preserve"> kształcenia praktycznego wraz z narzędziami ich wdrożenia i weryfikacji ich 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4919"/>
        <w:gridCol w:w="6909"/>
      </w:tblGrid>
      <w:tr w:rsidR="0047191A" w:rsidRPr="00F67392" w14:paraId="277FC14B" w14:textId="5FC7FE05" w:rsidTr="0047191A">
        <w:tc>
          <w:tcPr>
            <w:tcW w:w="2164" w:type="dxa"/>
            <w:shd w:val="clear" w:color="auto" w:fill="D9D9D9" w:themeFill="background1" w:themeFillShade="D9"/>
          </w:tcPr>
          <w:p w14:paraId="0C639A08" w14:textId="77777777" w:rsidR="0047191A" w:rsidRPr="00F67392" w:rsidRDefault="0047191A" w:rsidP="00CD0D6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F67392">
              <w:rPr>
                <w:rFonts w:ascii="Arial" w:hAnsi="Arial" w:cs="Arial"/>
                <w:b/>
              </w:rPr>
              <w:t>Obszary działań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14:paraId="6418D3BC" w14:textId="77777777" w:rsidR="0047191A" w:rsidRPr="00F67392" w:rsidRDefault="0047191A" w:rsidP="00CD0D6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F67392">
              <w:rPr>
                <w:rFonts w:ascii="Arial" w:hAnsi="Arial" w:cs="Arial"/>
                <w:b/>
              </w:rPr>
              <w:t>Zasady zapewniania jakości kształcenia praktycznego realizowanego u pracodawcy</w:t>
            </w:r>
          </w:p>
        </w:tc>
        <w:tc>
          <w:tcPr>
            <w:tcW w:w="6909" w:type="dxa"/>
            <w:shd w:val="clear" w:color="auto" w:fill="D9D9D9" w:themeFill="background1" w:themeFillShade="D9"/>
          </w:tcPr>
          <w:p w14:paraId="1668F324" w14:textId="163142A3" w:rsidR="0047191A" w:rsidRPr="00F67392" w:rsidRDefault="0047191A" w:rsidP="0047191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Narzędzia wdrożenia i weryfikacji stosowania zasad zapewniania jakości kształcenia praktycznego</w:t>
            </w:r>
          </w:p>
        </w:tc>
      </w:tr>
      <w:tr w:rsidR="0047191A" w:rsidRPr="00F67392" w14:paraId="29F83BFB" w14:textId="53446014" w:rsidTr="0047191A">
        <w:trPr>
          <w:trHeight w:val="442"/>
        </w:trPr>
        <w:tc>
          <w:tcPr>
            <w:tcW w:w="2164" w:type="dxa"/>
            <w:vMerge w:val="restart"/>
            <w:vAlign w:val="center"/>
          </w:tcPr>
          <w:p w14:paraId="6B272699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A. Planowanie i dokumentacja kształcenia praktycznego</w:t>
            </w:r>
          </w:p>
        </w:tc>
        <w:tc>
          <w:tcPr>
            <w:tcW w:w="4919" w:type="dxa"/>
          </w:tcPr>
          <w:p w14:paraId="580098F1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zasad poszukiwania partnerów do współpracy oraz formalizowania współpracy z pracodawcami</w:t>
            </w:r>
          </w:p>
        </w:tc>
        <w:tc>
          <w:tcPr>
            <w:tcW w:w="6909" w:type="dxa"/>
          </w:tcPr>
          <w:p w14:paraId="6C423A93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Lista celów / wymagań dotyczących poszukiwanych praktyk zawodowych, w tym uwzględniająca profile kompetencji organizacji i szkoły oraz perspektywy zatrudnienia i rozwoju uczniów;</w:t>
            </w:r>
          </w:p>
          <w:p w14:paraId="43CE0D77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Oferta współpracy sformułowana przez szkołę;</w:t>
            </w:r>
          </w:p>
          <w:p w14:paraId="0126BB5B" w14:textId="5992CF2C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Lista wymogów, zobowiązań, dokumentów wyznaczających granice współpracy</w:t>
            </w:r>
          </w:p>
        </w:tc>
      </w:tr>
      <w:tr w:rsidR="0047191A" w:rsidRPr="00F67392" w14:paraId="768CEA9D" w14:textId="45EE4E9A" w:rsidTr="0047191A">
        <w:trPr>
          <w:trHeight w:val="442"/>
        </w:trPr>
        <w:tc>
          <w:tcPr>
            <w:tcW w:w="2164" w:type="dxa"/>
            <w:vMerge/>
            <w:vAlign w:val="center"/>
          </w:tcPr>
          <w:p w14:paraId="3321CB46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2801406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ogólnych zasad podejmowania współpracy pomiędzy szkołą, a pracodawcą</w:t>
            </w:r>
          </w:p>
        </w:tc>
        <w:tc>
          <w:tcPr>
            <w:tcW w:w="6909" w:type="dxa"/>
          </w:tcPr>
          <w:p w14:paraId="5495297C" w14:textId="77777777" w:rsidR="0047191A" w:rsidRPr="00CB04FC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CB04FC">
              <w:rPr>
                <w:rFonts w:ascii="Arial" w:hAnsi="Arial" w:cs="Arial"/>
                <w:i/>
                <w:iCs/>
              </w:rPr>
              <w:t xml:space="preserve">Porozumienie o współpracy między szkołą a pracodawcą </w:t>
            </w:r>
            <w:r>
              <w:rPr>
                <w:rFonts w:ascii="Arial" w:hAnsi="Arial" w:cs="Arial"/>
                <w:i/>
                <w:iCs/>
              </w:rPr>
              <w:t xml:space="preserve">(obejmujące wskazanie </w:t>
            </w:r>
            <w:r w:rsidRPr="00CB04FC">
              <w:rPr>
                <w:rFonts w:ascii="Arial" w:hAnsi="Arial" w:cs="Arial"/>
                <w:i/>
                <w:iCs/>
              </w:rPr>
              <w:t>praw i obowiązków szkoły i pracodawcy</w:t>
            </w:r>
            <w:r>
              <w:rPr>
                <w:rFonts w:ascii="Arial" w:hAnsi="Arial" w:cs="Arial"/>
                <w:i/>
                <w:iCs/>
              </w:rPr>
              <w:t>);</w:t>
            </w:r>
          </w:p>
          <w:p w14:paraId="7965668A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Porozumienie w zakresie organizacji praktyk zawodowych / zajęć praktycznych;</w:t>
            </w:r>
          </w:p>
          <w:p w14:paraId="421BBCEF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Umowa dotycząca organizacji praktyk zawodowych / zajęć praktycznych odpowiednia do przyjętego wariantu kształcenia;</w:t>
            </w:r>
          </w:p>
          <w:p w14:paraId="624A3ACB" w14:textId="007A0B2B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Umowa o pracę w celu przygotowania zawodowego;</w:t>
            </w:r>
          </w:p>
        </w:tc>
      </w:tr>
      <w:tr w:rsidR="0047191A" w:rsidRPr="00F67392" w14:paraId="0025E2D6" w14:textId="54BE62AC" w:rsidTr="0047191A">
        <w:trPr>
          <w:trHeight w:val="442"/>
        </w:trPr>
        <w:tc>
          <w:tcPr>
            <w:tcW w:w="2164" w:type="dxa"/>
            <w:vMerge/>
            <w:vAlign w:val="center"/>
          </w:tcPr>
          <w:p w14:paraId="17119155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8012CF1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 xml:space="preserve">Ujednolicenie dokumentacji obowiązującej podczas zawierania współpracy oraz w trakcie jej trwania </w:t>
            </w:r>
          </w:p>
        </w:tc>
        <w:tc>
          <w:tcPr>
            <w:tcW w:w="6909" w:type="dxa"/>
          </w:tcPr>
          <w:p w14:paraId="3AE39EBD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Dziennik zajęć praktycznych / praktyk zawodowych;</w:t>
            </w:r>
          </w:p>
          <w:p w14:paraId="26DC5407" w14:textId="41A5EEB0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Lista dokumentów stosowanych w trakcie praktyki (np. profile kompetencji, dzienniki praktyk, karty obserwacji / oceny);</w:t>
            </w:r>
          </w:p>
        </w:tc>
      </w:tr>
      <w:tr w:rsidR="0047191A" w:rsidRPr="00F67392" w14:paraId="6F9BEE20" w14:textId="6D904777" w:rsidTr="0047191A">
        <w:trPr>
          <w:trHeight w:val="442"/>
        </w:trPr>
        <w:tc>
          <w:tcPr>
            <w:tcW w:w="2164" w:type="dxa"/>
            <w:vMerge/>
            <w:vAlign w:val="center"/>
          </w:tcPr>
          <w:p w14:paraId="487BD195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5124108E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Przygotowanie ucznia, szkoły, pracodawcy do planowania i realizacji praktycznej nauki zawodu</w:t>
            </w:r>
          </w:p>
        </w:tc>
        <w:tc>
          <w:tcPr>
            <w:tcW w:w="6909" w:type="dxa"/>
          </w:tcPr>
          <w:p w14:paraId="4D0C6722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Rejestr i karta szkoleń BHP oraz dotyczących ryzyka zawodowego;</w:t>
            </w:r>
          </w:p>
          <w:p w14:paraId="53127F8A" w14:textId="2C2408F6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Identyfikacja zakresu niezbędnych wiedzy i umiejętności zawodowych uczniów, do podjęcia kształcenia praktycznego;</w:t>
            </w:r>
          </w:p>
        </w:tc>
      </w:tr>
      <w:tr w:rsidR="0047191A" w:rsidRPr="00F67392" w14:paraId="6095118C" w14:textId="07B3ACC6" w:rsidTr="0047191A">
        <w:trPr>
          <w:trHeight w:val="1184"/>
        </w:trPr>
        <w:tc>
          <w:tcPr>
            <w:tcW w:w="2164" w:type="dxa"/>
            <w:vMerge w:val="restart"/>
            <w:vAlign w:val="center"/>
          </w:tcPr>
          <w:p w14:paraId="4C0B39F6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lastRenderedPageBreak/>
              <w:t>B. Podział odpowiedzialności i kompetencje kadry</w:t>
            </w:r>
          </w:p>
        </w:tc>
        <w:tc>
          <w:tcPr>
            <w:tcW w:w="4919" w:type="dxa"/>
          </w:tcPr>
          <w:p w14:paraId="65BB616A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zakresu obowiązków i odpowiedzialności osób, które wykonują zadania przy planowaniu, realizacji i ewaluacji praktycznej nauki zawodu, a także wymaganych kompetencji i niezbędnych kwalifikacji</w:t>
            </w:r>
          </w:p>
        </w:tc>
        <w:tc>
          <w:tcPr>
            <w:tcW w:w="6909" w:type="dxa"/>
          </w:tcPr>
          <w:p w14:paraId="2241B54F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F54D3">
              <w:rPr>
                <w:rFonts w:ascii="Arial" w:hAnsi="Arial" w:cs="Arial"/>
                <w:i/>
                <w:lang w:eastAsia="en-US"/>
              </w:rPr>
              <w:t>Tabela</w:t>
            </w:r>
            <w:r>
              <w:rPr>
                <w:rFonts w:ascii="Arial" w:hAnsi="Arial" w:cs="Arial"/>
                <w:i/>
                <w:lang w:eastAsia="en-US"/>
              </w:rPr>
              <w:t xml:space="preserve"> / macierz</w:t>
            </w:r>
            <w:r w:rsidRPr="004F54D3">
              <w:rPr>
                <w:rFonts w:ascii="Arial" w:hAnsi="Arial" w:cs="Arial"/>
                <w:i/>
                <w:lang w:eastAsia="en-US"/>
              </w:rPr>
              <w:t xml:space="preserve"> osób zaangażowanych w kształcenie praktyczne zawierająca</w:t>
            </w:r>
            <w:r>
              <w:rPr>
                <w:rFonts w:ascii="Arial" w:hAnsi="Arial" w:cs="Arial"/>
                <w:i/>
                <w:lang w:eastAsia="en-US"/>
              </w:rPr>
              <w:t>:</w:t>
            </w:r>
          </w:p>
          <w:p w14:paraId="4DD54B53" w14:textId="77777777" w:rsidR="0047191A" w:rsidRDefault="0047191A" w:rsidP="0029050F">
            <w:pPr>
              <w:pStyle w:val="Akapitzlist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4F54D3">
              <w:rPr>
                <w:rFonts w:ascii="Arial" w:hAnsi="Arial" w:cs="Arial"/>
                <w:i/>
                <w:lang w:eastAsia="en-US"/>
              </w:rPr>
              <w:t>listę osób i pełnionych funkcji (</w:t>
            </w:r>
            <w:r>
              <w:rPr>
                <w:rFonts w:ascii="Arial" w:hAnsi="Arial" w:cs="Arial"/>
                <w:i/>
                <w:lang w:eastAsia="en-US"/>
              </w:rPr>
              <w:t xml:space="preserve">w szczególności </w:t>
            </w:r>
            <w:r w:rsidRPr="004F54D3">
              <w:rPr>
                <w:rFonts w:ascii="Arial" w:hAnsi="Arial" w:cs="Arial"/>
                <w:i/>
                <w:lang w:eastAsia="en-US"/>
              </w:rPr>
              <w:t>dyrektor, kierownik kształcenia praktycznego, pracodawca</w:t>
            </w:r>
            <w:r>
              <w:rPr>
                <w:rFonts w:ascii="Arial" w:hAnsi="Arial" w:cs="Arial"/>
                <w:i/>
                <w:lang w:eastAsia="en-US"/>
              </w:rPr>
              <w:t xml:space="preserve"> (osoba decyzyjna, ew. także koordynator współpracy)</w:t>
            </w:r>
            <w:r w:rsidRPr="004F54D3">
              <w:rPr>
                <w:rFonts w:ascii="Arial" w:hAnsi="Arial" w:cs="Arial"/>
                <w:i/>
                <w:lang w:eastAsia="en-US"/>
              </w:rPr>
              <w:t>, opiekun uczniów, nauczyciel kształcenia zawodowego, doradca edukacyjno-zawodowy, wychowawca klasy, uczniowie)</w:t>
            </w:r>
            <w:r>
              <w:rPr>
                <w:rFonts w:ascii="Arial" w:hAnsi="Arial" w:cs="Arial"/>
                <w:i/>
                <w:lang w:eastAsia="en-US"/>
              </w:rPr>
              <w:t xml:space="preserve"> [wiersze];</w:t>
            </w:r>
          </w:p>
          <w:p w14:paraId="0AB78EC4" w14:textId="77777777" w:rsidR="0047191A" w:rsidRDefault="0047191A" w:rsidP="0029050F">
            <w:pPr>
              <w:pStyle w:val="Akapitzlist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4F54D3">
              <w:rPr>
                <w:rFonts w:ascii="Arial" w:hAnsi="Arial" w:cs="Arial"/>
                <w:i/>
                <w:lang w:eastAsia="en-US"/>
              </w:rPr>
              <w:t xml:space="preserve">wymaganych kompetencji i kwalifikacji oraz </w:t>
            </w:r>
            <w:r>
              <w:rPr>
                <w:rFonts w:ascii="Arial" w:hAnsi="Arial" w:cs="Arial"/>
                <w:i/>
                <w:lang w:eastAsia="en-US"/>
              </w:rPr>
              <w:t>[kolumny];</w:t>
            </w:r>
          </w:p>
          <w:p w14:paraId="3EEC9FFD" w14:textId="77777777" w:rsidR="0047191A" w:rsidRPr="004F54D3" w:rsidRDefault="0047191A" w:rsidP="0029050F">
            <w:pPr>
              <w:pStyle w:val="Akapitzlist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4F54D3">
              <w:rPr>
                <w:rFonts w:ascii="Arial" w:hAnsi="Arial" w:cs="Arial"/>
                <w:i/>
                <w:lang w:eastAsia="en-US"/>
              </w:rPr>
              <w:t>zakresu odpowiedzialności i obowiązków</w:t>
            </w:r>
            <w:r>
              <w:rPr>
                <w:rFonts w:ascii="Arial" w:hAnsi="Arial" w:cs="Arial"/>
                <w:i/>
                <w:lang w:eastAsia="en-US"/>
              </w:rPr>
              <w:t xml:space="preserve"> [kolumny];</w:t>
            </w:r>
          </w:p>
          <w:p w14:paraId="16C27BE3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lastRenderedPageBreak/>
              <w:t>Oświadczenie</w:t>
            </w:r>
            <w:r>
              <w:rPr>
                <w:rFonts w:ascii="Arial" w:hAnsi="Arial" w:cs="Arial"/>
                <w:i/>
                <w:lang w:eastAsia="en-US"/>
              </w:rPr>
              <w:t xml:space="preserve"> zaangażowanych osób dotyczące posiadania niezbędnych kompetencji;</w:t>
            </w:r>
          </w:p>
          <w:p w14:paraId="12F7E107" w14:textId="7AB3164A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</w:rPr>
            </w:pPr>
            <w:r w:rsidRPr="0047191A">
              <w:rPr>
                <w:rFonts w:ascii="Arial" w:hAnsi="Arial" w:cs="Arial"/>
                <w:i/>
                <w:lang w:eastAsia="en-US"/>
              </w:rPr>
              <w:t xml:space="preserve">Lista dokumentów wymaganych prawem dla każdej z ról </w:t>
            </w:r>
            <w:r w:rsidR="00015C71" w:rsidRPr="007D08F1">
              <w:rPr>
                <w:rFonts w:ascii="Arial" w:hAnsi="Arial" w:cs="Arial"/>
                <w:i/>
                <w:lang w:eastAsia="en-US"/>
              </w:rPr>
              <w:t>checklista</w:t>
            </w:r>
          </w:p>
        </w:tc>
      </w:tr>
      <w:tr w:rsidR="0047191A" w:rsidRPr="00F67392" w14:paraId="7587D3D4" w14:textId="4A808CC1" w:rsidTr="0047191A">
        <w:trPr>
          <w:trHeight w:val="376"/>
        </w:trPr>
        <w:tc>
          <w:tcPr>
            <w:tcW w:w="2164" w:type="dxa"/>
            <w:vMerge/>
            <w:vAlign w:val="center"/>
          </w:tcPr>
          <w:p w14:paraId="51CF133B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021A371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potrzeb w zakresie podnoszenia kwalifikacji zawodowych nauczycieli</w:t>
            </w:r>
          </w:p>
        </w:tc>
        <w:tc>
          <w:tcPr>
            <w:tcW w:w="6909" w:type="dxa"/>
          </w:tcPr>
          <w:p w14:paraId="40A49F55" w14:textId="100EFBE9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Plan</w:t>
            </w:r>
            <w:r>
              <w:rPr>
                <w:rFonts w:ascii="Arial" w:hAnsi="Arial" w:cs="Arial"/>
                <w:i/>
                <w:lang w:eastAsia="en-US"/>
              </w:rPr>
              <w:t xml:space="preserve"> doskonalenia nauczycieli kształcenia zawodowego u pracodawców oraz umowa dotycząca doskonalenia nauczycieli u pracodawców;</w:t>
            </w:r>
          </w:p>
        </w:tc>
      </w:tr>
      <w:tr w:rsidR="0047191A" w:rsidRPr="00F67392" w14:paraId="6768E3A4" w14:textId="068143D8" w:rsidTr="0047191A">
        <w:tc>
          <w:tcPr>
            <w:tcW w:w="2164" w:type="dxa"/>
            <w:vAlign w:val="center"/>
          </w:tcPr>
          <w:p w14:paraId="76D66B8A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C. Wyposażenie niezbędne do realizacji kształcenia</w:t>
            </w:r>
          </w:p>
        </w:tc>
        <w:tc>
          <w:tcPr>
            <w:tcW w:w="4919" w:type="dxa"/>
          </w:tcPr>
          <w:p w14:paraId="1AE89355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i zapewnienie minimalnego wyposażenia niezbędnego do realizacji praktycznej nauki zawodu</w:t>
            </w:r>
          </w:p>
        </w:tc>
        <w:tc>
          <w:tcPr>
            <w:tcW w:w="6909" w:type="dxa"/>
          </w:tcPr>
          <w:p w14:paraId="2E6258C1" w14:textId="77777777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47191A">
              <w:rPr>
                <w:rFonts w:ascii="Arial" w:hAnsi="Arial" w:cs="Arial"/>
                <w:i/>
                <w:iCs/>
              </w:rPr>
              <w:t>Wykaz stanowisk wraz z wyposażeniem, powiązanych z obszarami kompetencji (względnie zadaniami zawodowymi);</w:t>
            </w:r>
          </w:p>
          <w:p w14:paraId="0DF3AAD9" w14:textId="124C25B9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Potwierdzenie przez pracodawcę dostępności i możliwości korzystania ze stanowisk i ich wyposażenia</w:t>
            </w:r>
            <w:r>
              <w:rPr>
                <w:rFonts w:ascii="Arial" w:hAnsi="Arial" w:cs="Arial"/>
                <w:i/>
                <w:lang w:eastAsia="en-US"/>
              </w:rPr>
              <w:t xml:space="preserve"> (por. Umowa</w:t>
            </w:r>
            <w:r w:rsidR="00143D84">
              <w:rPr>
                <w:rFonts w:ascii="Arial" w:hAnsi="Arial" w:cs="Arial"/>
                <w:i/>
                <w:lang w:eastAsia="en-US"/>
              </w:rPr>
              <w:t xml:space="preserve"> w obszarze A</w:t>
            </w:r>
            <w:r>
              <w:rPr>
                <w:rFonts w:ascii="Arial" w:hAnsi="Arial" w:cs="Arial"/>
                <w:i/>
                <w:lang w:eastAsia="en-US"/>
              </w:rPr>
              <w:t>);</w:t>
            </w:r>
          </w:p>
          <w:p w14:paraId="28145F48" w14:textId="3779194F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>W</w:t>
            </w:r>
            <w:r w:rsidRPr="002F3E8E">
              <w:rPr>
                <w:rFonts w:ascii="Arial" w:hAnsi="Arial" w:cs="Arial"/>
                <w:i/>
                <w:lang w:eastAsia="en-US"/>
              </w:rPr>
              <w:t>eryfikacja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2F3E8E">
              <w:rPr>
                <w:rFonts w:ascii="Arial" w:hAnsi="Arial" w:cs="Arial"/>
                <w:i/>
                <w:lang w:eastAsia="en-US"/>
              </w:rPr>
              <w:t xml:space="preserve">możliwości prowadzenia </w:t>
            </w:r>
            <w:r w:rsidRPr="0047191A">
              <w:rPr>
                <w:rFonts w:ascii="Arial" w:hAnsi="Arial" w:cs="Arial"/>
                <w:i/>
                <w:iCs/>
              </w:rPr>
              <w:t>kształcenia</w:t>
            </w:r>
            <w:r w:rsidRPr="002F3E8E">
              <w:rPr>
                <w:rFonts w:ascii="Arial" w:hAnsi="Arial" w:cs="Arial"/>
                <w:i/>
                <w:lang w:eastAsia="en-US"/>
              </w:rPr>
              <w:t xml:space="preserve"> w ustalonym zakresie u pracodawcy</w:t>
            </w:r>
            <w:r>
              <w:rPr>
                <w:rFonts w:ascii="Arial" w:hAnsi="Arial" w:cs="Arial"/>
                <w:i/>
                <w:lang w:eastAsia="en-US"/>
              </w:rPr>
              <w:t xml:space="preserve"> (por. </w:t>
            </w:r>
            <w:r w:rsidR="00143D84">
              <w:rPr>
                <w:rFonts w:ascii="Arial" w:hAnsi="Arial" w:cs="Arial"/>
                <w:i/>
                <w:lang w:eastAsia="en-US"/>
              </w:rPr>
              <w:t>E</w:t>
            </w:r>
            <w:r>
              <w:rPr>
                <w:rFonts w:ascii="Arial" w:hAnsi="Arial" w:cs="Arial"/>
                <w:i/>
                <w:lang w:eastAsia="en-US"/>
              </w:rPr>
              <w:t>waluacja</w:t>
            </w:r>
            <w:r w:rsidR="00143D84">
              <w:rPr>
                <w:rFonts w:ascii="Arial" w:hAnsi="Arial" w:cs="Arial"/>
                <w:i/>
                <w:lang w:eastAsia="en-US"/>
              </w:rPr>
              <w:t xml:space="preserve"> – obszar E</w:t>
            </w:r>
            <w:r>
              <w:rPr>
                <w:rFonts w:ascii="Arial" w:hAnsi="Arial" w:cs="Arial"/>
                <w:i/>
                <w:lang w:eastAsia="en-US"/>
              </w:rPr>
              <w:t>);</w:t>
            </w:r>
          </w:p>
        </w:tc>
      </w:tr>
      <w:tr w:rsidR="0047191A" w:rsidRPr="00F67392" w14:paraId="245CE9A2" w14:textId="30980E45" w:rsidTr="0047191A">
        <w:trPr>
          <w:trHeight w:val="395"/>
        </w:trPr>
        <w:tc>
          <w:tcPr>
            <w:tcW w:w="2164" w:type="dxa"/>
            <w:vMerge w:val="restart"/>
            <w:vAlign w:val="center"/>
          </w:tcPr>
          <w:p w14:paraId="3DF1FA85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lastRenderedPageBreak/>
              <w:t>D. Współpraca i organizacja kształcenia praktycznego</w:t>
            </w:r>
          </w:p>
        </w:tc>
        <w:tc>
          <w:tcPr>
            <w:tcW w:w="4919" w:type="dxa"/>
          </w:tcPr>
          <w:p w14:paraId="0724A865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 xml:space="preserve">Ustalenie zasad komunikacji między szkołą i pracodawcą </w:t>
            </w:r>
          </w:p>
        </w:tc>
        <w:tc>
          <w:tcPr>
            <w:tcW w:w="6909" w:type="dxa"/>
          </w:tcPr>
          <w:p w14:paraId="4F909191" w14:textId="77777777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lang w:eastAsia="en-US"/>
              </w:rPr>
              <w:t>Z</w:t>
            </w:r>
            <w:r w:rsidRPr="00AA4924">
              <w:rPr>
                <w:rFonts w:ascii="Arial" w:hAnsi="Arial" w:cs="Arial"/>
                <w:i/>
                <w:lang w:eastAsia="en-US"/>
              </w:rPr>
              <w:t xml:space="preserve">asady (polityka) komunikacji, w tym osoby </w:t>
            </w:r>
            <w:r w:rsidRPr="0047191A">
              <w:rPr>
                <w:rFonts w:ascii="Arial" w:hAnsi="Arial" w:cs="Arial"/>
                <w:i/>
                <w:iCs/>
              </w:rPr>
              <w:t>odpowiedzialne za zapewnienie płynności komunikacji z obu stron;</w:t>
            </w:r>
          </w:p>
          <w:p w14:paraId="546840FC" w14:textId="79E8E246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47191A">
              <w:rPr>
                <w:rFonts w:ascii="Arial" w:hAnsi="Arial" w:cs="Arial"/>
                <w:i/>
                <w:iCs/>
              </w:rPr>
              <w:t>Plan komunikacji – przewidziana liczba i czas spotkań, stosowanych środków komunikacji, mediów oraz zakres wymienianych informacji;</w:t>
            </w:r>
          </w:p>
        </w:tc>
      </w:tr>
      <w:tr w:rsidR="0047191A" w:rsidRPr="00F67392" w14:paraId="339C1977" w14:textId="3E91EE2C" w:rsidTr="0047191A">
        <w:trPr>
          <w:trHeight w:val="394"/>
        </w:trPr>
        <w:tc>
          <w:tcPr>
            <w:tcW w:w="2164" w:type="dxa"/>
            <w:vMerge/>
            <w:vAlign w:val="center"/>
          </w:tcPr>
          <w:p w14:paraId="1B7BB582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73EF04E7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Określenie możliwego zakresu współpracy, w tym także wykraczającego poza realizację kształcenia praktycznego u pracodawcy</w:t>
            </w:r>
          </w:p>
        </w:tc>
        <w:tc>
          <w:tcPr>
            <w:tcW w:w="6909" w:type="dxa"/>
          </w:tcPr>
          <w:p w14:paraId="7F6AD3AA" w14:textId="29A2390A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104305">
              <w:rPr>
                <w:rFonts w:ascii="Arial" w:hAnsi="Arial" w:cs="Arial"/>
                <w:i/>
                <w:lang w:eastAsia="en-US"/>
              </w:rPr>
              <w:t xml:space="preserve">Lista działań tworzących wartość dla </w:t>
            </w:r>
            <w:r w:rsidRPr="0047191A">
              <w:rPr>
                <w:rFonts w:ascii="Arial" w:hAnsi="Arial" w:cs="Arial"/>
                <w:i/>
                <w:iCs/>
              </w:rPr>
              <w:t>podmiotów</w:t>
            </w:r>
            <w:r w:rsidRPr="00104305">
              <w:rPr>
                <w:rFonts w:ascii="Arial" w:hAnsi="Arial" w:cs="Arial"/>
                <w:i/>
                <w:lang w:eastAsia="en-US"/>
              </w:rPr>
              <w:t xml:space="preserve"> zaangażowanych we współpracę (np. działania promocyjne, rekrutacje i tworzenie klas patronackich, szkolenia i wizyty studyjne uczniów, przekazywanie materiałów, doposażanie pracowni, zaangażowanie pracodawców w projekty międzynarodowe)</w:t>
            </w:r>
          </w:p>
        </w:tc>
      </w:tr>
      <w:tr w:rsidR="0047191A" w:rsidRPr="00F67392" w14:paraId="5B6BEBF7" w14:textId="40471E1D" w:rsidTr="0047191A">
        <w:trPr>
          <w:trHeight w:val="394"/>
        </w:trPr>
        <w:tc>
          <w:tcPr>
            <w:tcW w:w="2164" w:type="dxa"/>
            <w:vMerge/>
            <w:vAlign w:val="center"/>
          </w:tcPr>
          <w:p w14:paraId="0689B457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6BD8135E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Organizacja  kształcenia praktycznego (programowanie, realizacja, nadzór pedagogiczny)</w:t>
            </w:r>
          </w:p>
        </w:tc>
        <w:tc>
          <w:tcPr>
            <w:tcW w:w="6909" w:type="dxa"/>
          </w:tcPr>
          <w:p w14:paraId="7B8FFDE6" w14:textId="6C6F7A66" w:rsidR="0047191A" w:rsidRPr="00104305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104305">
              <w:rPr>
                <w:rFonts w:ascii="Arial" w:hAnsi="Arial" w:cs="Arial"/>
                <w:i/>
                <w:iCs/>
              </w:rPr>
              <w:t>Umowa między szkołą a pracodawcą na realizację praktycznej nauki zawodu odpowiednia do wariantu organizacji kształcenia (por.</w:t>
            </w:r>
            <w:r w:rsidR="00143D84">
              <w:rPr>
                <w:rFonts w:ascii="Arial" w:hAnsi="Arial" w:cs="Arial"/>
                <w:i/>
                <w:iCs/>
              </w:rPr>
              <w:t xml:space="preserve"> obszar</w:t>
            </w:r>
            <w:r w:rsidRPr="00104305">
              <w:rPr>
                <w:rFonts w:ascii="Arial" w:hAnsi="Arial" w:cs="Arial"/>
                <w:i/>
                <w:iCs/>
              </w:rPr>
              <w:t xml:space="preserve"> A)</w:t>
            </w:r>
            <w:r>
              <w:rPr>
                <w:rFonts w:ascii="Arial" w:hAnsi="Arial" w:cs="Arial"/>
                <w:i/>
                <w:iCs/>
              </w:rPr>
              <w:t>;</w:t>
            </w:r>
          </w:p>
          <w:p w14:paraId="5E0C5391" w14:textId="77777777" w:rsidR="0047191A" w:rsidRPr="00BA0635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BA0635">
              <w:rPr>
                <w:rFonts w:ascii="Arial" w:hAnsi="Arial" w:cs="Arial"/>
                <w:i/>
                <w:iCs/>
              </w:rPr>
              <w:t>Program praktycznej nauki zawodu oraz odpowiednio wyodrębniony program praktyki lub stażu zawodowego;</w:t>
            </w:r>
          </w:p>
          <w:p w14:paraId="19EEDAFD" w14:textId="3499CB22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104305">
              <w:rPr>
                <w:rFonts w:ascii="Arial" w:hAnsi="Arial" w:cs="Arial"/>
                <w:i/>
                <w:iCs/>
              </w:rPr>
              <w:t xml:space="preserve">Dokumentacja przebiegu nauczania (por. </w:t>
            </w:r>
            <w:r w:rsidR="00143D84">
              <w:rPr>
                <w:rFonts w:ascii="Arial" w:hAnsi="Arial" w:cs="Arial"/>
                <w:i/>
                <w:iCs/>
              </w:rPr>
              <w:t xml:space="preserve">obszar </w:t>
            </w:r>
            <w:r w:rsidRPr="00104305">
              <w:rPr>
                <w:rFonts w:ascii="Arial" w:hAnsi="Arial" w:cs="Arial"/>
                <w:i/>
                <w:iCs/>
              </w:rPr>
              <w:t>A) i jego wyników (por.</w:t>
            </w:r>
            <w:r w:rsidR="00143D84">
              <w:rPr>
                <w:rFonts w:ascii="Arial" w:hAnsi="Arial" w:cs="Arial"/>
                <w:i/>
                <w:iCs/>
              </w:rPr>
              <w:t xml:space="preserve"> obszar</w:t>
            </w:r>
            <w:r w:rsidRPr="00104305">
              <w:rPr>
                <w:rFonts w:ascii="Arial" w:hAnsi="Arial" w:cs="Arial"/>
                <w:i/>
                <w:iCs/>
              </w:rPr>
              <w:t xml:space="preserve"> E</w:t>
            </w:r>
            <w:r w:rsidR="00143D84">
              <w:rPr>
                <w:rFonts w:ascii="Arial" w:hAnsi="Arial" w:cs="Arial"/>
                <w:i/>
                <w:iCs/>
              </w:rPr>
              <w:t xml:space="preserve"> – weryfikacja i certyfikacja</w:t>
            </w:r>
            <w:r w:rsidRPr="0010430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>;</w:t>
            </w:r>
          </w:p>
          <w:p w14:paraId="035B1408" w14:textId="78E69C2D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Plan nadzoru pedagogicznego i sprawozdanie z nadzoru</w:t>
            </w:r>
            <w:r w:rsidRPr="00104305">
              <w:rPr>
                <w:rFonts w:ascii="Arial" w:hAnsi="Arial" w:cs="Arial"/>
                <w:i/>
                <w:lang w:eastAsia="en-US"/>
              </w:rPr>
              <w:t xml:space="preserve"> pedagogicznego.</w:t>
            </w:r>
          </w:p>
        </w:tc>
      </w:tr>
      <w:tr w:rsidR="0047191A" w:rsidRPr="00F67392" w14:paraId="77833934" w14:textId="581C340C" w:rsidTr="0047191A">
        <w:trPr>
          <w:trHeight w:val="557"/>
        </w:trPr>
        <w:tc>
          <w:tcPr>
            <w:tcW w:w="2164" w:type="dxa"/>
            <w:vMerge w:val="restart"/>
            <w:vAlign w:val="center"/>
          </w:tcPr>
          <w:p w14:paraId="56485572" w14:textId="77777777" w:rsidR="0047191A" w:rsidRPr="00F67392" w:rsidRDefault="0047191A" w:rsidP="00934583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E. Ewaluacja przebiegu i efektów kształcenia praktycznego</w:t>
            </w:r>
          </w:p>
        </w:tc>
        <w:tc>
          <w:tcPr>
            <w:tcW w:w="4919" w:type="dxa"/>
          </w:tcPr>
          <w:p w14:paraId="3002D3C7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Stworzenie systemu ewaluacji (monitorowania) przebiegu i efektów kształcenia praktycznego</w:t>
            </w:r>
          </w:p>
        </w:tc>
        <w:tc>
          <w:tcPr>
            <w:tcW w:w="6909" w:type="dxa"/>
          </w:tcPr>
          <w:p w14:paraId="335EF3F8" w14:textId="77777777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FB6989">
              <w:rPr>
                <w:rFonts w:ascii="Arial" w:hAnsi="Arial" w:cs="Arial"/>
                <w:i/>
                <w:lang w:eastAsia="en-US"/>
              </w:rPr>
              <w:t xml:space="preserve">Zasady </w:t>
            </w:r>
            <w:r>
              <w:rPr>
                <w:rFonts w:ascii="Arial" w:hAnsi="Arial" w:cs="Arial"/>
                <w:i/>
                <w:lang w:eastAsia="en-US"/>
              </w:rPr>
              <w:t xml:space="preserve">weryfikacji i </w:t>
            </w:r>
            <w:r w:rsidRPr="00FB6989">
              <w:rPr>
                <w:rFonts w:ascii="Arial" w:hAnsi="Arial" w:cs="Arial"/>
                <w:i/>
                <w:lang w:eastAsia="en-US"/>
              </w:rPr>
              <w:t xml:space="preserve">oceniania </w:t>
            </w:r>
            <w:r>
              <w:rPr>
                <w:rFonts w:ascii="Arial" w:hAnsi="Arial" w:cs="Arial"/>
                <w:i/>
                <w:lang w:eastAsia="en-US"/>
              </w:rPr>
              <w:t xml:space="preserve">oraz certyfikacji </w:t>
            </w:r>
            <w:r w:rsidRPr="0047191A">
              <w:rPr>
                <w:rFonts w:ascii="Arial" w:hAnsi="Arial" w:cs="Arial"/>
                <w:i/>
                <w:iCs/>
              </w:rPr>
              <w:t>efektów uczenia się w praktykach zawodowych (zakres weryfikacji i oceny, przewidywane narzędzia weryfikacji, skale oceniania, wskazówki dla oceniających, przebieg certyfikacji);</w:t>
            </w:r>
          </w:p>
          <w:p w14:paraId="4D059297" w14:textId="402E33A5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lastRenderedPageBreak/>
              <w:t>Zasady ewaluacji przebiegu i efektów kształcenia praktycznego (moment rozpoczęcia</w:t>
            </w:r>
            <w:r w:rsidRPr="00FB6989">
              <w:rPr>
                <w:rFonts w:ascii="Arial" w:hAnsi="Arial" w:cs="Arial"/>
                <w:i/>
                <w:lang w:eastAsia="en-US"/>
              </w:rPr>
              <w:t xml:space="preserve"> i zakończenia ewaluacji, zakres gromadzonych informacji oraz oczekiwany wynik ich przetworzenia, narzędzia gromadzenia informacji, osoby odpowiedzialne za przeprowadzenie ewaluacji, sposób wykorzystania wniosków z ewaluacji)</w:t>
            </w:r>
          </w:p>
        </w:tc>
      </w:tr>
      <w:tr w:rsidR="0047191A" w:rsidRPr="00F67392" w14:paraId="6C92051B" w14:textId="69D589B6" w:rsidTr="0047191A">
        <w:trPr>
          <w:trHeight w:val="789"/>
        </w:trPr>
        <w:tc>
          <w:tcPr>
            <w:tcW w:w="2164" w:type="dxa"/>
            <w:vMerge/>
          </w:tcPr>
          <w:p w14:paraId="00367DC6" w14:textId="77777777" w:rsidR="0047191A" w:rsidRPr="00F67392" w:rsidRDefault="0047191A" w:rsidP="00934583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4583CE66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Weryfikacja i certyfikacja efektów uczenia się uzyskanych w trakcie kształcenia praktycznego</w:t>
            </w:r>
          </w:p>
        </w:tc>
        <w:tc>
          <w:tcPr>
            <w:tcW w:w="6909" w:type="dxa"/>
          </w:tcPr>
          <w:p w14:paraId="07C69386" w14:textId="77777777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FB6989">
              <w:rPr>
                <w:rFonts w:ascii="Arial" w:hAnsi="Arial" w:cs="Arial"/>
                <w:i/>
                <w:lang w:eastAsia="en-US"/>
              </w:rPr>
              <w:t xml:space="preserve">Plan weryfikacji efektów uczenia się (wybrane </w:t>
            </w:r>
            <w:r w:rsidRPr="0047191A">
              <w:rPr>
                <w:rFonts w:ascii="Arial" w:hAnsi="Arial" w:cs="Arial"/>
                <w:i/>
                <w:iCs/>
              </w:rPr>
              <w:t>narzędzia weryfikacji, moment weryfikacji, osoby zaangażowane w weryfikację efektów uczenia się);</w:t>
            </w:r>
          </w:p>
          <w:p w14:paraId="68163AC4" w14:textId="77777777" w:rsid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Opis procesu walidacji i certyfikacji efektów uczenia się (wymagania dotyczące stosowanych metod weryfikacji, kompetencji asesorów, rozdzielności procesów kształcenia i oceniania</w:t>
            </w:r>
            <w:r>
              <w:rPr>
                <w:rFonts w:ascii="Arial" w:hAnsi="Arial" w:cs="Arial"/>
                <w:i/>
                <w:lang w:eastAsia="en-US"/>
              </w:rPr>
              <w:t>);</w:t>
            </w:r>
          </w:p>
          <w:p w14:paraId="401109AC" w14:textId="3B90DEF9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Wzór</w:t>
            </w:r>
            <w:r>
              <w:rPr>
                <w:rFonts w:ascii="Arial" w:hAnsi="Arial" w:cs="Arial"/>
                <w:i/>
                <w:lang w:eastAsia="en-US"/>
              </w:rPr>
              <w:t xml:space="preserve"> certyfikatu;</w:t>
            </w:r>
          </w:p>
        </w:tc>
      </w:tr>
      <w:tr w:rsidR="0047191A" w:rsidRPr="00F67392" w14:paraId="2EA25C01" w14:textId="68ACDD4E" w:rsidTr="0047191A">
        <w:trPr>
          <w:trHeight w:val="416"/>
        </w:trPr>
        <w:tc>
          <w:tcPr>
            <w:tcW w:w="2164" w:type="dxa"/>
            <w:vMerge/>
          </w:tcPr>
          <w:p w14:paraId="38DAD42C" w14:textId="77777777" w:rsidR="0047191A" w:rsidRPr="00F67392" w:rsidRDefault="0047191A" w:rsidP="00934583">
            <w:pPr>
              <w:spacing w:before="240" w:after="240" w:line="276" w:lineRule="auto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E0A5D19" w14:textId="77777777" w:rsidR="0047191A" w:rsidRPr="00F67392" w:rsidRDefault="0047191A" w:rsidP="0029050F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rPr>
                <w:rFonts w:ascii="Arial" w:hAnsi="Arial" w:cs="Arial"/>
              </w:rPr>
            </w:pPr>
            <w:r w:rsidRPr="00F67392">
              <w:rPr>
                <w:rFonts w:ascii="Arial" w:hAnsi="Arial" w:cs="Arial"/>
              </w:rPr>
              <w:t>Ewaluacja przebiegu kształcenia praktycznego i uzyskanych efektów uczenia się</w:t>
            </w:r>
          </w:p>
        </w:tc>
        <w:tc>
          <w:tcPr>
            <w:tcW w:w="6909" w:type="dxa"/>
          </w:tcPr>
          <w:p w14:paraId="28B79FDC" w14:textId="405AA608" w:rsidR="001C79CE" w:rsidRPr="001C79CE" w:rsidRDefault="0047191A" w:rsidP="001C79CE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47191A">
              <w:rPr>
                <w:rFonts w:ascii="Arial" w:hAnsi="Arial" w:cs="Arial"/>
                <w:i/>
                <w:iCs/>
              </w:rPr>
              <w:t>Plan ewaluacji przebiegu i efektów kształcenia praktycznego (wybrane narzędzia, harmonogram ich wdrożenia, lista osób zaangażowanych w ewaluację</w:t>
            </w:r>
            <w:r w:rsidR="001C79CE">
              <w:rPr>
                <w:rFonts w:ascii="Arial" w:hAnsi="Arial" w:cs="Arial"/>
                <w:i/>
                <w:iCs/>
              </w:rPr>
              <w:t>, lista wskaźników i momentów krytycznych prowadzenia monitoringu);</w:t>
            </w:r>
          </w:p>
          <w:p w14:paraId="6D609AE3" w14:textId="77777777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iCs/>
              </w:rPr>
            </w:pPr>
            <w:r w:rsidRPr="0047191A">
              <w:rPr>
                <w:rFonts w:ascii="Arial" w:hAnsi="Arial" w:cs="Arial"/>
                <w:i/>
                <w:iCs/>
              </w:rPr>
              <w:t>Projekty stosowanych ankiet, scenariuszy wywiadów i innych narzędzi gromadzenia informacji;</w:t>
            </w:r>
          </w:p>
          <w:p w14:paraId="4AB2E0A9" w14:textId="0C0F368B" w:rsidR="0047191A" w:rsidRPr="0047191A" w:rsidRDefault="0047191A" w:rsidP="0029050F">
            <w:pPr>
              <w:numPr>
                <w:ilvl w:val="0"/>
                <w:numId w:val="19"/>
              </w:numPr>
              <w:spacing w:before="240" w:after="240" w:line="360" w:lineRule="auto"/>
              <w:rPr>
                <w:rFonts w:ascii="Arial" w:hAnsi="Arial" w:cs="Arial"/>
                <w:i/>
                <w:lang w:eastAsia="en-US"/>
              </w:rPr>
            </w:pPr>
            <w:r w:rsidRPr="0047191A">
              <w:rPr>
                <w:rFonts w:ascii="Arial" w:hAnsi="Arial" w:cs="Arial"/>
                <w:i/>
                <w:iCs/>
              </w:rPr>
              <w:t>Raport z ewaluacji przebiegu i efektów kształcenia</w:t>
            </w:r>
            <w:r>
              <w:rPr>
                <w:rFonts w:ascii="Arial" w:hAnsi="Arial" w:cs="Arial"/>
                <w:i/>
                <w:lang w:eastAsia="en-US"/>
              </w:rPr>
              <w:t xml:space="preserve"> praktycznego</w:t>
            </w:r>
            <w:r w:rsidR="001C79CE">
              <w:rPr>
                <w:rFonts w:ascii="Arial" w:hAnsi="Arial" w:cs="Arial"/>
                <w:i/>
                <w:lang w:eastAsia="en-US"/>
              </w:rPr>
              <w:t>.</w:t>
            </w:r>
          </w:p>
        </w:tc>
      </w:tr>
    </w:tbl>
    <w:p w14:paraId="3DF919DA" w14:textId="4514A340" w:rsidR="00934583" w:rsidRDefault="00934583" w:rsidP="00934583">
      <w:pPr>
        <w:spacing w:line="360" w:lineRule="auto"/>
        <w:jc w:val="both"/>
        <w:rPr>
          <w:rFonts w:ascii="Arial" w:hAnsi="Arial" w:cs="Arial"/>
        </w:rPr>
      </w:pPr>
      <w:r w:rsidRPr="00934583">
        <w:rPr>
          <w:rFonts w:ascii="Arial" w:hAnsi="Arial" w:cs="Arial"/>
        </w:rPr>
        <w:t>Źródło:</w:t>
      </w:r>
      <w:r>
        <w:rPr>
          <w:rFonts w:ascii="Arial" w:hAnsi="Arial" w:cs="Arial"/>
        </w:rPr>
        <w:t xml:space="preserve"> opracowanie własne</w:t>
      </w:r>
    </w:p>
    <w:p w14:paraId="43C7B25B" w14:textId="2B79DD20" w:rsidR="00F36770" w:rsidRDefault="00F3677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DF5FCD" w14:textId="77777777" w:rsidR="00F36770" w:rsidRDefault="00F36770" w:rsidP="00F36770">
      <w:pPr>
        <w:pStyle w:val="Nagwek1"/>
        <w:rPr>
          <w:shd w:val="clear" w:color="auto" w:fill="FFFFFF"/>
          <w:lang w:eastAsia="en-US"/>
        </w:rPr>
        <w:sectPr w:rsidR="00F36770" w:rsidSect="009345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AD70E9" w14:textId="75EFF037" w:rsidR="00F36770" w:rsidRDefault="00F36770" w:rsidP="00F36770">
      <w:pPr>
        <w:pStyle w:val="Nagwek1"/>
        <w:rPr>
          <w:shd w:val="clear" w:color="auto" w:fill="FFFFFF"/>
          <w:lang w:eastAsia="en-US"/>
        </w:rPr>
      </w:pPr>
      <w:bookmarkStart w:id="11" w:name="_Toc535846698"/>
      <w:r>
        <w:rPr>
          <w:shd w:val="clear" w:color="auto" w:fill="FFFFFF"/>
          <w:lang w:eastAsia="en-US"/>
        </w:rPr>
        <w:lastRenderedPageBreak/>
        <w:t>Dalsze działania w obszarze zapewniania jakości kształcenia praktycznego realizowanego u pracodawcy</w:t>
      </w:r>
      <w:bookmarkEnd w:id="11"/>
    </w:p>
    <w:p w14:paraId="738F0D5C" w14:textId="77777777" w:rsidR="00F36770" w:rsidRDefault="00F36770" w:rsidP="00F36770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71140602" w14:textId="32D8EC56" w:rsidR="00F36770" w:rsidRDefault="00F36770" w:rsidP="00F36770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>Przedstawione w niniejszym materiale zasady będą w następnej kolejności uzupełniane o przykładowe materiały (np. formularz/wzór umowy, wykaz minimalnego wyposażenia, plan ewaluacji) i narzędzia weryfikacji ich wdrożenia (np. treść ankiety ewaluacyjnej</w:t>
      </w:r>
      <w:r w:rsidRPr="0099037E">
        <w:rPr>
          <w:rFonts w:ascii="Arial" w:hAnsi="Arial" w:cs="Arial"/>
          <w:color w:val="000000"/>
          <w:shd w:val="clear" w:color="auto" w:fill="FFFFFF"/>
          <w:lang w:eastAsia="en-US"/>
        </w:rPr>
        <w:t xml:space="preserve">, </w:t>
      </w:r>
      <w:r w:rsidR="0099037E" w:rsidRPr="007D08F1">
        <w:rPr>
          <w:rFonts w:ascii="Arial" w:hAnsi="Arial" w:cs="Arial"/>
          <w:i/>
          <w:lang w:eastAsia="en-US"/>
        </w:rPr>
        <w:t>checklista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 dokumentacji z realizacji kształcenia). Łącznie będą one pełnić rolę całościowego narzędzia zapewniania jakości, a także będą mogły zostać poddane pilotażowi. </w:t>
      </w:r>
    </w:p>
    <w:p w14:paraId="1770A0DC" w14:textId="12973248" w:rsidR="00F36770" w:rsidRDefault="00F36770" w:rsidP="00F36770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4D70BFD5" w14:textId="3E7ECE4D" w:rsidR="00F36770" w:rsidRDefault="00F36770" w:rsidP="00F36770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Następujące materiały i narzędzia weryfikacji ich wdrożenia zostały </w:t>
      </w:r>
      <w:r w:rsidR="000B08E5">
        <w:rPr>
          <w:rFonts w:ascii="Arial" w:hAnsi="Arial" w:cs="Arial"/>
          <w:color w:val="000000"/>
          <w:shd w:val="clear" w:color="auto" w:fill="FFFFFF"/>
          <w:lang w:eastAsia="en-US"/>
        </w:rPr>
        <w:t>już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 opracowane:</w:t>
      </w:r>
    </w:p>
    <w:p w14:paraId="7F91EEDB" w14:textId="31F618D7" w:rsidR="000B08E5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Model programu praktycznej nauki zawodu w dwóch wariantach</w:t>
      </w:r>
    </w:p>
    <w:p w14:paraId="568FF941" w14:textId="33BBF495" w:rsidR="00F36770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Przykładowy wzór umowy szkoły z pracodawcą</w:t>
      </w:r>
    </w:p>
    <w:p w14:paraId="4CA2C827" w14:textId="6B303711" w:rsidR="000B08E5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Przykładowa umowa na praktyczna naukę zawodu w dwóch wariantach (szkoła-pracodawca oraz szkoła-CKP-pracodawca)</w:t>
      </w:r>
    </w:p>
    <w:p w14:paraId="092F5960" w14:textId="5A742A32" w:rsidR="000B08E5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Umowa powierzenia przetwarzania danych (załącznik do umowy głównej o praktyczna naukę zawodu)</w:t>
      </w:r>
    </w:p>
    <w:p w14:paraId="440CB3E5" w14:textId="55DA7333" w:rsidR="000B08E5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Przykładowe skierowanie na praktyczną naukę zawodu</w:t>
      </w:r>
    </w:p>
    <w:p w14:paraId="7D24D25D" w14:textId="13EB04FD" w:rsidR="00F36770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Przykładowy dziennik zajęć praktycznych/ praktyk zawodowych</w:t>
      </w:r>
    </w:p>
    <w:p w14:paraId="3A2B2252" w14:textId="6228ECC3" w:rsidR="000B08E5" w:rsidRPr="000B08E5" w:rsidRDefault="000B08E5" w:rsidP="0029050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  <w:r w:rsidRPr="000B08E5">
        <w:rPr>
          <w:rFonts w:ascii="Arial" w:hAnsi="Arial" w:cs="Arial"/>
          <w:color w:val="000000"/>
          <w:shd w:val="clear" w:color="auto" w:fill="FFFFFF"/>
          <w:lang w:eastAsia="en-US"/>
        </w:rPr>
        <w:t>Zadania i obowiązki kierowników szkolenia praktycznego oraz nauczycieli praktycznej nauki zawodu</w:t>
      </w:r>
      <w:r w:rsidR="00615A31">
        <w:rPr>
          <w:rFonts w:ascii="Arial" w:hAnsi="Arial" w:cs="Arial"/>
          <w:color w:val="000000"/>
          <w:shd w:val="clear" w:color="auto" w:fill="FFFFFF"/>
          <w:lang w:eastAsia="en-US"/>
        </w:rPr>
        <w:t>.</w:t>
      </w:r>
    </w:p>
    <w:p w14:paraId="190A7F21" w14:textId="77777777" w:rsidR="000B08E5" w:rsidRPr="000B08E5" w:rsidRDefault="000B08E5">
      <w:pPr>
        <w:spacing w:line="360" w:lineRule="auto"/>
        <w:ind w:left="57"/>
        <w:jc w:val="both"/>
        <w:rPr>
          <w:rFonts w:ascii="Arial" w:hAnsi="Arial" w:cs="Arial"/>
          <w:color w:val="000000"/>
          <w:shd w:val="clear" w:color="auto" w:fill="FFFFFF"/>
          <w:lang w:eastAsia="en-US"/>
        </w:rPr>
      </w:pPr>
    </w:p>
    <w:sectPr w:rsidR="000B08E5" w:rsidRPr="000B08E5" w:rsidSect="00F367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5AC5" w14:textId="77777777" w:rsidR="007511E7" w:rsidRDefault="007511E7" w:rsidP="001D12EE">
      <w:r>
        <w:separator/>
      </w:r>
    </w:p>
  </w:endnote>
  <w:endnote w:type="continuationSeparator" w:id="0">
    <w:p w14:paraId="70A5958B" w14:textId="77777777" w:rsidR="007511E7" w:rsidRDefault="007511E7" w:rsidP="001D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4741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A3B42" w14:textId="3C21FBB3" w:rsidR="00603166" w:rsidRPr="00180D8B" w:rsidRDefault="00603166" w:rsidP="00BE0CE8">
        <w:pPr>
          <w:pStyle w:val="Stopka"/>
          <w:jc w:val="center"/>
          <w:rPr>
            <w:i/>
            <w:sz w:val="20"/>
            <w:szCs w:val="20"/>
          </w:rPr>
        </w:pPr>
        <w:r w:rsidRPr="00180D8B">
          <w:rPr>
            <w:rFonts w:cs="Arial"/>
            <w:bCs/>
            <w:i/>
            <w:noProof/>
            <w:sz w:val="20"/>
            <w:szCs w:val="20"/>
          </w:rPr>
          <w:t xml:space="preserve">Projekt 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„</w:t>
        </w:r>
        <w:r w:rsidRPr="00180D8B">
          <w:rPr>
            <w:rFonts w:cs="Calibri"/>
            <w:b/>
            <w:i/>
            <w:sz w:val="20"/>
            <w:szCs w:val="20"/>
          </w:rPr>
          <w:t xml:space="preserve">Przygotowanie modelowych programów praktycznej nauki zawodu dla branży </w:t>
        </w:r>
        <w:r w:rsidR="00590897">
          <w:rPr>
            <w:rFonts w:cs="Calibri"/>
            <w:b/>
            <w:i/>
            <w:sz w:val="20"/>
            <w:szCs w:val="20"/>
          </w:rPr>
          <w:t>tekstylno-odzieżowej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”</w:t>
        </w:r>
        <w:r w:rsidRPr="00180D8B">
          <w:rPr>
            <w:rFonts w:cs="Calibri"/>
            <w:b/>
            <w:i/>
            <w:sz w:val="20"/>
            <w:szCs w:val="20"/>
          </w:rPr>
          <w:t xml:space="preserve"> nr wniosku: WND-POWR.02.15.00-00-101</w:t>
        </w:r>
        <w:r w:rsidR="00AC6C9E">
          <w:rPr>
            <w:rFonts w:cs="Calibri"/>
            <w:b/>
            <w:i/>
            <w:sz w:val="20"/>
            <w:szCs w:val="20"/>
          </w:rPr>
          <w:t>0</w:t>
        </w:r>
        <w:r w:rsidRPr="00180D8B">
          <w:rPr>
            <w:rFonts w:cs="Calibri"/>
            <w:b/>
            <w:i/>
            <w:sz w:val="20"/>
            <w:szCs w:val="20"/>
          </w:rPr>
          <w:t xml:space="preserve">/18 </w:t>
        </w:r>
        <w:r w:rsidRPr="00180D8B">
          <w:rPr>
            <w:rFonts w:cs="Arial"/>
            <w:bCs/>
            <w:i/>
            <w:noProof/>
            <w:sz w:val="20"/>
            <w:szCs w:val="20"/>
          </w:rPr>
          <w:t>w ramach Programu Operacyjnego Wiedza Edukacja Rozwój  współfinansowanego z Europejskiego Funduszu Społecznego</w:t>
        </w:r>
      </w:p>
      <w:p w14:paraId="3EE00F38" w14:textId="77777777" w:rsidR="00603166" w:rsidRPr="00AC6C9E" w:rsidRDefault="00603166" w:rsidP="00BE0CE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AC6C9E">
          <w:rPr>
            <w:rFonts w:ascii="Arial" w:hAnsi="Arial" w:cs="Arial"/>
            <w:sz w:val="20"/>
            <w:szCs w:val="20"/>
          </w:rPr>
          <w:t xml:space="preserve">Strona </w:t>
        </w:r>
        <w:r w:rsidRPr="00AC6C9E">
          <w:rPr>
            <w:rFonts w:ascii="Arial" w:hAnsi="Arial" w:cs="Arial"/>
            <w:sz w:val="20"/>
            <w:szCs w:val="20"/>
          </w:rPr>
          <w:fldChar w:fldCharType="begin"/>
        </w:r>
        <w:r w:rsidRPr="00AC6C9E">
          <w:rPr>
            <w:rFonts w:ascii="Arial" w:hAnsi="Arial" w:cs="Arial"/>
            <w:sz w:val="20"/>
            <w:szCs w:val="20"/>
          </w:rPr>
          <w:instrText>PAGE   \* MERGEFORMAT</w:instrText>
        </w:r>
        <w:r w:rsidRPr="00AC6C9E">
          <w:rPr>
            <w:rFonts w:ascii="Arial" w:hAnsi="Arial" w:cs="Arial"/>
            <w:sz w:val="20"/>
            <w:szCs w:val="20"/>
          </w:rPr>
          <w:fldChar w:fldCharType="separate"/>
        </w:r>
        <w:r w:rsidR="00B16985">
          <w:rPr>
            <w:rFonts w:ascii="Arial" w:hAnsi="Arial" w:cs="Arial"/>
            <w:noProof/>
            <w:sz w:val="20"/>
            <w:szCs w:val="20"/>
          </w:rPr>
          <w:t>1</w:t>
        </w:r>
        <w:r w:rsidRPr="00AC6C9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638798"/>
      <w:docPartObj>
        <w:docPartGallery w:val="Page Numbers (Bottom of Page)"/>
        <w:docPartUnique/>
      </w:docPartObj>
    </w:sdtPr>
    <w:sdtEndPr/>
    <w:sdtContent>
      <w:p w14:paraId="3305C1E5" w14:textId="77777777" w:rsidR="00CD0D63" w:rsidRPr="00180D8B" w:rsidRDefault="00CD0D63" w:rsidP="00BE0CE8">
        <w:pPr>
          <w:pStyle w:val="Stopka"/>
          <w:jc w:val="center"/>
          <w:rPr>
            <w:i/>
            <w:sz w:val="20"/>
            <w:szCs w:val="20"/>
          </w:rPr>
        </w:pPr>
        <w:r w:rsidRPr="00180D8B">
          <w:rPr>
            <w:rFonts w:cs="Arial"/>
            <w:bCs/>
            <w:i/>
            <w:noProof/>
            <w:sz w:val="20"/>
            <w:szCs w:val="20"/>
          </w:rPr>
          <w:t xml:space="preserve">Projekt 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„</w:t>
        </w:r>
        <w:r w:rsidRPr="00180D8B">
          <w:rPr>
            <w:rFonts w:cs="Calibri"/>
            <w:b/>
            <w:i/>
            <w:sz w:val="20"/>
            <w:szCs w:val="20"/>
          </w:rPr>
          <w:t>Przygotowanie modelowych programów praktycznej nauki zawodu dla branży tekstylno-odzieżowej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”</w:t>
        </w:r>
        <w:r w:rsidRPr="00180D8B">
          <w:rPr>
            <w:rFonts w:cs="Calibri"/>
            <w:b/>
            <w:i/>
            <w:sz w:val="20"/>
            <w:szCs w:val="20"/>
          </w:rPr>
          <w:t xml:space="preserve"> nr wniosku: WND-POWR.02.15.00-00-1010/18 </w:t>
        </w:r>
        <w:r w:rsidRPr="00180D8B">
          <w:rPr>
            <w:rFonts w:cs="Arial"/>
            <w:bCs/>
            <w:i/>
            <w:noProof/>
            <w:sz w:val="20"/>
            <w:szCs w:val="20"/>
          </w:rPr>
          <w:t>w ramach Programu Operacyjnego Wiedza Edukacja Rozwój  współfinansowanego z Europejskiego Funduszu Społecznego</w:t>
        </w:r>
      </w:p>
      <w:p w14:paraId="54958DD4" w14:textId="54DD3BD7" w:rsidR="00CD0D63" w:rsidRPr="00BE0CE8" w:rsidRDefault="00CD0D63" w:rsidP="00BE0CE8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55E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A4A9" w14:textId="77777777" w:rsidR="007511E7" w:rsidRDefault="007511E7" w:rsidP="001D12EE">
      <w:r>
        <w:separator/>
      </w:r>
    </w:p>
  </w:footnote>
  <w:footnote w:type="continuationSeparator" w:id="0">
    <w:p w14:paraId="10E4A2CA" w14:textId="77777777" w:rsidR="007511E7" w:rsidRDefault="007511E7" w:rsidP="001D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C277" w14:textId="77777777" w:rsidR="00603166" w:rsidRDefault="00603166" w:rsidP="00BE0CE8">
    <w:pPr>
      <w:pStyle w:val="Nagwek"/>
      <w:jc w:val="center"/>
    </w:pPr>
    <w:r w:rsidRPr="004E19A4">
      <w:rPr>
        <w:noProof/>
      </w:rPr>
      <w:drawing>
        <wp:inline distT="0" distB="0" distL="0" distR="0" wp14:anchorId="1337A72A" wp14:editId="5914A397">
          <wp:extent cx="5759450" cy="810716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1257A" w14:textId="77777777" w:rsidR="00603166" w:rsidRDefault="00603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0F62" w14:textId="0A1E15BB" w:rsidR="00CD0D63" w:rsidRDefault="00CD0D63" w:rsidP="00BE0CE8">
    <w:pPr>
      <w:pStyle w:val="Nagwek"/>
      <w:jc w:val="center"/>
    </w:pPr>
    <w:r w:rsidRPr="004E19A4">
      <w:rPr>
        <w:noProof/>
      </w:rPr>
      <w:drawing>
        <wp:inline distT="0" distB="0" distL="0" distR="0" wp14:anchorId="7C158D37" wp14:editId="7D990D3B">
          <wp:extent cx="5759450" cy="8107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F0408" w14:textId="77777777" w:rsidR="00CD0D63" w:rsidRDefault="00CD0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C422BFF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4" w15:restartNumberingAfterBreak="0">
    <w:nsid w:val="009B692E"/>
    <w:multiLevelType w:val="hybridMultilevel"/>
    <w:tmpl w:val="1CBA61DE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55220"/>
    <w:multiLevelType w:val="hybridMultilevel"/>
    <w:tmpl w:val="95E4F4AC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877A45"/>
    <w:multiLevelType w:val="hybridMultilevel"/>
    <w:tmpl w:val="F3549342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B3EC5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116"/>
    <w:multiLevelType w:val="hybridMultilevel"/>
    <w:tmpl w:val="5D2E00C6"/>
    <w:lvl w:ilvl="0" w:tplc="0CA0A1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F8A"/>
    <w:multiLevelType w:val="hybridMultilevel"/>
    <w:tmpl w:val="B91C1B0A"/>
    <w:name w:val="WW8Num52222"/>
    <w:lvl w:ilvl="0" w:tplc="A574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425DE"/>
    <w:multiLevelType w:val="hybridMultilevel"/>
    <w:tmpl w:val="0076F7D0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078F7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2C8"/>
    <w:multiLevelType w:val="hybridMultilevel"/>
    <w:tmpl w:val="611CCF0E"/>
    <w:lvl w:ilvl="0" w:tplc="C0DA24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480B"/>
    <w:multiLevelType w:val="hybridMultilevel"/>
    <w:tmpl w:val="20C823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316EA4"/>
    <w:multiLevelType w:val="hybridMultilevel"/>
    <w:tmpl w:val="D60E6304"/>
    <w:lvl w:ilvl="0" w:tplc="933248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C5539A"/>
    <w:multiLevelType w:val="hybridMultilevel"/>
    <w:tmpl w:val="E390B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71F4"/>
    <w:multiLevelType w:val="hybridMultilevel"/>
    <w:tmpl w:val="D5222FAA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33212"/>
    <w:multiLevelType w:val="hybridMultilevel"/>
    <w:tmpl w:val="240A1DCE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0325D"/>
    <w:multiLevelType w:val="hybridMultilevel"/>
    <w:tmpl w:val="BB007270"/>
    <w:lvl w:ilvl="0" w:tplc="0CA0A17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C169E8"/>
    <w:multiLevelType w:val="hybridMultilevel"/>
    <w:tmpl w:val="4C0836A2"/>
    <w:lvl w:ilvl="0" w:tplc="4BE2B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0F25"/>
    <w:multiLevelType w:val="hybridMultilevel"/>
    <w:tmpl w:val="747AD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A008F"/>
    <w:multiLevelType w:val="hybridMultilevel"/>
    <w:tmpl w:val="3780802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4710402"/>
    <w:multiLevelType w:val="hybridMultilevel"/>
    <w:tmpl w:val="E0C0C586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A0E7A"/>
    <w:multiLevelType w:val="hybridMultilevel"/>
    <w:tmpl w:val="AD98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782C"/>
    <w:multiLevelType w:val="hybridMultilevel"/>
    <w:tmpl w:val="A2A86E7A"/>
    <w:lvl w:ilvl="0" w:tplc="C792A3CC">
      <w:start w:val="1"/>
      <w:numFmt w:val="upperRoman"/>
      <w:pStyle w:val="Nagwek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1ED2"/>
    <w:multiLevelType w:val="hybridMultilevel"/>
    <w:tmpl w:val="1C6806FA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A0A17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46FCA"/>
    <w:multiLevelType w:val="multilevel"/>
    <w:tmpl w:val="E14827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7E5705B"/>
    <w:multiLevelType w:val="hybridMultilevel"/>
    <w:tmpl w:val="B336C0BA"/>
    <w:lvl w:ilvl="0" w:tplc="58622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22"/>
  </w:num>
  <w:num w:numId="9">
    <w:abstractNumId w:val="15"/>
  </w:num>
  <w:num w:numId="10">
    <w:abstractNumId w:val="23"/>
  </w:num>
  <w:num w:numId="11">
    <w:abstractNumId w:val="13"/>
  </w:num>
  <w:num w:numId="12">
    <w:abstractNumId w:val="19"/>
  </w:num>
  <w:num w:numId="13">
    <w:abstractNumId w:val="18"/>
  </w:num>
  <w:num w:numId="14">
    <w:abstractNumId w:val="12"/>
  </w:num>
  <w:num w:numId="15">
    <w:abstractNumId w:val="20"/>
  </w:num>
  <w:num w:numId="16">
    <w:abstractNumId w:val="26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24"/>
  </w:num>
  <w:num w:numId="22">
    <w:abstractNumId w:val="21"/>
  </w:num>
  <w:num w:numId="23">
    <w:abstractNumId w:val="27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E"/>
    <w:rsid w:val="00015C71"/>
    <w:rsid w:val="0009410C"/>
    <w:rsid w:val="000963B2"/>
    <w:rsid w:val="000B08E5"/>
    <w:rsid w:val="001006AB"/>
    <w:rsid w:val="0010549F"/>
    <w:rsid w:val="0012170E"/>
    <w:rsid w:val="00143D84"/>
    <w:rsid w:val="0015455E"/>
    <w:rsid w:val="00180D8B"/>
    <w:rsid w:val="001873CE"/>
    <w:rsid w:val="001A3340"/>
    <w:rsid w:val="001C79CE"/>
    <w:rsid w:val="001D12EE"/>
    <w:rsid w:val="001E39D9"/>
    <w:rsid w:val="00213368"/>
    <w:rsid w:val="002176F9"/>
    <w:rsid w:val="002357BD"/>
    <w:rsid w:val="0029050F"/>
    <w:rsid w:val="002936F9"/>
    <w:rsid w:val="002A2E8E"/>
    <w:rsid w:val="002A7D58"/>
    <w:rsid w:val="002D25AA"/>
    <w:rsid w:val="00391E1D"/>
    <w:rsid w:val="00404886"/>
    <w:rsid w:val="0041271B"/>
    <w:rsid w:val="00424237"/>
    <w:rsid w:val="0045241C"/>
    <w:rsid w:val="0047191A"/>
    <w:rsid w:val="004868EE"/>
    <w:rsid w:val="004D5216"/>
    <w:rsid w:val="00571AE0"/>
    <w:rsid w:val="00590897"/>
    <w:rsid w:val="005A5A73"/>
    <w:rsid w:val="005E64E2"/>
    <w:rsid w:val="00603166"/>
    <w:rsid w:val="00615A31"/>
    <w:rsid w:val="00640B1D"/>
    <w:rsid w:val="006D4EFD"/>
    <w:rsid w:val="007511E7"/>
    <w:rsid w:val="007B7124"/>
    <w:rsid w:val="007D08F1"/>
    <w:rsid w:val="00816D87"/>
    <w:rsid w:val="008347D0"/>
    <w:rsid w:val="00852A8C"/>
    <w:rsid w:val="00863FF7"/>
    <w:rsid w:val="008C3E0C"/>
    <w:rsid w:val="00925E03"/>
    <w:rsid w:val="00934583"/>
    <w:rsid w:val="00936F41"/>
    <w:rsid w:val="00944540"/>
    <w:rsid w:val="0099037E"/>
    <w:rsid w:val="00991075"/>
    <w:rsid w:val="009A35D7"/>
    <w:rsid w:val="009D5DCE"/>
    <w:rsid w:val="00A27990"/>
    <w:rsid w:val="00A830E3"/>
    <w:rsid w:val="00AB61F7"/>
    <w:rsid w:val="00AC6273"/>
    <w:rsid w:val="00AC6C9E"/>
    <w:rsid w:val="00AF356D"/>
    <w:rsid w:val="00B07EB9"/>
    <w:rsid w:val="00B16985"/>
    <w:rsid w:val="00B2088D"/>
    <w:rsid w:val="00B265F5"/>
    <w:rsid w:val="00B30A07"/>
    <w:rsid w:val="00B50C5F"/>
    <w:rsid w:val="00B566B5"/>
    <w:rsid w:val="00B75576"/>
    <w:rsid w:val="00BE0CE8"/>
    <w:rsid w:val="00C27162"/>
    <w:rsid w:val="00C90155"/>
    <w:rsid w:val="00C97699"/>
    <w:rsid w:val="00CD0D63"/>
    <w:rsid w:val="00D559D6"/>
    <w:rsid w:val="00D6649D"/>
    <w:rsid w:val="00DD73B1"/>
    <w:rsid w:val="00E33A3A"/>
    <w:rsid w:val="00F05F33"/>
    <w:rsid w:val="00F36770"/>
    <w:rsid w:val="00F67392"/>
    <w:rsid w:val="00F846C9"/>
    <w:rsid w:val="00FA15F0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FFE9"/>
  <w15:chartTrackingRefBased/>
  <w15:docId w15:val="{9606FD9D-61F3-4FD5-A99D-A19569A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83"/>
    <w:pPr>
      <w:keepNext/>
      <w:keepLines/>
      <w:numPr>
        <w:numId w:val="21"/>
      </w:numPr>
      <w:spacing w:before="240" w:line="276" w:lineRule="auto"/>
      <w:jc w:val="both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162"/>
    <w:pPr>
      <w:keepNext/>
      <w:keepLines/>
      <w:spacing w:before="40" w:line="276" w:lineRule="auto"/>
      <w:outlineLvl w:val="1"/>
    </w:pPr>
    <w:rPr>
      <w:rFonts w:ascii="Arial" w:eastAsiaTheme="majorEastAsia" w:hAnsi="Arial" w:cs="Arial"/>
      <w:b/>
      <w:color w:val="00B0F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2E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12EE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2EE"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D12EE"/>
    <w:pPr>
      <w:keepNext/>
      <w:keepLines/>
      <w:spacing w:before="40" w:line="259" w:lineRule="auto"/>
      <w:outlineLvl w:val="5"/>
    </w:pPr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2EE"/>
    <w:pPr>
      <w:keepNext/>
      <w:keepLines/>
      <w:spacing w:before="40" w:line="259" w:lineRule="auto"/>
      <w:outlineLvl w:val="6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2EE"/>
    <w:pPr>
      <w:keepNext/>
      <w:keepLines/>
      <w:spacing w:before="40" w:line="259" w:lineRule="auto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83"/>
    <w:rPr>
      <w:rFonts w:ascii="Arial" w:eastAsiaTheme="majorEastAsia" w:hAnsi="Arial" w:cs="Arial"/>
      <w:b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7162"/>
    <w:rPr>
      <w:rFonts w:ascii="Arial" w:eastAsiaTheme="majorEastAsia" w:hAnsi="Arial" w:cs="Arial"/>
      <w:b/>
      <w:color w:val="00B0F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12EE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12E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2E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D12EE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2EE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2EE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2E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D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Obiekt,List Paragraph,normalny tekst"/>
    <w:basedOn w:val="Normalny"/>
    <w:link w:val="AkapitzlistZnak"/>
    <w:uiPriority w:val="34"/>
    <w:qFormat/>
    <w:rsid w:val="001D1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E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D12EE"/>
    <w:pPr>
      <w:spacing w:line="360" w:lineRule="atLeast"/>
      <w:jc w:val="both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2EE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12EE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1D12EE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1D12EE"/>
    <w:pPr>
      <w:spacing w:after="120" w:line="259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2EE"/>
    <w:rPr>
      <w:rFonts w:eastAsia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Kolorowa lista — akcent 11 Znak,Obiekt Znak,List Paragraph Znak,normalny tekst Znak"/>
    <w:link w:val="Akapitzlist"/>
    <w:uiPriority w:val="34"/>
    <w:qFormat/>
    <w:locked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2EE"/>
    <w:pPr>
      <w:spacing w:after="120" w:line="480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2EE"/>
    <w:rPr>
      <w:rFonts w:eastAsia="Times New Roman" w:cs="Times New Roman"/>
    </w:rPr>
  </w:style>
  <w:style w:type="paragraph" w:customStyle="1" w:styleId="Styl1">
    <w:name w:val="Styl1"/>
    <w:basedOn w:val="Normalny"/>
    <w:rsid w:val="001D12EE"/>
    <w:pPr>
      <w:jc w:val="both"/>
    </w:pPr>
    <w:rPr>
      <w:sz w:val="28"/>
      <w:szCs w:val="20"/>
    </w:rPr>
  </w:style>
  <w:style w:type="paragraph" w:styleId="Legenda">
    <w:name w:val="caption"/>
    <w:basedOn w:val="Normalny"/>
    <w:next w:val="Normalny"/>
    <w:uiPriority w:val="35"/>
    <w:qFormat/>
    <w:rsid w:val="001D12EE"/>
    <w:pPr>
      <w:jc w:val="center"/>
    </w:pPr>
    <w:rPr>
      <w:rFonts w:ascii="Verdana" w:hAnsi="Verdana"/>
      <w:b/>
      <w:bCs/>
      <w:color w:val="111E60"/>
      <w:sz w:val="17"/>
      <w:szCs w:val="17"/>
    </w:rPr>
  </w:style>
  <w:style w:type="paragraph" w:customStyle="1" w:styleId="Default">
    <w:name w:val="Default"/>
    <w:rsid w:val="001D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4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458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88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A27990"/>
    <w:pPr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A27990"/>
    <w:pPr>
      <w:tabs>
        <w:tab w:val="right" w:leader="dot" w:pos="9742"/>
      </w:tabs>
      <w:spacing w:after="100"/>
      <w:ind w:left="708"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31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zeipraktyki.pl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f/f2/VQTS_Matrix_Mechatronic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trift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ift.eu" TargetMode="External"/><Relationship Id="rId14" Type="http://schemas.openxmlformats.org/officeDocument/2006/relationships/hyperlink" Target="http://trif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1A2B-B2F0-45BA-8605-6282841D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8184</Words>
  <Characters>49110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IBEuserA01</dc:creator>
  <cp:keywords/>
  <dc:description/>
  <cp:lastModifiedBy>Użytkownik systemu Windows</cp:lastModifiedBy>
  <cp:revision>2</cp:revision>
  <dcterms:created xsi:type="dcterms:W3CDTF">2020-03-29T14:46:00Z</dcterms:created>
  <dcterms:modified xsi:type="dcterms:W3CDTF">2020-03-29T14:46:00Z</dcterms:modified>
</cp:coreProperties>
</file>