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CC" w:rsidRPr="00B459FD" w:rsidRDefault="006F0DCC" w:rsidP="002906C2">
      <w:pPr>
        <w:suppressAutoHyphens/>
        <w:overflowPunct/>
        <w:adjustRightInd/>
        <w:jc w:val="center"/>
        <w:textAlignment w:val="auto"/>
      </w:pPr>
      <w:bookmarkStart w:id="0" w:name="_GoBack"/>
      <w:bookmarkEnd w:id="0"/>
      <w:r w:rsidRPr="00B459FD">
        <w:rPr>
          <w:noProof/>
          <w:lang w:val="fr-BE" w:eastAsia="fr-BE"/>
        </w:rPr>
        <w:drawing>
          <wp:inline distT="0" distB="0" distL="0" distR="0" wp14:anchorId="3054E950" wp14:editId="448761D4">
            <wp:extent cx="874395" cy="56451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9FD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C0CB99" wp14:editId="374F6E4C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5AE" w:rsidRPr="002906C2" w:rsidRDefault="00A325AE" w:rsidP="00AF30A3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2906C2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A325AE" w:rsidRPr="002906C2" w:rsidRDefault="00A325AE" w:rsidP="00AF30A3">
                      <w:pPr>
                        <w:overflowPunct/>
                        <w:adjustRightInd/>
                        <w:jc w:val="center"/>
                        <w:textAlignment w:val="auto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2906C2">
                        <w:rPr>
                          <w:rFonts w:ascii="Arial" w:hAnsi="Arial"/>
                          <w:b/>
                          <w:sz w:val="48"/>
                        </w:rPr>
                        <w:t>PL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3C84" w:rsidRPr="00B459FD" w:rsidRDefault="006F0DCC" w:rsidP="002906C2">
      <w:pPr>
        <w:suppressAutoHyphens/>
        <w:overflowPunct/>
        <w:adjustRightInd/>
        <w:jc w:val="center"/>
        <w:textAlignment w:val="auto"/>
      </w:pPr>
      <w:r w:rsidRPr="00B459FD">
        <w:rPr>
          <w:rFonts w:ascii="Arial" w:hAnsi="Arial"/>
          <w:b/>
          <w:i/>
          <w:sz w:val="20"/>
        </w:rPr>
        <w:t>Europejski Komitet Ekonomiczno-Społeczny</w:t>
      </w:r>
    </w:p>
    <w:p w:rsidR="00646AC2" w:rsidRPr="00B459FD" w:rsidRDefault="00646AC2" w:rsidP="002906C2">
      <w:pPr>
        <w:suppressAutoHyphens/>
        <w:overflowPunct/>
        <w:adjustRightInd/>
        <w:textAlignment w:val="auto"/>
      </w:pPr>
    </w:p>
    <w:p w:rsidR="00646AC2" w:rsidRPr="00B459FD" w:rsidRDefault="00EB6307" w:rsidP="002906C2">
      <w:pPr>
        <w:suppressAutoHyphens/>
        <w:overflowPunct/>
        <w:adjustRightInd/>
        <w:jc w:val="right"/>
        <w:textAlignment w:val="auto"/>
      </w:pPr>
      <w:r w:rsidRPr="00B459FD">
        <w:rPr>
          <w:b/>
        </w:rPr>
        <w:t>SOC/579</w:t>
      </w:r>
    </w:p>
    <w:p w:rsidR="00563C84" w:rsidRPr="00B459FD" w:rsidRDefault="00EB6307" w:rsidP="002906C2">
      <w:pPr>
        <w:suppressAutoHyphens/>
        <w:overflowPunct/>
        <w:adjustRightInd/>
        <w:jc w:val="right"/>
        <w:textAlignment w:val="auto"/>
      </w:pPr>
      <w:r w:rsidRPr="00B459FD">
        <w:rPr>
          <w:b/>
        </w:rPr>
        <w:t xml:space="preserve">Sytuacja kobiet z niepełnosprawnością </w:t>
      </w:r>
    </w:p>
    <w:p w:rsidR="009B30AA" w:rsidRPr="00B459FD" w:rsidRDefault="009B30AA" w:rsidP="002906C2">
      <w:pPr>
        <w:suppressAutoHyphens/>
        <w:overflowPunct/>
        <w:adjustRightInd/>
        <w:textAlignment w:val="auto"/>
      </w:pPr>
    </w:p>
    <w:p w:rsidR="009B30AA" w:rsidRPr="00B459FD" w:rsidRDefault="009B30AA" w:rsidP="002906C2">
      <w:pPr>
        <w:suppressAutoHyphens/>
        <w:overflowPunct/>
        <w:adjustRightInd/>
        <w:textAlignment w:val="auto"/>
      </w:pPr>
    </w:p>
    <w:p w:rsidR="00646AC2" w:rsidRPr="00B459FD" w:rsidRDefault="00A1392C" w:rsidP="002906C2">
      <w:pPr>
        <w:suppressAutoHyphens/>
        <w:overflowPunct/>
        <w:adjustRightInd/>
        <w:jc w:val="center"/>
        <w:textAlignment w:val="auto"/>
      </w:pPr>
      <w:r w:rsidRPr="00B459FD">
        <w:rPr>
          <w:b/>
          <w:sz w:val="28"/>
        </w:rPr>
        <w:t>PROJEKT OPINII</w:t>
      </w:r>
      <w:r w:rsidRPr="00B459FD">
        <w:br/>
      </w:r>
      <w:r w:rsidRPr="00B459FD">
        <w:br/>
        <w:t>Sekcja Zatrudnienia, Spraw Społecznych i Obywatelstwa</w:t>
      </w:r>
      <w:r w:rsidRPr="00B459FD">
        <w:br/>
      </w:r>
      <w:r w:rsidRPr="00B459FD">
        <w:br/>
      </w:r>
      <w:r w:rsidRPr="00B459FD">
        <w:rPr>
          <w:b/>
        </w:rPr>
        <w:t>Sytuacja kobiet z niepełnosprawnością</w:t>
      </w:r>
      <w:r w:rsidRPr="00B459FD">
        <w:br/>
        <w:t>(opinia rozpoznawcza na wniosek Parlamentu Europejskiego)</w:t>
      </w:r>
    </w:p>
    <w:p w:rsidR="009B30AA" w:rsidRPr="00B459FD" w:rsidRDefault="009B30AA" w:rsidP="002906C2">
      <w:pPr>
        <w:suppressAutoHyphens/>
        <w:overflowPunct/>
        <w:adjustRightInd/>
        <w:jc w:val="center"/>
        <w:textAlignment w:val="auto"/>
      </w:pPr>
    </w:p>
    <w:tbl>
      <w:tblPr>
        <w:tblpPr w:leftFromText="181" w:rightFromText="181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204"/>
      </w:tblGrid>
      <w:tr w:rsidR="00FF3759" w:rsidRPr="00B459FD" w:rsidTr="00A325AE">
        <w:tc>
          <w:tcPr>
            <w:tcW w:w="9289" w:type="dxa"/>
            <w:gridSpan w:val="2"/>
          </w:tcPr>
          <w:p w:rsidR="00FF3759" w:rsidRPr="00B459FD" w:rsidRDefault="00FF3759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Do członków sekcji</w:t>
            </w:r>
          </w:p>
        </w:tc>
      </w:tr>
      <w:tr w:rsidR="00FF3759" w:rsidRPr="00B459FD" w:rsidTr="00A325AE">
        <w:tc>
          <w:tcPr>
            <w:tcW w:w="9289" w:type="dxa"/>
            <w:gridSpan w:val="2"/>
          </w:tcPr>
          <w:p w:rsidR="00FF3759" w:rsidRPr="00B459FD" w:rsidRDefault="00FF3759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  <w:lang w:eastAsia="en-GB" w:bidi="en-GB"/>
              </w:rPr>
            </w:pPr>
          </w:p>
        </w:tc>
      </w:tr>
      <w:tr w:rsidR="00FF3759" w:rsidRPr="00B459FD" w:rsidTr="00A325AE">
        <w:tc>
          <w:tcPr>
            <w:tcW w:w="3085" w:type="dxa"/>
          </w:tcPr>
          <w:p w:rsidR="00FF3759" w:rsidRPr="00B459FD" w:rsidRDefault="004054F8" w:rsidP="002906C2">
            <w:pPr>
              <w:suppressAutoHyphens/>
              <w:overflowPunct/>
              <w:adjustRightInd/>
              <w:jc w:val="left"/>
              <w:textAlignment w:val="auto"/>
            </w:pPr>
            <w:r w:rsidRPr="00B459FD">
              <w:t>Posiedzenie sekcji</w:t>
            </w:r>
          </w:p>
          <w:p w:rsidR="004054F8" w:rsidRPr="00B459FD" w:rsidRDefault="004054F8" w:rsidP="002906C2">
            <w:pPr>
              <w:suppressAutoHyphens/>
              <w:overflowPunct/>
              <w:adjustRightInd/>
              <w:jc w:val="left"/>
              <w:textAlignment w:val="auto"/>
              <w:rPr>
                <w:b/>
                <w:szCs w:val="22"/>
              </w:rPr>
            </w:pPr>
            <w:r w:rsidRPr="00B459FD">
              <w:rPr>
                <w:b/>
              </w:rPr>
              <w:t>Termin zgłaszania poprawek</w:t>
            </w:r>
          </w:p>
        </w:tc>
        <w:tc>
          <w:tcPr>
            <w:tcW w:w="6204" w:type="dxa"/>
          </w:tcPr>
          <w:p w:rsidR="00FF3759" w:rsidRPr="00B459FD" w:rsidRDefault="004054F8" w:rsidP="002906C2">
            <w:pPr>
              <w:suppressAutoHyphens/>
              <w:overflowPunct/>
              <w:adjustRightInd/>
              <w:jc w:val="left"/>
              <w:textAlignment w:val="auto"/>
            </w:pPr>
            <w:r w:rsidRPr="00B459FD">
              <w:t>06/06/2018, 10:00</w:t>
            </w:r>
          </w:p>
          <w:p w:rsidR="004054F8" w:rsidRPr="00B459FD" w:rsidRDefault="00521775" w:rsidP="002906C2">
            <w:pPr>
              <w:suppressAutoHyphens/>
              <w:overflowPunct/>
              <w:adjustRightInd/>
              <w:jc w:val="left"/>
              <w:textAlignment w:val="auto"/>
              <w:rPr>
                <w:b/>
                <w:szCs w:val="22"/>
              </w:rPr>
            </w:pPr>
            <w:r w:rsidRPr="00B459FD">
              <w:rPr>
                <w:b/>
              </w:rPr>
              <w:t>01/06/2018, 10:00</w:t>
            </w:r>
          </w:p>
        </w:tc>
      </w:tr>
      <w:tr w:rsidR="00FF3759" w:rsidRPr="00B459FD" w:rsidTr="00CD4855">
        <w:tc>
          <w:tcPr>
            <w:tcW w:w="3085" w:type="dxa"/>
          </w:tcPr>
          <w:p w:rsidR="00FF3759" w:rsidRPr="00B459FD" w:rsidRDefault="00FF3759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Kontakt</w:t>
            </w:r>
          </w:p>
        </w:tc>
        <w:tc>
          <w:tcPr>
            <w:tcW w:w="6204" w:type="dxa"/>
          </w:tcPr>
          <w:p w:rsidR="00FF3759" w:rsidRPr="00B459FD" w:rsidRDefault="00917BC8" w:rsidP="002906C2">
            <w:pPr>
              <w:suppressAutoHyphens/>
              <w:overflowPunct/>
              <w:adjustRightInd/>
              <w:jc w:val="left"/>
              <w:textAlignment w:val="auto"/>
              <w:rPr>
                <w:color w:val="0000FF"/>
                <w:szCs w:val="22"/>
                <w:u w:val="single"/>
              </w:rPr>
            </w:pPr>
            <w:hyperlink r:id="rId14" w:history="1">
              <w:r w:rsidR="00EC0811" w:rsidRPr="00B459FD">
                <w:rPr>
                  <w:rStyle w:val="Hyperlink"/>
                </w:rPr>
                <w:t>valeria.atzori@eesc.europa.eu</w:t>
              </w:r>
            </w:hyperlink>
            <w:r w:rsidR="00EC0811" w:rsidRPr="00B459FD">
              <w:rPr>
                <w:color w:val="0000FF"/>
                <w:u w:val="single"/>
              </w:rPr>
              <w:t xml:space="preserve"> </w:t>
            </w:r>
          </w:p>
        </w:tc>
      </w:tr>
      <w:tr w:rsidR="00FF3759" w:rsidRPr="00B459FD" w:rsidTr="00CD4855">
        <w:tc>
          <w:tcPr>
            <w:tcW w:w="3085" w:type="dxa"/>
          </w:tcPr>
          <w:p w:rsidR="00FF3759" w:rsidRPr="00B459FD" w:rsidRDefault="00FF3759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Administratorka</w:t>
            </w:r>
          </w:p>
        </w:tc>
        <w:tc>
          <w:tcPr>
            <w:tcW w:w="6204" w:type="dxa"/>
          </w:tcPr>
          <w:p w:rsidR="00FF3759" w:rsidRPr="00B459FD" w:rsidRDefault="002B2294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Valeria ATZORI</w:t>
            </w:r>
          </w:p>
        </w:tc>
      </w:tr>
      <w:tr w:rsidR="00FF3759" w:rsidRPr="00B459FD" w:rsidTr="00CD4855">
        <w:tc>
          <w:tcPr>
            <w:tcW w:w="3085" w:type="dxa"/>
          </w:tcPr>
          <w:p w:rsidR="00FF3759" w:rsidRPr="00B459FD" w:rsidRDefault="00FF3759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Data dokumentu</w:t>
            </w:r>
          </w:p>
        </w:tc>
        <w:tc>
          <w:tcPr>
            <w:tcW w:w="6204" w:type="dxa"/>
          </w:tcPr>
          <w:p w:rsidR="00FF3759" w:rsidRPr="00B459FD" w:rsidRDefault="007865E1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29/05/2018</w:t>
            </w:r>
          </w:p>
        </w:tc>
      </w:tr>
    </w:tbl>
    <w:p w:rsidR="00E32DC6" w:rsidRPr="00B459FD" w:rsidRDefault="007F5E0D" w:rsidP="00A64B1E">
      <w:pPr>
        <w:suppressAutoHyphens/>
        <w:overflowPunct/>
        <w:adjustRightInd/>
        <w:jc w:val="center"/>
        <w:textAlignment w:val="auto"/>
      </w:pPr>
      <w:r w:rsidRPr="00B459FD">
        <w:t>Sprawozdawczyni: Gunta ANČA</w:t>
      </w:r>
    </w:p>
    <w:p w:rsidR="00E32DC6" w:rsidRPr="00B459FD" w:rsidRDefault="00E32DC6" w:rsidP="002906C2">
      <w:pPr>
        <w:suppressAutoHyphens/>
        <w:overflowPunct/>
        <w:adjustRightInd/>
        <w:textAlignment w:val="auto"/>
      </w:pPr>
    </w:p>
    <w:p w:rsidR="00E32DC6" w:rsidRPr="00B459FD" w:rsidRDefault="00E32DC6" w:rsidP="002906C2">
      <w:pPr>
        <w:suppressAutoHyphens/>
        <w:overflowPunct/>
        <w:adjustRightInd/>
        <w:textAlignment w:val="auto"/>
        <w:sectPr w:rsidR="00E32DC6" w:rsidRPr="00B459FD" w:rsidSect="002906C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417" w:right="1417" w:bottom="1417" w:left="1417" w:header="709" w:footer="709" w:gutter="0"/>
          <w:pgNumType w:start="1"/>
          <w:cols w:space="720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20"/>
      </w:tblGrid>
      <w:tr w:rsidR="0011656A" w:rsidRPr="00B459FD" w:rsidTr="00EC0811">
        <w:tc>
          <w:tcPr>
            <w:tcW w:w="3369" w:type="dxa"/>
          </w:tcPr>
          <w:p w:rsidR="0011656A" w:rsidRPr="00B459FD" w:rsidRDefault="0011656A" w:rsidP="002906C2">
            <w:pPr>
              <w:suppressAutoHyphens/>
              <w:overflowPunct/>
              <w:adjustRightInd/>
              <w:textAlignment w:val="auto"/>
              <w:rPr>
                <w:szCs w:val="22"/>
              </w:rPr>
            </w:pPr>
            <w:r w:rsidRPr="00B459FD">
              <w:lastRenderedPageBreak/>
              <w:t>Grupa analityczna</w:t>
            </w:r>
          </w:p>
        </w:tc>
        <w:tc>
          <w:tcPr>
            <w:tcW w:w="5920" w:type="dxa"/>
          </w:tcPr>
          <w:p w:rsidR="0011656A" w:rsidRPr="00B459FD" w:rsidRDefault="002B2294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Sytuacja kobiet z niepełnosprawnością</w:t>
            </w:r>
          </w:p>
        </w:tc>
      </w:tr>
      <w:tr w:rsidR="00033913" w:rsidRPr="00B459FD" w:rsidTr="00EC0811">
        <w:tc>
          <w:tcPr>
            <w:tcW w:w="3369" w:type="dxa"/>
          </w:tcPr>
          <w:p w:rsidR="00033913" w:rsidRPr="00B459FD" w:rsidRDefault="00033913" w:rsidP="002906C2">
            <w:pPr>
              <w:suppressAutoHyphens/>
              <w:overflowPunct/>
              <w:adjustRightInd/>
              <w:textAlignment w:val="auto"/>
              <w:rPr>
                <w:szCs w:val="22"/>
              </w:rPr>
            </w:pPr>
          </w:p>
        </w:tc>
        <w:tc>
          <w:tcPr>
            <w:tcW w:w="5920" w:type="dxa"/>
          </w:tcPr>
          <w:p w:rsidR="00033913" w:rsidRPr="00B459FD" w:rsidRDefault="00033913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</w:p>
        </w:tc>
      </w:tr>
      <w:tr w:rsidR="0011656A" w:rsidRPr="00B459FD" w:rsidTr="00EC0811">
        <w:tc>
          <w:tcPr>
            <w:tcW w:w="3369" w:type="dxa"/>
          </w:tcPr>
          <w:p w:rsidR="0011656A" w:rsidRPr="00B459FD" w:rsidRDefault="0011656A" w:rsidP="002906C2">
            <w:pPr>
              <w:suppressAutoHyphens/>
              <w:overflowPunct/>
              <w:adjustRightInd/>
              <w:textAlignment w:val="auto"/>
              <w:rPr>
                <w:szCs w:val="22"/>
              </w:rPr>
            </w:pPr>
            <w:r w:rsidRPr="00B459FD">
              <w:t>Przewodnicząca</w:t>
            </w:r>
          </w:p>
        </w:tc>
        <w:tc>
          <w:tcPr>
            <w:tcW w:w="5920" w:type="dxa"/>
          </w:tcPr>
          <w:p w:rsidR="0011656A" w:rsidRPr="00B459FD" w:rsidRDefault="002B2294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Marie ZVOLSKÁ (CZ – I)</w:t>
            </w:r>
          </w:p>
        </w:tc>
      </w:tr>
      <w:tr w:rsidR="0011656A" w:rsidRPr="00B459FD" w:rsidTr="00EC0811">
        <w:tc>
          <w:tcPr>
            <w:tcW w:w="3369" w:type="dxa"/>
          </w:tcPr>
          <w:p w:rsidR="0011656A" w:rsidRPr="00B459FD" w:rsidRDefault="0011656A" w:rsidP="002906C2">
            <w:pPr>
              <w:suppressAutoHyphens/>
              <w:overflowPunct/>
              <w:adjustRightInd/>
              <w:textAlignment w:val="auto"/>
              <w:rPr>
                <w:szCs w:val="22"/>
              </w:rPr>
            </w:pPr>
            <w:r w:rsidRPr="00B459FD">
              <w:t>Sprawozdawczyni</w:t>
            </w:r>
          </w:p>
        </w:tc>
        <w:tc>
          <w:tcPr>
            <w:tcW w:w="5920" w:type="dxa"/>
          </w:tcPr>
          <w:p w:rsidR="0011656A" w:rsidRPr="00B459FD" w:rsidRDefault="000B370B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Gunta ANČA (LV – III)</w:t>
            </w:r>
          </w:p>
        </w:tc>
      </w:tr>
      <w:tr w:rsidR="008C3049" w:rsidRPr="00B459FD" w:rsidTr="00EC0811">
        <w:tc>
          <w:tcPr>
            <w:tcW w:w="3369" w:type="dxa"/>
          </w:tcPr>
          <w:p w:rsidR="008C3049" w:rsidRPr="00B459FD" w:rsidRDefault="008C3049" w:rsidP="002906C2">
            <w:pPr>
              <w:suppressAutoHyphens/>
              <w:overflowPunct/>
              <w:adjustRightInd/>
              <w:textAlignment w:val="auto"/>
              <w:rPr>
                <w:szCs w:val="22"/>
              </w:rPr>
            </w:pPr>
          </w:p>
        </w:tc>
        <w:tc>
          <w:tcPr>
            <w:tcW w:w="5920" w:type="dxa"/>
          </w:tcPr>
          <w:p w:rsidR="008C3049" w:rsidRPr="00B459FD" w:rsidRDefault="008C3049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</w:p>
        </w:tc>
      </w:tr>
      <w:tr w:rsidR="0011656A" w:rsidRPr="00B459FD" w:rsidTr="00EC0811">
        <w:tc>
          <w:tcPr>
            <w:tcW w:w="3369" w:type="dxa"/>
          </w:tcPr>
          <w:p w:rsidR="0011656A" w:rsidRPr="00B459FD" w:rsidRDefault="0011656A" w:rsidP="002906C2">
            <w:pPr>
              <w:suppressAutoHyphens/>
              <w:overflowPunct/>
              <w:adjustRightInd/>
              <w:textAlignment w:val="auto"/>
              <w:rPr>
                <w:szCs w:val="22"/>
              </w:rPr>
            </w:pPr>
            <w:r w:rsidRPr="00B459FD">
              <w:t>Członkowie</w:t>
            </w:r>
          </w:p>
        </w:tc>
        <w:tc>
          <w:tcPr>
            <w:tcW w:w="5920" w:type="dxa"/>
          </w:tcPr>
          <w:p w:rsidR="0011656A" w:rsidRPr="00B459FD" w:rsidRDefault="000B370B" w:rsidP="002906C2">
            <w:pPr>
              <w:suppressAutoHyphens/>
              <w:overflowPunct/>
              <w:adjustRightInd/>
              <w:jc w:val="left"/>
              <w:textAlignment w:val="auto"/>
            </w:pPr>
            <w:r w:rsidRPr="00B459FD">
              <w:t>Ask ABILDGAARD (DK – III)</w:t>
            </w:r>
          </w:p>
          <w:p w:rsidR="00C737B2" w:rsidRPr="00B459FD" w:rsidRDefault="000B370B" w:rsidP="002906C2">
            <w:pPr>
              <w:suppressAutoHyphens/>
              <w:overflowPunct/>
              <w:adjustRightInd/>
              <w:jc w:val="left"/>
              <w:textAlignment w:val="auto"/>
            </w:pPr>
            <w:r w:rsidRPr="00B459FD">
              <w:t>Pietro Vittorio BARBIERI (IT – III)</w:t>
            </w:r>
          </w:p>
          <w:p w:rsidR="000B370B" w:rsidRPr="00B459FD" w:rsidRDefault="000B370B" w:rsidP="002906C2">
            <w:pPr>
              <w:suppressAutoHyphens/>
              <w:overflowPunct/>
              <w:adjustRightInd/>
              <w:jc w:val="left"/>
              <w:textAlignment w:val="auto"/>
            </w:pPr>
            <w:r w:rsidRPr="00B459FD">
              <w:t>Dorota GARDIAS (PL – II)</w:t>
            </w:r>
          </w:p>
          <w:p w:rsidR="000B370B" w:rsidRPr="00B459FD" w:rsidRDefault="000B370B" w:rsidP="002906C2">
            <w:pPr>
              <w:suppressAutoHyphens/>
              <w:overflowPunct/>
              <w:adjustRightInd/>
              <w:jc w:val="left"/>
              <w:textAlignment w:val="auto"/>
            </w:pPr>
            <w:r w:rsidRPr="00B459FD">
              <w:t>Bo JANSSON (SE – II)</w:t>
            </w:r>
          </w:p>
          <w:p w:rsidR="000B370B" w:rsidRPr="00B459FD" w:rsidRDefault="000B370B" w:rsidP="002906C2">
            <w:pPr>
              <w:suppressAutoHyphens/>
              <w:overflowPunct/>
              <w:adjustRightInd/>
              <w:jc w:val="left"/>
              <w:textAlignment w:val="auto"/>
            </w:pPr>
            <w:r w:rsidRPr="00B459FD">
              <w:t>Linas LASIAUSKAS (LT – I)</w:t>
            </w:r>
          </w:p>
          <w:p w:rsidR="000B370B" w:rsidRPr="00B459FD" w:rsidRDefault="000B370B" w:rsidP="002906C2">
            <w:pPr>
              <w:suppressAutoHyphens/>
              <w:overflowPunct/>
              <w:adjustRightInd/>
              <w:jc w:val="left"/>
              <w:textAlignment w:val="auto"/>
            </w:pPr>
            <w:r w:rsidRPr="00B459FD">
              <w:t>Christophe LEFÈVRE (FR – II)</w:t>
            </w:r>
          </w:p>
          <w:p w:rsidR="000B370B" w:rsidRPr="00B459FD" w:rsidRDefault="000B370B" w:rsidP="002906C2">
            <w:pPr>
              <w:suppressAutoHyphens/>
              <w:overflowPunct/>
              <w:adjustRightInd/>
              <w:jc w:val="left"/>
              <w:textAlignment w:val="auto"/>
            </w:pPr>
            <w:r w:rsidRPr="00B459FD">
              <w:t>Irena PETRAITIENĖ (LT – II)</w:t>
            </w:r>
          </w:p>
          <w:p w:rsidR="000B370B" w:rsidRPr="00B459FD" w:rsidRDefault="00587885" w:rsidP="002906C2">
            <w:pPr>
              <w:suppressAutoHyphens/>
              <w:overflowPunct/>
              <w:adjustRightInd/>
              <w:jc w:val="left"/>
              <w:textAlignment w:val="auto"/>
            </w:pPr>
            <w:r w:rsidRPr="00B459FD">
              <w:t>Antonello PEZZINI (IT – I)</w:t>
            </w:r>
          </w:p>
          <w:p w:rsidR="00587885" w:rsidRPr="00B459FD" w:rsidRDefault="00587885" w:rsidP="002906C2">
            <w:pPr>
              <w:suppressAutoHyphens/>
              <w:overflowPunct/>
              <w:adjustRightInd/>
              <w:jc w:val="left"/>
              <w:textAlignment w:val="auto"/>
            </w:pPr>
            <w:r w:rsidRPr="00B459FD">
              <w:t>Madi SHARMA (UK – I)</w:t>
            </w:r>
          </w:p>
          <w:p w:rsidR="00C737B2" w:rsidRPr="00B459FD" w:rsidRDefault="0036638E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Indrė VAREIKYTĖ (LT – III)</w:t>
            </w:r>
          </w:p>
        </w:tc>
      </w:tr>
      <w:tr w:rsidR="00033913" w:rsidRPr="00B459FD" w:rsidTr="00EC0811">
        <w:tc>
          <w:tcPr>
            <w:tcW w:w="3369" w:type="dxa"/>
          </w:tcPr>
          <w:p w:rsidR="00033913" w:rsidRPr="00B459FD" w:rsidRDefault="00033913" w:rsidP="002906C2">
            <w:pPr>
              <w:suppressAutoHyphens/>
              <w:overflowPunct/>
              <w:adjustRightInd/>
              <w:textAlignment w:val="auto"/>
              <w:rPr>
                <w:szCs w:val="22"/>
              </w:rPr>
            </w:pPr>
          </w:p>
        </w:tc>
        <w:tc>
          <w:tcPr>
            <w:tcW w:w="5920" w:type="dxa"/>
          </w:tcPr>
          <w:p w:rsidR="00033913" w:rsidRPr="00B459FD" w:rsidRDefault="00033913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</w:p>
        </w:tc>
      </w:tr>
      <w:tr w:rsidR="0011656A" w:rsidRPr="00B459FD" w:rsidTr="00EC0811">
        <w:tc>
          <w:tcPr>
            <w:tcW w:w="3369" w:type="dxa"/>
          </w:tcPr>
          <w:p w:rsidR="0011656A" w:rsidRPr="00B459FD" w:rsidRDefault="0090053A" w:rsidP="002906C2">
            <w:pPr>
              <w:suppressAutoHyphens/>
              <w:overflowPunct/>
              <w:adjustRightInd/>
              <w:textAlignment w:val="auto"/>
              <w:rPr>
                <w:szCs w:val="22"/>
              </w:rPr>
            </w:pPr>
            <w:r w:rsidRPr="00B459FD">
              <w:t>Ekspert</w:t>
            </w:r>
          </w:p>
        </w:tc>
        <w:tc>
          <w:tcPr>
            <w:tcW w:w="5920" w:type="dxa"/>
          </w:tcPr>
          <w:p w:rsidR="0090053A" w:rsidRPr="00B459FD" w:rsidRDefault="001C78F4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 xml:space="preserve">An-Sofie </w:t>
            </w:r>
            <w:r w:rsidR="00EC0811" w:rsidRPr="00B459FD">
              <w:t>LEENKNECHT</w:t>
            </w:r>
          </w:p>
        </w:tc>
      </w:tr>
    </w:tbl>
    <w:p w:rsidR="0012220C" w:rsidRPr="00B459FD" w:rsidRDefault="0012220C" w:rsidP="002906C2">
      <w:pPr>
        <w:suppressAutoHyphens/>
        <w:overflowPunct/>
        <w:adjustRightInd/>
        <w:textAlignment w:val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18"/>
      </w:tblGrid>
      <w:tr w:rsidR="0011656A" w:rsidRPr="00B459FD" w:rsidTr="00EC0811">
        <w:tc>
          <w:tcPr>
            <w:tcW w:w="3369" w:type="dxa"/>
          </w:tcPr>
          <w:p w:rsidR="0011656A" w:rsidRPr="00B459FD" w:rsidRDefault="0090053A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 xml:space="preserve">Wniosek o konsultację </w:t>
            </w:r>
          </w:p>
        </w:tc>
        <w:tc>
          <w:tcPr>
            <w:tcW w:w="5918" w:type="dxa"/>
          </w:tcPr>
          <w:p w:rsidR="0011656A" w:rsidRPr="00B459FD" w:rsidRDefault="00587885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Parlament Europejski, 03/04/2018</w:t>
            </w:r>
          </w:p>
        </w:tc>
      </w:tr>
      <w:tr w:rsidR="0016503F" w:rsidRPr="00B459FD" w:rsidTr="00EC0811">
        <w:trPr>
          <w:trHeight w:val="251"/>
        </w:trPr>
        <w:tc>
          <w:tcPr>
            <w:tcW w:w="3369" w:type="dxa"/>
          </w:tcPr>
          <w:p w:rsidR="0016503F" w:rsidRPr="00B459FD" w:rsidRDefault="0016503F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Podstawa prawna</w:t>
            </w:r>
          </w:p>
        </w:tc>
        <w:tc>
          <w:tcPr>
            <w:tcW w:w="5918" w:type="dxa"/>
          </w:tcPr>
          <w:p w:rsidR="0016503F" w:rsidRPr="00B459FD" w:rsidRDefault="0016503F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Art. 29 Traktatu o funkcjonowaniu Unii Europejskiej</w:t>
            </w:r>
          </w:p>
        </w:tc>
      </w:tr>
      <w:tr w:rsidR="0016503F" w:rsidRPr="00B459FD" w:rsidTr="00EC0811">
        <w:trPr>
          <w:trHeight w:val="250"/>
        </w:trPr>
        <w:tc>
          <w:tcPr>
            <w:tcW w:w="3369" w:type="dxa"/>
          </w:tcPr>
          <w:p w:rsidR="0016503F" w:rsidRPr="00B459FD" w:rsidRDefault="0016503F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</w:p>
        </w:tc>
        <w:tc>
          <w:tcPr>
            <w:tcW w:w="5918" w:type="dxa"/>
          </w:tcPr>
          <w:p w:rsidR="0016503F" w:rsidRPr="00B459FD" w:rsidRDefault="0016503F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</w:p>
        </w:tc>
      </w:tr>
      <w:tr w:rsidR="007E50BF" w:rsidRPr="00B459FD" w:rsidTr="00EC0811">
        <w:tc>
          <w:tcPr>
            <w:tcW w:w="3369" w:type="dxa"/>
          </w:tcPr>
          <w:p w:rsidR="007E50BF" w:rsidRPr="00B459FD" w:rsidRDefault="007E50BF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Decyzja Zgromadzenia Plenarnego</w:t>
            </w:r>
          </w:p>
        </w:tc>
        <w:tc>
          <w:tcPr>
            <w:tcW w:w="5918" w:type="dxa"/>
          </w:tcPr>
          <w:p w:rsidR="007E50BF" w:rsidRPr="00B459FD" w:rsidRDefault="007E50BF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DD/MM/YYYY</w:t>
            </w:r>
          </w:p>
        </w:tc>
      </w:tr>
      <w:tr w:rsidR="00243E36" w:rsidRPr="00B459FD" w:rsidTr="00EC0811">
        <w:tc>
          <w:tcPr>
            <w:tcW w:w="3369" w:type="dxa"/>
          </w:tcPr>
          <w:p w:rsidR="00243E36" w:rsidRPr="00B459FD" w:rsidRDefault="00243E36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</w:p>
        </w:tc>
        <w:tc>
          <w:tcPr>
            <w:tcW w:w="5918" w:type="dxa"/>
          </w:tcPr>
          <w:p w:rsidR="00243E36" w:rsidRPr="00B459FD" w:rsidRDefault="00243E36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</w:p>
        </w:tc>
      </w:tr>
      <w:tr w:rsidR="00BA1290" w:rsidRPr="00B459FD" w:rsidTr="00EC0811">
        <w:tc>
          <w:tcPr>
            <w:tcW w:w="3369" w:type="dxa"/>
          </w:tcPr>
          <w:p w:rsidR="00BA1290" w:rsidRPr="00B459FD" w:rsidRDefault="00BA1290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</w:p>
        </w:tc>
        <w:tc>
          <w:tcPr>
            <w:tcW w:w="5918" w:type="dxa"/>
          </w:tcPr>
          <w:p w:rsidR="00BA1290" w:rsidRPr="00B459FD" w:rsidRDefault="00BA1290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</w:p>
        </w:tc>
      </w:tr>
      <w:tr w:rsidR="00DF5B64" w:rsidRPr="00B459FD" w:rsidTr="00EC0811">
        <w:tc>
          <w:tcPr>
            <w:tcW w:w="3369" w:type="dxa"/>
          </w:tcPr>
          <w:p w:rsidR="00DF5B64" w:rsidRPr="00B459FD" w:rsidRDefault="00AD4B4F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Sekcja odpowiedzialna</w:t>
            </w:r>
          </w:p>
        </w:tc>
        <w:tc>
          <w:tcPr>
            <w:tcW w:w="5918" w:type="dxa"/>
          </w:tcPr>
          <w:p w:rsidR="00DF5B64" w:rsidRPr="00B459FD" w:rsidRDefault="00587885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 xml:space="preserve">Sekcja Zatrudnienia, Spraw Społecznych i Obywatelstwa </w:t>
            </w:r>
          </w:p>
        </w:tc>
      </w:tr>
      <w:tr w:rsidR="00A156E6" w:rsidRPr="00B459FD" w:rsidTr="00EC0811">
        <w:tc>
          <w:tcPr>
            <w:tcW w:w="3369" w:type="dxa"/>
          </w:tcPr>
          <w:p w:rsidR="00A156E6" w:rsidRPr="00B459FD" w:rsidRDefault="00A156E6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Data przyjęcia przez sekcję</w:t>
            </w:r>
          </w:p>
        </w:tc>
        <w:tc>
          <w:tcPr>
            <w:tcW w:w="5918" w:type="dxa"/>
          </w:tcPr>
          <w:p w:rsidR="00A156E6" w:rsidRPr="00B459FD" w:rsidRDefault="003439AB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DD/MM/YYYY</w:t>
            </w:r>
          </w:p>
        </w:tc>
      </w:tr>
      <w:tr w:rsidR="00A156E6" w:rsidRPr="00B459FD" w:rsidTr="00EC0811">
        <w:tc>
          <w:tcPr>
            <w:tcW w:w="3369" w:type="dxa"/>
          </w:tcPr>
          <w:p w:rsidR="00A156E6" w:rsidRPr="00B459FD" w:rsidRDefault="00A156E6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Data przyjęcia na sesji plenarnej</w:t>
            </w:r>
          </w:p>
        </w:tc>
        <w:tc>
          <w:tcPr>
            <w:tcW w:w="5918" w:type="dxa"/>
          </w:tcPr>
          <w:p w:rsidR="00A156E6" w:rsidRPr="00B459FD" w:rsidRDefault="003439AB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DD/MM/YYYY</w:t>
            </w:r>
          </w:p>
        </w:tc>
      </w:tr>
      <w:tr w:rsidR="00BA1290" w:rsidRPr="00B459FD" w:rsidTr="00EC0811">
        <w:tc>
          <w:tcPr>
            <w:tcW w:w="3369" w:type="dxa"/>
          </w:tcPr>
          <w:p w:rsidR="00BA1290" w:rsidRPr="00B459FD" w:rsidRDefault="00BA1290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Sesja plenarna nr</w:t>
            </w:r>
          </w:p>
        </w:tc>
        <w:tc>
          <w:tcPr>
            <w:tcW w:w="5918" w:type="dxa"/>
          </w:tcPr>
          <w:p w:rsidR="00BA1290" w:rsidRPr="00B459FD" w:rsidRDefault="00BA1290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…</w:t>
            </w:r>
          </w:p>
        </w:tc>
      </w:tr>
      <w:tr w:rsidR="00A156E6" w:rsidRPr="00B459FD" w:rsidTr="00EC0811">
        <w:tc>
          <w:tcPr>
            <w:tcW w:w="3369" w:type="dxa"/>
          </w:tcPr>
          <w:p w:rsidR="00D423D4" w:rsidRPr="00B459FD" w:rsidRDefault="0043024C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Wynik głosowania</w:t>
            </w:r>
            <w:r w:rsidRPr="00B459FD">
              <w:br/>
              <w:t>(za / przeciw / wstrzymało się)</w:t>
            </w:r>
          </w:p>
        </w:tc>
        <w:tc>
          <w:tcPr>
            <w:tcW w:w="5918" w:type="dxa"/>
            <w:vAlign w:val="bottom"/>
          </w:tcPr>
          <w:p w:rsidR="00A156E6" w:rsidRPr="00B459FD" w:rsidRDefault="00A156E6" w:rsidP="002906C2">
            <w:pPr>
              <w:suppressAutoHyphens/>
              <w:overflowPunct/>
              <w:adjustRightInd/>
              <w:jc w:val="left"/>
              <w:textAlignment w:val="auto"/>
              <w:rPr>
                <w:szCs w:val="22"/>
              </w:rPr>
            </w:pPr>
            <w:r w:rsidRPr="00B459FD">
              <w:t>…/…/…</w:t>
            </w:r>
          </w:p>
        </w:tc>
      </w:tr>
    </w:tbl>
    <w:p w:rsidR="00646AC2" w:rsidRPr="00B459FD" w:rsidRDefault="00646AC2" w:rsidP="002906C2">
      <w:pPr>
        <w:suppressAutoHyphens/>
        <w:overflowPunct/>
        <w:adjustRightInd/>
        <w:textAlignment w:val="auto"/>
      </w:pPr>
      <w:r w:rsidRPr="00B459FD">
        <w:br w:type="page"/>
      </w:r>
    </w:p>
    <w:p w:rsidR="00520E16" w:rsidRPr="00B459FD" w:rsidRDefault="00520E16" w:rsidP="002906C2">
      <w:pPr>
        <w:pStyle w:val="Heading1"/>
        <w:tabs>
          <w:tab w:val="left" w:pos="567"/>
        </w:tabs>
        <w:suppressAutoHyphens/>
        <w:overflowPunct/>
        <w:adjustRightInd/>
        <w:textAlignment w:val="auto"/>
      </w:pPr>
      <w:r w:rsidRPr="00B459FD">
        <w:lastRenderedPageBreak/>
        <w:tab/>
      </w:r>
      <w:r w:rsidRPr="00B459FD">
        <w:rPr>
          <w:b/>
        </w:rPr>
        <w:t>Wnioski i zalecenia</w:t>
      </w:r>
    </w:p>
    <w:p w:rsidR="007865E1" w:rsidRPr="00B459FD" w:rsidRDefault="007865E1" w:rsidP="002906C2">
      <w:pPr>
        <w:suppressAutoHyphens/>
        <w:overflowPunct/>
        <w:adjustRightInd/>
        <w:textAlignment w:val="auto"/>
      </w:pPr>
    </w:p>
    <w:p w:rsidR="001822CD" w:rsidRPr="00B459FD" w:rsidRDefault="001822CD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Kobiety i dziewczęta z niepełnosprawnością w dalszym ciągu spotykają się z dyskryminacją intersekcjonalną i z wielu przyczyn jednocześnie, ze względu zarówno na swoją płeć, jak i</w:t>
      </w:r>
      <w:r w:rsidR="00A64B1E" w:rsidRPr="00B459FD">
        <w:t> </w:t>
      </w:r>
      <w:r w:rsidRPr="00B459FD">
        <w:t>niepełnosprawność. Kobiety z niepełnosprawnością nie mają takich samych szans równego udziału we wszystkich aspektach społeczeństwa. Są one między innymi wykluczone z edukacji włączającej i szkoleń włączających, zatrudnienia, z dostępu do programów redukcji ubóstwa i</w:t>
      </w:r>
      <w:r w:rsidR="00A64B1E" w:rsidRPr="00B459FD">
        <w:t> </w:t>
      </w:r>
      <w:r w:rsidRPr="00B459FD">
        <w:t>do odpowiednich warunków mieszkaniowych, a także z udziału w życiu politycznym i</w:t>
      </w:r>
      <w:r w:rsidR="00A64B1E" w:rsidRPr="00B459FD">
        <w:t> </w:t>
      </w:r>
      <w:r w:rsidRPr="00B459FD">
        <w:t>publicznym, a prawo często uniemożliwia im podejmowanie decyzji dotyczących własnego życia, w tym również dotyczących ich praw seksualnych i reprodukcyjnych. Borykają się z</w:t>
      </w:r>
      <w:r w:rsidR="00A64B1E" w:rsidRPr="00B459FD">
        <w:t> </w:t>
      </w:r>
      <w:r w:rsidRPr="00B459FD">
        <w:t>przeszkodami w korzystaniu ze swych praw obywatelskich UE</w:t>
      </w:r>
      <w:r w:rsidR="009D5C72" w:rsidRPr="00B459FD">
        <w:rPr>
          <w:rStyle w:val="FootnoteReference"/>
        </w:rPr>
        <w:footnoteReference w:id="1"/>
      </w:r>
      <w:r w:rsidRPr="00B459FD">
        <w:t>.</w:t>
      </w:r>
    </w:p>
    <w:p w:rsidR="007865E1" w:rsidRPr="00B459FD" w:rsidRDefault="007865E1" w:rsidP="002906C2">
      <w:pPr>
        <w:suppressAutoHyphens/>
        <w:overflowPunct/>
        <w:adjustRightInd/>
        <w:textAlignment w:val="auto"/>
      </w:pPr>
    </w:p>
    <w:p w:rsidR="00011D33" w:rsidRPr="00B459FD" w:rsidRDefault="00B84EFE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W niniejszej opinii wzywa się UE i wszystkie państwa członkowskie do wdrożenia Konwencji ONZ o prawach osób niepełnosprawnych (UNCRPD)</w:t>
      </w:r>
      <w:r w:rsidR="00F669E6" w:rsidRPr="00B459FD">
        <w:rPr>
          <w:rStyle w:val="FootnoteReference"/>
        </w:rPr>
        <w:footnoteReference w:id="2"/>
      </w:r>
      <w:r w:rsidRPr="00B459FD">
        <w:t>, zaleceń, jakie UE otrzymała od UNCRPD w odniesieniu do kobiet i dziewcząt z niepełnosprawnością w 2015 r. oraz uwagi ogólnej Komitetu ONZ nr 3 dotyczącej art. 6 Konwencji o prawach osób niepełnosprawnych.</w:t>
      </w:r>
    </w:p>
    <w:p w:rsidR="00B510BE" w:rsidRPr="00B459FD" w:rsidRDefault="00B510BE" w:rsidP="002906C2">
      <w:pPr>
        <w:suppressAutoHyphens/>
        <w:overflowPunct/>
        <w:adjustRightInd/>
        <w:ind w:left="-567"/>
        <w:textAlignment w:val="auto"/>
      </w:pPr>
    </w:p>
    <w:p w:rsidR="00F10E32" w:rsidRPr="00B459FD" w:rsidRDefault="00F10E32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Komitet apeluje, by UE i państwa członkowskie uwzględniły perspektywę niepełnosprawności w swojej przyszłej strategii w zakresie równouprawnienia płci oraz w politykach i programach, a także włączyły kwestię płci do strategii dotyczących niepełnosprawności, w tym do przyszłej europejskiej strategii w sprawie niepełnosprawności na lata 2020–2030 oraz europejskiego filara praw socjalnych</w:t>
      </w:r>
      <w:r w:rsidR="009D5C72" w:rsidRPr="00B459FD">
        <w:rPr>
          <w:rStyle w:val="FootnoteReference"/>
        </w:rPr>
        <w:footnoteReference w:id="3"/>
      </w:r>
      <w:r w:rsidRPr="00B459FD">
        <w:t>. Program zastępujący strategię „Europa 2020” na rzecz inteligentnego, trwałego wzrostu gospodarczego sprzyjającego włączeniu społecznemu powinien również obejmować perspektywę kobiet z niepełnosprawnością, gdyż ich udział w życiu gospodarczym i</w:t>
      </w:r>
      <w:r w:rsidR="00A64B1E" w:rsidRPr="00B459FD">
        <w:t> </w:t>
      </w:r>
      <w:r w:rsidRPr="00B459FD">
        <w:t>społecznym jest niezbędny dla powodzenia ogólnej europejskiej strategii gospodarczej i</w:t>
      </w:r>
      <w:r w:rsidR="00A64B1E" w:rsidRPr="00B459FD">
        <w:t> </w:t>
      </w:r>
      <w:r w:rsidRPr="00B459FD">
        <w:t>społecznej</w:t>
      </w:r>
      <w:r w:rsidR="009D5C72" w:rsidRPr="00B459FD">
        <w:rPr>
          <w:rStyle w:val="FootnoteReference"/>
        </w:rPr>
        <w:footnoteReference w:id="4"/>
      </w:r>
      <w:r w:rsidRPr="00B459FD">
        <w:t>.</w:t>
      </w:r>
    </w:p>
    <w:p w:rsidR="00D9541B" w:rsidRPr="00B459FD" w:rsidRDefault="00D9541B" w:rsidP="002906C2">
      <w:pPr>
        <w:suppressAutoHyphens/>
        <w:overflowPunct/>
        <w:adjustRightInd/>
        <w:textAlignment w:val="auto"/>
      </w:pPr>
    </w:p>
    <w:p w:rsidR="00F10E32" w:rsidRPr="00B459FD" w:rsidRDefault="00F10E32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Zarówno na szczeblu europejskim, jak i krajowym niezbędne jest przedsięwzięcie niezbędnych środków w celu nawiązania zorganizowanego dialogu wraz z niezależną linią budżetową i</w:t>
      </w:r>
      <w:r w:rsidR="002A5EA4" w:rsidRPr="00B459FD">
        <w:t> </w:t>
      </w:r>
      <w:r w:rsidRPr="00B459FD">
        <w:t>zapewnienia rzetelnych konsultacji z osobami niepełnosprawnymi oraz ich udziału, w tym kobiet, dziewcząt i chłopców z niepełnosprawnością za pośrednictwem ich organizacji przedstawicielskich, we wdrażaniu i monitorowaniu Konwencji</w:t>
      </w:r>
      <w:r w:rsidR="009D5C72" w:rsidRPr="00B459FD">
        <w:rPr>
          <w:rStyle w:val="FootnoteReference"/>
        </w:rPr>
        <w:footnoteReference w:id="5"/>
      </w:r>
      <w:r w:rsidRPr="00B459FD">
        <w:t>.</w:t>
      </w:r>
    </w:p>
    <w:p w:rsidR="00C60F38" w:rsidRPr="00B459FD" w:rsidRDefault="00C60F38" w:rsidP="002906C2">
      <w:pPr>
        <w:suppressAutoHyphens/>
        <w:overflowPunct/>
        <w:adjustRightInd/>
        <w:textAlignment w:val="auto"/>
      </w:pPr>
    </w:p>
    <w:p w:rsidR="00F10E32" w:rsidRPr="00B459FD" w:rsidRDefault="00F10E32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Wykorzystanie obecnych i przyszłych instrumentów finansowych UE, szczególnie funduszy strukturalnych i Europejskiego Funduszu Społecznego, powinno być kluczowym instrumentem wspierającym państwa członkowskie w promowaniu dostępności dla kobiet i dziewcząt z</w:t>
      </w:r>
      <w:r w:rsidR="002A5EA4" w:rsidRPr="00B459FD">
        <w:t> </w:t>
      </w:r>
      <w:r w:rsidRPr="00B459FD">
        <w:t>niepełnosprawnością oraz ich niedyskryminacji</w:t>
      </w:r>
      <w:r w:rsidR="009D5C72" w:rsidRPr="00B459FD">
        <w:rPr>
          <w:rStyle w:val="FootnoteReference"/>
        </w:rPr>
        <w:footnoteReference w:id="6"/>
      </w:r>
      <w:r w:rsidRPr="00B459FD">
        <w:t>.</w:t>
      </w:r>
    </w:p>
    <w:p w:rsidR="00C60F38" w:rsidRPr="00B459FD" w:rsidRDefault="00C60F38" w:rsidP="002906C2">
      <w:pPr>
        <w:suppressAutoHyphens/>
        <w:overflowPunct/>
        <w:adjustRightInd/>
        <w:textAlignment w:val="auto"/>
      </w:pPr>
    </w:p>
    <w:p w:rsidR="00F10E32" w:rsidRPr="00B459FD" w:rsidRDefault="00F10E32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UE i państwa członkowskie powinny szybko przystąpić do Konwencji Rady Europy o</w:t>
      </w:r>
      <w:r w:rsidR="002A5EA4" w:rsidRPr="00B459FD">
        <w:t> </w:t>
      </w:r>
      <w:r w:rsidRPr="00B459FD">
        <w:t>zapobieganiu i zwalczaniu przemocy wobec kobiet i przemocy domowej (konwencji stambulskiej), co będzie kolejnym krokiem na drodze do zwalczania przemocy wobec kobiet i</w:t>
      </w:r>
      <w:r w:rsidR="002A5EA4" w:rsidRPr="00B459FD">
        <w:t> </w:t>
      </w:r>
      <w:r w:rsidRPr="00B459FD">
        <w:t>dziewcząt z niepełnosprawnością</w:t>
      </w:r>
      <w:r w:rsidR="009D5C72" w:rsidRPr="00B459FD">
        <w:rPr>
          <w:rStyle w:val="FootnoteReference"/>
        </w:rPr>
        <w:footnoteReference w:id="7"/>
      </w:r>
      <w:r w:rsidRPr="00B459FD">
        <w:t>. Środki te powinny obejmować kryminalizację przemocy seksualnej i innych form przemocy wobec kobiet i dziewcząt z niepełnosprawnością, w tym zniesienie przymusowej sterylizacji</w:t>
      </w:r>
      <w:r w:rsidR="009D5C72" w:rsidRPr="00B459FD">
        <w:rPr>
          <w:rStyle w:val="FootnoteReference"/>
        </w:rPr>
        <w:footnoteReference w:id="8"/>
      </w:r>
      <w:r w:rsidRPr="00B459FD">
        <w:t>.</w:t>
      </w:r>
    </w:p>
    <w:p w:rsidR="00C60F38" w:rsidRPr="00B459FD" w:rsidRDefault="00C60F38" w:rsidP="002906C2">
      <w:pPr>
        <w:suppressAutoHyphens/>
        <w:overflowPunct/>
        <w:adjustRightInd/>
        <w:textAlignment w:val="auto"/>
      </w:pPr>
    </w:p>
    <w:p w:rsidR="00F10E32" w:rsidRPr="00B459FD" w:rsidRDefault="00430C19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UE i państwa członkowskie powinny przedsięwziąć wszystkie środki w celu zadbania o to, by kobiety i dziewczęta z niepełnosprawnością miały równy dostęp do związanych z</w:t>
      </w:r>
      <w:r w:rsidR="002A5EA4" w:rsidRPr="00B459FD">
        <w:t> </w:t>
      </w:r>
      <w:r w:rsidRPr="00B459FD">
        <w:t>niepełnosprawnością usług zdrowotnych dla osób niepełnosprawnych, a także do przystępnych usług podstawowych. Wszystkie kobiety i dziewczęta z niepełnosprawnością muszą być w stanie korzystać ze swej zdolności prawnej, podejmując swoje własne decyzje, jeżeli to pożądane korzystając ze wsparcia innych, odnośnie do usług leczniczych i</w:t>
      </w:r>
      <w:r w:rsidR="002A5EA4" w:rsidRPr="00B459FD">
        <w:t> </w:t>
      </w:r>
      <w:r w:rsidRPr="00B459FD">
        <w:t>postępowania terapeutycznego, między innymi decyzje w sprawie zachowania płodności i</w:t>
      </w:r>
      <w:r w:rsidR="002A5EA4" w:rsidRPr="00B459FD">
        <w:t> </w:t>
      </w:r>
      <w:r w:rsidRPr="00B459FD">
        <w:t>niezależności prokreacyjnej</w:t>
      </w:r>
      <w:r w:rsidR="009D5C72" w:rsidRPr="00B459FD">
        <w:rPr>
          <w:rStyle w:val="FootnoteReference"/>
        </w:rPr>
        <w:footnoteReference w:id="9"/>
      </w:r>
      <w:r w:rsidRPr="00B459FD">
        <w:t>.</w:t>
      </w:r>
    </w:p>
    <w:p w:rsidR="00430C19" w:rsidRPr="00B459FD" w:rsidRDefault="00430C19" w:rsidP="002906C2">
      <w:pPr>
        <w:suppressAutoHyphens/>
        <w:overflowPunct/>
        <w:adjustRightInd/>
        <w:textAlignment w:val="auto"/>
      </w:pPr>
    </w:p>
    <w:p w:rsidR="00430C19" w:rsidRPr="00B459FD" w:rsidRDefault="002561CD" w:rsidP="002906C2">
      <w:pPr>
        <w:pStyle w:val="Heading1"/>
        <w:tabs>
          <w:tab w:val="left" w:pos="567"/>
        </w:tabs>
        <w:suppressAutoHyphens/>
        <w:overflowPunct/>
        <w:adjustRightInd/>
        <w:textAlignment w:val="auto"/>
      </w:pPr>
      <w:r w:rsidRPr="00B459FD">
        <w:tab/>
      </w:r>
      <w:r w:rsidRPr="00B459FD">
        <w:rPr>
          <w:b/>
        </w:rPr>
        <w:t>Wprowadzenie</w:t>
      </w:r>
    </w:p>
    <w:p w:rsidR="00B84EFE" w:rsidRPr="00B459FD" w:rsidRDefault="00B84EFE" w:rsidP="002906C2">
      <w:pPr>
        <w:suppressAutoHyphens/>
        <w:overflowPunct/>
        <w:adjustRightInd/>
        <w:textAlignment w:val="auto"/>
      </w:pPr>
    </w:p>
    <w:p w:rsidR="00430C19" w:rsidRPr="00B459FD" w:rsidRDefault="00430C19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Kobiety z niepełnosprawnością nadal znajdują się na marginesie społeczeństwa. Ich położenie jest nie tylko gorsze od sytuacji kobiet bez niepełnosprawności, lecz również od sytuacji mężczyzn z niepełnosprawnością</w:t>
      </w:r>
      <w:r w:rsidR="009D5C72" w:rsidRPr="00B459FD">
        <w:rPr>
          <w:rStyle w:val="FootnoteReference"/>
        </w:rPr>
        <w:footnoteReference w:id="10"/>
      </w:r>
      <w:r w:rsidRPr="00B459FD">
        <w:t>.</w:t>
      </w:r>
    </w:p>
    <w:p w:rsidR="00430C19" w:rsidRPr="00B459FD" w:rsidRDefault="00430C19" w:rsidP="002906C2">
      <w:pPr>
        <w:suppressAutoHyphens/>
        <w:overflowPunct/>
        <w:adjustRightInd/>
        <w:textAlignment w:val="auto"/>
      </w:pPr>
    </w:p>
    <w:p w:rsidR="00430C19" w:rsidRPr="00B459FD" w:rsidRDefault="00430C19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Kobiety z niepełnosprawnością stanowią 16 % ogółu populacji kobiet w Europie. Liczba ta szacowana jest na podstawie obecnej liczby kobiet i dziewcząt wynoszącej prawie 250 mln, z</w:t>
      </w:r>
      <w:r w:rsidR="002A5EA4" w:rsidRPr="00B459FD">
        <w:t> </w:t>
      </w:r>
      <w:r w:rsidRPr="00B459FD">
        <w:t>czego wynika, że w Unii Europejskiej (UE) żyje ok. 40 mln kobiet i dziewcząt z</w:t>
      </w:r>
      <w:r w:rsidR="002A5EA4" w:rsidRPr="00B459FD">
        <w:t> </w:t>
      </w:r>
      <w:r w:rsidRPr="00B459FD">
        <w:t>niepełnosprawnością</w:t>
      </w:r>
      <w:r w:rsidR="009D5C72" w:rsidRPr="00B459FD">
        <w:rPr>
          <w:rStyle w:val="FootnoteReference"/>
        </w:rPr>
        <w:footnoteReference w:id="11"/>
      </w:r>
      <w:r w:rsidRPr="00B459FD">
        <w:t>.</w:t>
      </w:r>
    </w:p>
    <w:p w:rsidR="00430C19" w:rsidRPr="00B459FD" w:rsidRDefault="00430C19" w:rsidP="002906C2">
      <w:pPr>
        <w:suppressAutoHyphens/>
        <w:overflowPunct/>
        <w:adjustRightInd/>
        <w:textAlignment w:val="auto"/>
      </w:pPr>
    </w:p>
    <w:p w:rsidR="00430C19" w:rsidRPr="00B459FD" w:rsidRDefault="00430C19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Wzrasta liczba osób starszych w Europie i na całym świecie, co oznacza, że w związku z tym wzrośnie również liczba osób z niepełnosprawnością. Ze względu na dłuższe średnie trwanie życia kobiet liczba kobiet z niepełnosprawnością wzrośnie w sposób nieproporcjonalny</w:t>
      </w:r>
      <w:r w:rsidR="009D5C72" w:rsidRPr="00B459FD">
        <w:rPr>
          <w:rStyle w:val="FootnoteReference"/>
        </w:rPr>
        <w:footnoteReference w:id="12"/>
      </w:r>
      <w:r w:rsidRPr="00B459FD">
        <w:t xml:space="preserve">. </w:t>
      </w:r>
    </w:p>
    <w:p w:rsidR="00430C19" w:rsidRPr="00B459FD" w:rsidRDefault="00430C19" w:rsidP="002906C2">
      <w:pPr>
        <w:suppressAutoHyphens/>
        <w:overflowPunct/>
        <w:adjustRightInd/>
        <w:textAlignment w:val="auto"/>
      </w:pPr>
    </w:p>
    <w:p w:rsidR="002561CD" w:rsidRPr="00B459FD" w:rsidRDefault="002561CD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W niniejszej opinii wzywa się UE i wszystkie państwa członkowskie do wdrożenia Konwencji ONZ o prawach osób niepełnosprawnych (UNCRPD)</w:t>
      </w:r>
      <w:r w:rsidRPr="00B459FD">
        <w:rPr>
          <w:rStyle w:val="FootnoteReference"/>
        </w:rPr>
        <w:footnoteReference w:id="13"/>
      </w:r>
      <w:r w:rsidRPr="00B459FD">
        <w:t xml:space="preserve">, zaleceń, jakie UE otrzymała od UNCRPD w odniesieniu do kobiet i dziewcząt z niepełnosprawnością w 2015 r. oraz uwagi </w:t>
      </w:r>
      <w:r w:rsidRPr="00B459FD">
        <w:lastRenderedPageBreak/>
        <w:t>ogólnej Komitetu ONZ nr 3 dotyczącej art. 6 Konwencji o prawach osób niepełnosprawnych. UE i państwa członkowskie powinny niezwłocznie uruchomić program działania, harmonogram i zasoby niezbędne do wdrożenia Konwencji o prawach osób niepełnosprawnych.</w:t>
      </w:r>
    </w:p>
    <w:p w:rsidR="002561CD" w:rsidRPr="00B459FD" w:rsidRDefault="002561CD" w:rsidP="002906C2">
      <w:pPr>
        <w:suppressAutoHyphens/>
        <w:overflowPunct/>
        <w:adjustRightInd/>
        <w:textAlignment w:val="auto"/>
      </w:pPr>
    </w:p>
    <w:p w:rsidR="00B84EFE" w:rsidRPr="00B459FD" w:rsidRDefault="00520E16" w:rsidP="002906C2">
      <w:pPr>
        <w:pStyle w:val="Heading1"/>
        <w:tabs>
          <w:tab w:val="left" w:pos="567"/>
        </w:tabs>
        <w:suppressAutoHyphens/>
        <w:overflowPunct/>
        <w:adjustRightInd/>
        <w:textAlignment w:val="auto"/>
      </w:pPr>
      <w:r w:rsidRPr="00B459FD">
        <w:rPr>
          <w:b/>
        </w:rPr>
        <w:tab/>
        <w:t>Uwagi ogólne</w:t>
      </w:r>
    </w:p>
    <w:p w:rsidR="00B84EFE" w:rsidRPr="00B459FD" w:rsidRDefault="00B84EFE" w:rsidP="002906C2">
      <w:pPr>
        <w:suppressAutoHyphens/>
        <w:overflowPunct/>
        <w:adjustRightInd/>
        <w:textAlignment w:val="auto"/>
      </w:pPr>
    </w:p>
    <w:p w:rsidR="00672670" w:rsidRPr="00B459FD" w:rsidRDefault="00672670" w:rsidP="002906C2">
      <w:pPr>
        <w:pStyle w:val="Heading2"/>
        <w:suppressAutoHyphens/>
        <w:ind w:left="567" w:hanging="567"/>
      </w:pPr>
      <w:r w:rsidRPr="00B459FD">
        <w:rPr>
          <w:b/>
        </w:rPr>
        <w:t>Międzynarodowe i europejskie ramy prawne</w:t>
      </w:r>
    </w:p>
    <w:p w:rsidR="00672670" w:rsidRPr="00B459FD" w:rsidRDefault="00672670" w:rsidP="002906C2">
      <w:pPr>
        <w:suppressAutoHyphens/>
        <w:overflowPunct/>
        <w:adjustRightInd/>
        <w:textAlignment w:val="auto"/>
      </w:pPr>
    </w:p>
    <w:p w:rsidR="00B84EFE" w:rsidRPr="00B459FD" w:rsidRDefault="0091779F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Wraz ze swoimi 28 państwami członkowskimi UE jest stroną Konwencji ONZ o prawach osób niepełnosprawnych. Strony te są prawnie zobowiązane do przestrzegania tej konwencji na mocy prawa międzynarodowego, co oznacza, że zobowiązały się one wspólnie do propagowania, ochrony i gwarantowania praw osób z niepełnosprawnością zapisanych w Konwencji o prawach osób niepełnosprawnych, w tym kobiet i dziewcząt z niepełnosprawnością. UE i państwa członkowskie powinny służyć przykładem, gdyż jest to jedyna organizacja integracji regionalnej na świecie będąca stroną Konwencji o prawach osób niepełnosprawnych i znajduje się w wyjątkowym położeniu, by zapewnić zharmonizowaną i równą ochronę kobiet i dziewcząt z niepełnosprawnością w całej Europie.</w:t>
      </w:r>
    </w:p>
    <w:p w:rsidR="00B84EFE" w:rsidRPr="00B459FD" w:rsidRDefault="00B84EFE" w:rsidP="002906C2">
      <w:pPr>
        <w:suppressAutoHyphens/>
        <w:overflowPunct/>
        <w:adjustRightInd/>
        <w:textAlignment w:val="auto"/>
      </w:pPr>
    </w:p>
    <w:p w:rsidR="0091779F" w:rsidRPr="00B459FD" w:rsidRDefault="0091779F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W art. 6 Konwencji uznaje się, że „niepełnosprawne kobiety i dziewczęta są narażone na wieloraką dyskryminację i, w związku z tym, [Państwa Strony] podejmują środki w celu zapewnienia pełnego i równego korzystania przez nie ze wszystkich praw człowieka i</w:t>
      </w:r>
      <w:r w:rsidR="002A5EA4" w:rsidRPr="00B459FD">
        <w:t> </w:t>
      </w:r>
      <w:r w:rsidRPr="00B459FD">
        <w:t>podstawowych wolności. Państwa Strony podejmują wszelkie odpowiednie środki, aby zapewnić pełen rozwój, awans i wzmocnienie pozycji kobiet, w celu zagwarantowania im możliwości wykonywania i korzystania z praw człowieka i podstawowych wolności ustanowionych w niniejszej konwencji”.</w:t>
      </w:r>
    </w:p>
    <w:p w:rsidR="0091779F" w:rsidRPr="00B459FD" w:rsidRDefault="0091779F" w:rsidP="002906C2">
      <w:pPr>
        <w:suppressAutoHyphens/>
        <w:overflowPunct/>
        <w:adjustRightInd/>
        <w:textAlignment w:val="auto"/>
      </w:pPr>
    </w:p>
    <w:p w:rsidR="0091779F" w:rsidRPr="00B459FD" w:rsidRDefault="0091779F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W 2015 r. Konwencję uzupełniły ważne zalecenia przekazane przez Komitet ONZ ds. Praw Osób Niepełnosprawnych dotyczące sposobu poprawienia sytuacji osób, w tym kobiet i</w:t>
      </w:r>
      <w:r w:rsidR="002A5EA4" w:rsidRPr="00B459FD">
        <w:t> </w:t>
      </w:r>
      <w:r w:rsidRPr="00B459FD">
        <w:t>dziewcząt z niepełnosprawnością w Unii Europejskiej.</w:t>
      </w:r>
    </w:p>
    <w:p w:rsidR="00B84EFE" w:rsidRPr="00B459FD" w:rsidRDefault="00B84EFE" w:rsidP="002906C2">
      <w:pPr>
        <w:suppressAutoHyphens/>
        <w:overflowPunct/>
        <w:adjustRightInd/>
        <w:textAlignment w:val="auto"/>
      </w:pPr>
    </w:p>
    <w:p w:rsidR="00B84EFE" w:rsidRPr="00B459FD" w:rsidRDefault="00D62030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W 2016 r. Komitet ONZ ds. Praw Osób Niepełnosprawnych przyjął swoją uwagę ogólną nr 3 dotyczącą art. 6 Konwencji, w której podkreśla się, że państwa będące stronami Konwencji, w</w:t>
      </w:r>
      <w:r w:rsidR="002A5EA4" w:rsidRPr="00B459FD">
        <w:t> </w:t>
      </w:r>
      <w:r w:rsidRPr="00B459FD">
        <w:t>tym UE, powinny podjąć wspomniane wcześniej środki na rzecz propagowania praw kobiet i</w:t>
      </w:r>
      <w:r w:rsidR="002A5EA4" w:rsidRPr="00B459FD">
        <w:t> </w:t>
      </w:r>
      <w:r w:rsidRPr="00B459FD">
        <w:t>dziewcząt z niepełnosprawnością.</w:t>
      </w:r>
    </w:p>
    <w:p w:rsidR="00011D33" w:rsidRPr="00B459FD" w:rsidRDefault="00011D33" w:rsidP="002906C2">
      <w:pPr>
        <w:suppressAutoHyphens/>
        <w:overflowPunct/>
        <w:adjustRightInd/>
        <w:textAlignment w:val="auto"/>
      </w:pPr>
    </w:p>
    <w:p w:rsidR="0045129C" w:rsidRPr="00B459FD" w:rsidRDefault="0045129C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Wszystkie państwa członkowskie UE są również stroną Konwencji ONZ w sprawie likwidacji wszelkich form dyskryminacji kobiet (CEDAW), najbardziej kompleksowego międzynarodowego narzędzia prawnego mającego na celu zapewnienie równego uznania wszystkich praw kobiet w kontekście praw człowieka w sferze politycznej, gospodarczej, społecznej, kulturalnej, obywatelskiej i domowej. Kobiety i dziewczęta</w:t>
      </w:r>
      <w:r w:rsidR="0096002D" w:rsidRPr="00B459FD">
        <w:t xml:space="preserve"> </w:t>
      </w:r>
      <w:r w:rsidRPr="00B459FD">
        <w:t>z niepełnosprawnością powinny również w pełni korzystać z Konwencji ONZ w sprawie likwidacji wszelkich form dyskryminacji kobiet (CEDAW), a także brać udział w wysiłkach krajowych mających na celu jej wdrożenie.</w:t>
      </w:r>
    </w:p>
    <w:p w:rsidR="0045129C" w:rsidRPr="00B459FD" w:rsidRDefault="0045129C" w:rsidP="002906C2">
      <w:pPr>
        <w:suppressAutoHyphens/>
        <w:overflowPunct/>
        <w:adjustRightInd/>
        <w:textAlignment w:val="auto"/>
      </w:pPr>
    </w:p>
    <w:p w:rsidR="0045129C" w:rsidRPr="00B459FD" w:rsidRDefault="0045129C" w:rsidP="003B15D2">
      <w:pPr>
        <w:pStyle w:val="Heading2"/>
        <w:keepLines/>
        <w:suppressAutoHyphens/>
        <w:overflowPunct/>
        <w:adjustRightInd/>
        <w:ind w:left="567" w:hanging="567"/>
        <w:textAlignment w:val="auto"/>
      </w:pPr>
      <w:r w:rsidRPr="00B459FD">
        <w:lastRenderedPageBreak/>
        <w:t>Artykuły 10 i 19 Traktatu o funkcjonowaniu Unii Europejskiej (TFUE) wymagają od UE zwalczania dyskryminacji ze względu na płeć, pochodzenie rasowe lub etniczne, religię lub światopogląd, niepełnosprawność, wiek lub orientację seksualną na etapie określania i</w:t>
      </w:r>
      <w:r w:rsidR="002A5EA4" w:rsidRPr="00B459FD">
        <w:t> </w:t>
      </w:r>
      <w:r w:rsidRPr="00B459FD">
        <w:t>wdrażania polityki i działalności oraz przyjmowania odpowiednich działań. W art. 8 TFUE stwierdza się, że „we wszystkich swoich działaniach Unia zmierza do zniesienia nierówności oraz wspierania równości mężczyzn i kobiet”.</w:t>
      </w:r>
    </w:p>
    <w:p w:rsidR="0045129C" w:rsidRPr="00B459FD" w:rsidRDefault="0045129C" w:rsidP="002906C2">
      <w:pPr>
        <w:suppressAutoHyphens/>
      </w:pPr>
    </w:p>
    <w:p w:rsidR="00E5793A" w:rsidRPr="00B459FD" w:rsidRDefault="0020532A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Artykuły 20 i 26 Karty praw podstawowych Unii Europejskiej zakazują dyskryminacji ze względu na niepełnosprawność i uznają prawo osób niepełnosprawnych do korzystania ze środków mających zapewnić im samodzielność, integrację społeczną i zawodową oraz udział w</w:t>
      </w:r>
      <w:r w:rsidR="002A5EA4" w:rsidRPr="00B459FD">
        <w:t> </w:t>
      </w:r>
      <w:r w:rsidRPr="00B459FD">
        <w:t>życiu społeczności. Karta dotyczy również równości kobiet i mężczyzn, a także niedyskryminacji z różnych powodów, w tym ze względu na płeć.</w:t>
      </w:r>
    </w:p>
    <w:p w:rsidR="00672670" w:rsidRPr="00B459FD" w:rsidRDefault="00672670" w:rsidP="002906C2">
      <w:pPr>
        <w:suppressAutoHyphens/>
        <w:overflowPunct/>
        <w:adjustRightInd/>
        <w:textAlignment w:val="auto"/>
      </w:pPr>
    </w:p>
    <w:p w:rsidR="00672670" w:rsidRPr="00B459FD" w:rsidRDefault="00520E16" w:rsidP="002906C2">
      <w:pPr>
        <w:pStyle w:val="Heading1"/>
        <w:tabs>
          <w:tab w:val="left" w:pos="567"/>
        </w:tabs>
        <w:suppressAutoHyphens/>
        <w:overflowPunct/>
        <w:adjustRightInd/>
        <w:textAlignment w:val="auto"/>
      </w:pPr>
      <w:r w:rsidRPr="00B459FD">
        <w:rPr>
          <w:b/>
        </w:rPr>
        <w:tab/>
        <w:t>Zalecenia ogólne</w:t>
      </w:r>
    </w:p>
    <w:p w:rsidR="00533DA9" w:rsidRPr="00B459FD" w:rsidRDefault="00533DA9" w:rsidP="002906C2">
      <w:pPr>
        <w:suppressAutoHyphens/>
        <w:overflowPunct/>
        <w:adjustRightInd/>
        <w:textAlignment w:val="auto"/>
      </w:pPr>
    </w:p>
    <w:p w:rsidR="00E5793A" w:rsidRPr="00B459FD" w:rsidRDefault="00E5793A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W przeciwieństwie do odniesień zawartych w Konwencji o prawach osób niepełnosprawnych, Konwencji w sprawie likwidacji wszelkich form dyskryminacji kobiet, TFUE i Karty, Unia Europejska ani nie uwzględniła aspektu niepełnosprawności we wszystkich swych politykach, programach i strategiach równości płci, ani nie przyjęła perspektywy płci w swych strategiach dotyczących niepełnosprawności. UE i jej państwa członkowskie nie posiadają obecnie skutecznych ram prawnych umożliwiających ochronę, promowanie i zapewnienie wszystkich praw kobiet i dziewcząt z niepełnosprawnością w kontekście praw człowieka. Komitet apeluje, by UE i państwa członkowskie uwzględniły perspektywę niepełnosprawności w swojej przyszłej strategii w zakresie równouprawnienia płci oraz w politykach i programach, a także włączyły kwestię płci do strategii dotyczących niepełnosprawności, w tym do przyszłej europejskiej strategii w sprawie niepełnosprawności na lata 2020–2030 oraz europejskiego filara praw socjalnych. Program zastępujący strategię „Europa 2020” na rzecz inteligentnego, trwałego wzrostu gospodarczego sprzyjającego włączeniu społecznemu powinien również obejmować perspektywę kobiet z niepełnosprawnością, gdyż ich udział w życiu gospodarczym i</w:t>
      </w:r>
      <w:r w:rsidR="002A5EA4" w:rsidRPr="00B459FD">
        <w:t> </w:t>
      </w:r>
      <w:r w:rsidRPr="00B459FD">
        <w:t>społecznym jest niezbędny dla powodzenia ogólnej europejskiej strategii gospodarczej i</w:t>
      </w:r>
      <w:r w:rsidR="002A5EA4" w:rsidRPr="00B459FD">
        <w:t> </w:t>
      </w:r>
      <w:r w:rsidRPr="00B459FD">
        <w:t>społecznej</w:t>
      </w:r>
      <w:r w:rsidR="009D5C72" w:rsidRPr="00B459FD">
        <w:rPr>
          <w:rStyle w:val="FootnoteReference"/>
        </w:rPr>
        <w:footnoteReference w:id="14"/>
      </w:r>
      <w:r w:rsidRPr="00B459FD">
        <w:t>.</w:t>
      </w:r>
    </w:p>
    <w:p w:rsidR="004A3BFD" w:rsidRPr="00B459FD" w:rsidRDefault="004A3BFD" w:rsidP="002906C2">
      <w:pPr>
        <w:suppressAutoHyphens/>
        <w:overflowPunct/>
        <w:adjustRightInd/>
        <w:textAlignment w:val="auto"/>
      </w:pPr>
    </w:p>
    <w:p w:rsidR="0045129C" w:rsidRPr="00B459FD" w:rsidRDefault="00E5793A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UE i państwa członkowskie nie prowadzą wystarczających konsultacji z organizacjami przedstawicielskimi kobiet i dziewcząt z niepełnosprawnością, a także wystarczająco ich nie finansują. Zarówno na szczeblu europejskim, jak i krajowym niezbędne jest przedsięwzięcie niezbędnych środków w celu nawiązania zorganizowanego dialogu wraz z niezależną linią budżetową i zapewnienia rzetelnych konsultacji z osobami niepełnosprawnymi oraz ich udziału, w tym kobiet, dziewcząt i chłopców z niepełnosprawnością, za pośrednictwem ich organizacji przedstawicielskich, we wdrażaniu i monitorowaniu Konwencji</w:t>
      </w:r>
      <w:r w:rsidR="009D5C72" w:rsidRPr="00B459FD">
        <w:rPr>
          <w:rStyle w:val="FootnoteReference"/>
        </w:rPr>
        <w:footnoteReference w:id="15"/>
      </w:r>
      <w:r w:rsidRPr="00B459FD">
        <w:t>.</w:t>
      </w:r>
    </w:p>
    <w:p w:rsidR="00E5793A" w:rsidRPr="00B459FD" w:rsidRDefault="00E5793A" w:rsidP="002906C2">
      <w:pPr>
        <w:suppressAutoHyphens/>
      </w:pPr>
    </w:p>
    <w:p w:rsidR="00E5793A" w:rsidRPr="00B459FD" w:rsidRDefault="00E5793A" w:rsidP="003B15D2">
      <w:pPr>
        <w:pStyle w:val="Heading2"/>
        <w:keepLines/>
        <w:suppressAutoHyphens/>
        <w:overflowPunct/>
        <w:adjustRightInd/>
        <w:ind w:left="567" w:hanging="567"/>
        <w:textAlignment w:val="auto"/>
      </w:pPr>
      <w:r w:rsidRPr="00B459FD">
        <w:lastRenderedPageBreak/>
        <w:t>Kobiety i dziewczęta z niepełnosprawnością znajdują się nadal na marginesie wszystkich organizacji praw człowieka. Sprawozdania okresowe sporządzane przez odpowiednie ciała traktatowe Unii Europejskiej i państw członkowskich ds. praw człowieka muszą automatycznie zawierać informacje o kobietach z niepełnosprawnością. Praktyka ta powinna obejmować wszystkie instytucje zaangażowane w rzecznictwo praw człowieka zarówno na szczeblu europejskim, jak i krajowym, w tym organizacje przedstawicielskie osób niepełnosprawnych i</w:t>
      </w:r>
      <w:r w:rsidR="002A5EA4" w:rsidRPr="00B459FD">
        <w:t> </w:t>
      </w:r>
      <w:r w:rsidRPr="00B459FD">
        <w:t>ich rodziny, ogół kobiet oraz kobiety z niepełnosprawnością</w:t>
      </w:r>
      <w:r w:rsidR="009D5C72" w:rsidRPr="00B459FD">
        <w:rPr>
          <w:rStyle w:val="FootnoteReference"/>
        </w:rPr>
        <w:footnoteReference w:id="16"/>
      </w:r>
      <w:r w:rsidRPr="00B459FD">
        <w:t>.</w:t>
      </w:r>
    </w:p>
    <w:p w:rsidR="00E5793A" w:rsidRPr="00B459FD" w:rsidRDefault="00E5793A" w:rsidP="002906C2">
      <w:pPr>
        <w:suppressAutoHyphens/>
      </w:pPr>
    </w:p>
    <w:p w:rsidR="00E5793A" w:rsidRPr="00B459FD" w:rsidRDefault="00E5793A" w:rsidP="002906C2">
      <w:pPr>
        <w:pStyle w:val="Heading2"/>
        <w:suppressAutoHyphens/>
        <w:ind w:left="567" w:hanging="567"/>
      </w:pPr>
      <w:r w:rsidRPr="00B459FD">
        <w:t>UE i jej państwa członkowskie nie mają spójnych i porównywalnych danych oraz wskaźników praw człowieka dotyczących kobiet i dziewcząt z niepełnosprawnością, a także badań na temat sytuacji kobiet i dziewcząt z niepełnosprawnością w UE</w:t>
      </w:r>
      <w:r w:rsidR="009D5C72" w:rsidRPr="00B459FD">
        <w:rPr>
          <w:rStyle w:val="FootnoteReference"/>
        </w:rPr>
        <w:footnoteReference w:id="17"/>
      </w:r>
      <w:r w:rsidRPr="00B459FD">
        <w:t>. Zarówno na szczeblu UE, jak i</w:t>
      </w:r>
      <w:r w:rsidR="002A5EA4" w:rsidRPr="00B459FD">
        <w:t> </w:t>
      </w:r>
      <w:r w:rsidRPr="00B459FD">
        <w:t>krajowym problemy kobiet i dziewcząt z niepełnosprawnością powinny zostać uwzględnione na etapie gromadzenia danych i statystyk z uwzględnieniem aspektu płci oraz wieku oraz w</w:t>
      </w:r>
      <w:r w:rsidR="002A5EA4" w:rsidRPr="00B459FD">
        <w:t> </w:t>
      </w:r>
      <w:r w:rsidRPr="00B459FD">
        <w:t>istniejących szeregach i badaniach statystycznych zgodnie z zasadami Konwencji ONZ o</w:t>
      </w:r>
      <w:r w:rsidR="002A5EA4" w:rsidRPr="00B459FD">
        <w:t> </w:t>
      </w:r>
      <w:r w:rsidRPr="00B459FD">
        <w:t>prawach osób niepełnosprawnych. Niezbędne jest ustanowienie mechanizmu monitorowania postępów i finansowania gromadzenia danych, analiz i badań na temat kobiet i dziewcząt z</w:t>
      </w:r>
      <w:r w:rsidR="002A5EA4" w:rsidRPr="00B459FD">
        <w:t> </w:t>
      </w:r>
      <w:r w:rsidRPr="00B459FD">
        <w:t>niepełnosprawnością oraz dyskryminacji intersekcjonalnej, z którą się zmagają, uwzględniającego najbardziej zmarginalizowane grupy społeczne takie jak mniejszości etniczne i religijne, w celu ukierunkowania planowania polityki. Wszystkie badania na temat praw osób niepełnosprawnych powinny uwzględniać perspektywę płci, a badania dotyczące kobiet i</w:t>
      </w:r>
      <w:r w:rsidR="002A5EA4" w:rsidRPr="00B459FD">
        <w:t> </w:t>
      </w:r>
      <w:r w:rsidRPr="00B459FD">
        <w:t>dziewcząt powinny brać pod uwagę perspektywę osób z niepełnosprawnością.</w:t>
      </w:r>
    </w:p>
    <w:p w:rsidR="00E5793A" w:rsidRPr="00B459FD" w:rsidRDefault="00E5793A" w:rsidP="002906C2">
      <w:pPr>
        <w:suppressAutoHyphens/>
      </w:pPr>
    </w:p>
    <w:p w:rsidR="00E5793A" w:rsidRPr="00B459FD" w:rsidRDefault="00E5793A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Wykorzystanie obecnych i przyszłych instrumentów finansowych UE, szczególnie funduszy strukturalnych i Europejskiego Funduszu Społecznego, powinno być kluczowym instrumentem wspierającym państwa członkowskie w promowaniu dostępności dla kobiet i dziewcząt z</w:t>
      </w:r>
      <w:r w:rsidR="002A5EA4" w:rsidRPr="00B459FD">
        <w:t> </w:t>
      </w:r>
      <w:r w:rsidRPr="00B459FD">
        <w:t>niepełnosprawnością</w:t>
      </w:r>
      <w:r w:rsidR="009D5C72" w:rsidRPr="00B459FD">
        <w:rPr>
          <w:rStyle w:val="FootnoteReference"/>
        </w:rPr>
        <w:footnoteReference w:id="18"/>
      </w:r>
      <w:r w:rsidRPr="00B459FD">
        <w:t xml:space="preserve"> oraz ich niedyskryminacji, a także podnoszeniu świadomości i</w:t>
      </w:r>
      <w:r w:rsidR="002A5EA4" w:rsidRPr="00B459FD">
        <w:t> </w:t>
      </w:r>
      <w:r w:rsidRPr="00B459FD">
        <w:t>zwiększeniu widoczności możliwości finansowania środków tego rodzaju w programach po 2020 r. Organizacje osób z niepełnosprawnością powinny otrzymywać dostępne informacje i</w:t>
      </w:r>
      <w:r w:rsidR="002A5EA4" w:rsidRPr="00B459FD">
        <w:t> </w:t>
      </w:r>
      <w:r w:rsidRPr="00B459FD">
        <w:t>wsparcie w zakresie dostępu do możliwości finansowania.</w:t>
      </w:r>
    </w:p>
    <w:p w:rsidR="00E5793A" w:rsidRPr="00B459FD" w:rsidRDefault="00E5793A" w:rsidP="002906C2">
      <w:pPr>
        <w:suppressAutoHyphens/>
        <w:overflowPunct/>
        <w:adjustRightInd/>
        <w:textAlignment w:val="auto"/>
      </w:pPr>
    </w:p>
    <w:p w:rsidR="00E5793A" w:rsidRPr="00B459FD" w:rsidRDefault="00E5793A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Kobiety i dziewczęta z niepełnosprawnościami są bardziej zagrożone dyskryminacją z wielu przyczyn jednocześnie i dyskryminacją intersekcjonalną w Europie. Połączenie rasy, pochodzenia etnicznego, klasy społecznej, wieku, orientacji seksualnej, narodowości, religii, płci, niepełnosprawności, statusu uchodźcy lub migranta itp. ma efekt mnożnikowy, który pogłębia dyskryminację kobiet i dziewcząt z niepełnosprawnością</w:t>
      </w:r>
      <w:r w:rsidR="009D5C72" w:rsidRPr="00B459FD">
        <w:rPr>
          <w:rStyle w:val="FootnoteReference"/>
        </w:rPr>
        <w:footnoteReference w:id="19"/>
      </w:r>
      <w:r w:rsidRPr="00B459FD">
        <w:t>. Dyskryminacja wynika ze sposobu budowania tożsamości, braku uznania różnorodności kobiet z niepełnosprawnością i</w:t>
      </w:r>
      <w:r w:rsidR="002A5EA4" w:rsidRPr="00B459FD">
        <w:t> </w:t>
      </w:r>
      <w:r w:rsidRPr="00B459FD">
        <w:t>tendencji do traktowania kobiet z niepełnosprawnością we wszystkich sferach społecznych jako jednorodnej grupy, a także postrzegania ich realiów z perspektywy wykluczenia</w:t>
      </w:r>
      <w:r w:rsidR="009D5C72" w:rsidRPr="00B459FD">
        <w:rPr>
          <w:rStyle w:val="FootnoteReference"/>
        </w:rPr>
        <w:footnoteReference w:id="20"/>
      </w:r>
      <w:r w:rsidR="00B459FD" w:rsidRPr="00B459FD">
        <w:t>. UE </w:t>
      </w:r>
      <w:r w:rsidRPr="00B459FD">
        <w:t>i</w:t>
      </w:r>
      <w:r w:rsidR="002A5EA4" w:rsidRPr="00B459FD">
        <w:t> </w:t>
      </w:r>
      <w:r w:rsidRPr="00B459FD">
        <w:t xml:space="preserve">państwa członkowskie powinny uchylić całe dyskryminujące prawodawstwo, politykę </w:t>
      </w:r>
      <w:r w:rsidRPr="00B459FD">
        <w:lastRenderedPageBreak/>
        <w:t>i</w:t>
      </w:r>
      <w:r w:rsidR="002A5EA4" w:rsidRPr="00B459FD">
        <w:t> </w:t>
      </w:r>
      <w:r w:rsidRPr="00B459FD">
        <w:t>praktyki, a także zakazać wszelkiej dyskryminacji ze względu na płeć i niepełnosprawność oraz jej form krzyżowych, między innymi poprzez przyjęcie skutecznych i obszernych przepisów UE chroniących kobiety z niepełnosprawnością przed dyskryminacją intersekcjonalną we wszystkich dziedzinach życia</w:t>
      </w:r>
      <w:r w:rsidR="009D5C72" w:rsidRPr="00B459FD">
        <w:rPr>
          <w:rStyle w:val="FootnoteReference"/>
        </w:rPr>
        <w:footnoteReference w:id="21"/>
      </w:r>
      <w:r w:rsidRPr="00B459FD">
        <w:t>.</w:t>
      </w:r>
    </w:p>
    <w:p w:rsidR="004A3BFD" w:rsidRPr="00B459FD" w:rsidRDefault="004A3BFD" w:rsidP="002906C2">
      <w:pPr>
        <w:suppressAutoHyphens/>
        <w:overflowPunct/>
        <w:adjustRightInd/>
        <w:textAlignment w:val="auto"/>
      </w:pPr>
    </w:p>
    <w:p w:rsidR="00E5793A" w:rsidRPr="00B459FD" w:rsidRDefault="00E5793A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Historia, postawa i uprzedzenia danej społeczności, w tym kręgu rodzinnego, doprowadziły do powstania negatywnego stereotypu kobiet i dziewcząt z niepełnosprawnością, tym samym przyczyniając się do ich izolacji społecznej i wykluczenia społecznego. Są one prawie całkowicie pomijane przez media, a kiedy już się pojawiają, są traktowane z aseksualnej perspektywy medycznej i pomija się ich zdolności i wkład w otaczające środowisko</w:t>
      </w:r>
      <w:r w:rsidR="009D5C72" w:rsidRPr="00B459FD">
        <w:rPr>
          <w:rStyle w:val="FootnoteReference"/>
        </w:rPr>
        <w:footnoteReference w:id="22"/>
      </w:r>
      <w:r w:rsidRPr="00B459FD">
        <w:t>. Kobiety i</w:t>
      </w:r>
      <w:r w:rsidR="002A5EA4" w:rsidRPr="00B459FD">
        <w:t> </w:t>
      </w:r>
      <w:r w:rsidRPr="00B459FD">
        <w:t>dziewczęta z niepełnosprawnością nie są wystarczająco świadome swych praw wynikających z</w:t>
      </w:r>
      <w:r w:rsidR="002A5EA4" w:rsidRPr="00B459FD">
        <w:t> </w:t>
      </w:r>
      <w:r w:rsidRPr="00B459FD">
        <w:t>Konwencji o prawach osób niepełnosprawnych, Konwencji w sprawie likwidacji wszelkich form dyskryminacji kobiet oraz prawa UE. UE i państwa członkowskie powinny opracować kompleksową kampanię na rzecz podnoszenia świadomości na temat Konwencji o prawach osób niepełnosprawnych i Konwencji w sprawie likwidacji wszelkich form dyskryminacji kobiet, podnosić widoczność sytuacji kobiet z niepełnosprawnością, a także walczyć z</w:t>
      </w:r>
      <w:r w:rsidR="002A5EA4" w:rsidRPr="00B459FD">
        <w:t> </w:t>
      </w:r>
      <w:r w:rsidRPr="00B459FD">
        <w:t>uprzedzeniami w stosunku do kobiet i dziewcząt z niepełnosprawnością</w:t>
      </w:r>
      <w:r w:rsidR="009D5C72" w:rsidRPr="00B459FD">
        <w:rPr>
          <w:rStyle w:val="FootnoteReference"/>
        </w:rPr>
        <w:footnoteReference w:id="23"/>
      </w:r>
      <w:r w:rsidRPr="00B459FD">
        <w:t>. W mediach należy promować konsultacje z kobietami z niepełnosprawnością i angażowanie ich. Jeżeli to możliwe, powinny one być mianowane przez swoje organizacje, które powinny również brać udział w</w:t>
      </w:r>
      <w:r w:rsidR="002A5EA4" w:rsidRPr="00B459FD">
        <w:t> </w:t>
      </w:r>
      <w:r w:rsidRPr="00B459FD">
        <w:t>prezentacjach i monitorować programy. Organizacje osób z niepełnosprawnością powinny otrzymać niezbędne środki finansowe na informowanie i szkolenie kobiet i dziewcząt z</w:t>
      </w:r>
      <w:r w:rsidR="002A5EA4" w:rsidRPr="00B459FD">
        <w:t> </w:t>
      </w:r>
      <w:r w:rsidRPr="00B459FD">
        <w:t>niepełnosprawnością i ich rodzin na temat ich praw wynikających z Konwencji o prawach osób niepełnosprawnych.</w:t>
      </w:r>
    </w:p>
    <w:p w:rsidR="00E5793A" w:rsidRPr="00B459FD" w:rsidRDefault="00E5793A" w:rsidP="002906C2">
      <w:pPr>
        <w:suppressAutoHyphens/>
        <w:overflowPunct/>
        <w:adjustRightInd/>
        <w:textAlignment w:val="auto"/>
      </w:pPr>
    </w:p>
    <w:p w:rsidR="00E5793A" w:rsidRPr="00B459FD" w:rsidRDefault="00E5793A" w:rsidP="002906C2">
      <w:pPr>
        <w:pStyle w:val="Heading2"/>
        <w:suppressAutoHyphens/>
        <w:overflowPunct/>
        <w:adjustRightInd/>
        <w:ind w:left="567" w:hanging="567"/>
        <w:textAlignment w:val="auto"/>
      </w:pPr>
      <w:r w:rsidRPr="00B459FD">
        <w:t>Jako organ administracji publicznej UE ma obowiązek wdrażania Konwencji o prawach osób niepełnosprawnych w obrębie swych instytucji. Ponadto powinna zadbać o to, by problemy kobiet i dziewcząt z niepełnosprawnością były w pełni uwzględnione podczas jej wydarzeń i</w:t>
      </w:r>
      <w:r w:rsidR="002A5EA4" w:rsidRPr="00B459FD">
        <w:t> </w:t>
      </w:r>
      <w:r w:rsidRPr="00B459FD">
        <w:t>posiedzeń, działań komunikacyjnych, informacyjnych i konsultacyjnych, a także polityki zabezpieczenia społecznego i polityki zatrudnienia, i podjąć starania w celu uwzględnienia problematyki płci w swych budżetach. Należy podjąć działania pozytywne w celu zapewnienia kobietom z niepełnosprawnością udziału, na równych zasadach z innymi osobami, w</w:t>
      </w:r>
      <w:r w:rsidR="002A5EA4" w:rsidRPr="00B459FD">
        <w:t> </w:t>
      </w:r>
      <w:r w:rsidRPr="00B459FD">
        <w:t>działalności i funkcjonowania instytucji UE.</w:t>
      </w:r>
    </w:p>
    <w:p w:rsidR="00E5793A" w:rsidRPr="00B459FD" w:rsidRDefault="00E5793A" w:rsidP="002906C2">
      <w:pPr>
        <w:suppressAutoHyphens/>
        <w:overflowPunct/>
        <w:adjustRightInd/>
        <w:textAlignment w:val="auto"/>
      </w:pPr>
    </w:p>
    <w:p w:rsidR="00E5793A" w:rsidRPr="00B459FD" w:rsidRDefault="00520E16" w:rsidP="002906C2">
      <w:pPr>
        <w:pStyle w:val="Heading1"/>
        <w:tabs>
          <w:tab w:val="left" w:pos="567"/>
        </w:tabs>
        <w:suppressAutoHyphens/>
        <w:overflowPunct/>
        <w:adjustRightInd/>
        <w:textAlignment w:val="auto"/>
      </w:pPr>
      <w:r w:rsidRPr="00B459FD">
        <w:rPr>
          <w:b/>
        </w:rPr>
        <w:tab/>
        <w:t>Uwagi szczegółowe</w:t>
      </w:r>
    </w:p>
    <w:p w:rsidR="00F51EAD" w:rsidRPr="00B459FD" w:rsidRDefault="00F51EAD" w:rsidP="002906C2">
      <w:pPr>
        <w:suppressAutoHyphens/>
        <w:overflowPunct/>
        <w:adjustRightInd/>
        <w:textAlignment w:val="auto"/>
      </w:pPr>
    </w:p>
    <w:p w:rsidR="00F51EAD" w:rsidRPr="00B459FD" w:rsidRDefault="00F51EAD" w:rsidP="002906C2">
      <w:pPr>
        <w:pStyle w:val="Heading2"/>
        <w:suppressAutoHyphens/>
        <w:ind w:left="567" w:hanging="567"/>
      </w:pPr>
      <w:r w:rsidRPr="00B459FD">
        <w:rPr>
          <w:b/>
        </w:rPr>
        <w:t>Przemoc</w:t>
      </w:r>
    </w:p>
    <w:p w:rsidR="00B317F8" w:rsidRPr="00B459FD" w:rsidRDefault="00B317F8" w:rsidP="002906C2">
      <w:pPr>
        <w:suppressAutoHyphens/>
        <w:overflowPunct/>
        <w:adjustRightInd/>
        <w:textAlignment w:val="auto"/>
      </w:pPr>
    </w:p>
    <w:p w:rsidR="00F51EAD" w:rsidRPr="00B459FD" w:rsidRDefault="00F51EAD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 xml:space="preserve">Kobietom z niepełnosprawnością w porównaniu z innymi kobietami w większym stopniu grożą przemoc, wykorzystywanie i nadużycia. Przemoc może mieć charakter interpersonalny, instytucjonalny i strukturalny. Przemoc instytucjonalna i strukturalna jest wszelką formą nierówności strukturalnej lub dyskryminacji instytucjonalnej, która utrzymuje kobietę </w:t>
      </w:r>
      <w:r w:rsidRPr="00B459FD">
        <w:lastRenderedPageBreak/>
        <w:t>w</w:t>
      </w:r>
      <w:r w:rsidR="002A5EA4" w:rsidRPr="00B459FD">
        <w:t> </w:t>
      </w:r>
      <w:r w:rsidRPr="00B459FD">
        <w:t>podrzędnej pozycji, czy to pod względem fizycznym, czy ideologicznym, w porównaniu z</w:t>
      </w:r>
      <w:r w:rsidR="002A5EA4" w:rsidRPr="00B459FD">
        <w:t> </w:t>
      </w:r>
      <w:r w:rsidRPr="00B459FD">
        <w:t>innymi osobami w jej rodzinie, domu rodzinnym czy społeczności</w:t>
      </w:r>
      <w:r w:rsidR="009D5C72" w:rsidRPr="00B459FD">
        <w:rPr>
          <w:rStyle w:val="FootnoteReference"/>
        </w:rPr>
        <w:footnoteReference w:id="24"/>
      </w:r>
      <w:r w:rsidRPr="00B459FD">
        <w:t>. W badaniu Agencji Praw Podstawowych Unii Europejskiej z 2014 r. oszacowano, że kobiety i dziewczęta z</w:t>
      </w:r>
      <w:r w:rsidR="002A5EA4" w:rsidRPr="00B459FD">
        <w:t> </w:t>
      </w:r>
      <w:r w:rsidRPr="00B459FD">
        <w:t>niepełnosprawnością są 3–5 razy bardziej narażone na przemoc, zwłaszcza domową</w:t>
      </w:r>
      <w:r w:rsidR="009D5C72" w:rsidRPr="00B459FD">
        <w:rPr>
          <w:rStyle w:val="FootnoteReference"/>
        </w:rPr>
        <w:footnoteReference w:id="25"/>
      </w:r>
      <w:r w:rsidR="00B459FD" w:rsidRPr="00B459FD">
        <w:t>.</w:t>
      </w:r>
    </w:p>
    <w:p w:rsidR="00B317F8" w:rsidRPr="00B459FD" w:rsidRDefault="00B317F8" w:rsidP="002906C2">
      <w:pPr>
        <w:suppressAutoHyphens/>
        <w:overflowPunct/>
        <w:adjustRightInd/>
        <w:textAlignment w:val="auto"/>
      </w:pPr>
    </w:p>
    <w:p w:rsidR="00F51EAD" w:rsidRPr="00B459FD" w:rsidRDefault="00F51EAD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Europejskie i krajowe przepisy dotyczące zapobiegania wykorzystywaniu, przemocy i</w:t>
      </w:r>
      <w:r w:rsidR="002A5EA4" w:rsidRPr="00B459FD">
        <w:t> </w:t>
      </w:r>
      <w:r w:rsidRPr="00B459FD">
        <w:t>nadużyciom często nie uwzględniają kobiet i dziewcząt z niepełnosprawnością. UE powinna przedsięwziąć niezbędne środki w celu uwzględnienia niepełnosprawności we wszystkich przepisach, politykach i strategiach w celu rozwiązania problemu przemocy, nadużywania i</w:t>
      </w:r>
      <w:r w:rsidR="002A5EA4" w:rsidRPr="00B459FD">
        <w:t> </w:t>
      </w:r>
      <w:r w:rsidRPr="00B459FD">
        <w:t>wykorzystywania</w:t>
      </w:r>
      <w:r w:rsidR="009D5C72" w:rsidRPr="00B459FD">
        <w:rPr>
          <w:rStyle w:val="FootnoteReference"/>
        </w:rPr>
        <w:footnoteReference w:id="26"/>
      </w:r>
      <w:r w:rsidRPr="00B459FD">
        <w:t>. Przemoc wobec kobiet powinna być uznawana za przestępstwo. Należy przedsięwziąć wszelkie odpowiednie działania ustawodawcze, administracyjne, społeczne i</w:t>
      </w:r>
      <w:r w:rsidR="002A5EA4" w:rsidRPr="00B459FD">
        <w:t> </w:t>
      </w:r>
      <w:r w:rsidRPr="00B459FD">
        <w:t>edukacyjne w celu ochrony kobiet i dziewcząt z niepełnosprawnością zarówno w warunkach domowych, jak i poza domem przed wszelkimi rodzajami wykorzystywania, przemocy i</w:t>
      </w:r>
      <w:r w:rsidR="002A5EA4" w:rsidRPr="00B459FD">
        <w:t> </w:t>
      </w:r>
      <w:r w:rsidRPr="00B459FD">
        <w:t>nadużyć oraz ułatwienia im dostępu do wymiaru sprawiedliwości poprzez zapewnianie odpowiedniego wsparcia i pomocy w ramach społeczności przy uwzględnieniu ich specyficznych potrzeb, w tym odpowiednich urządzeń, aby uniknąć izolacji i zamknięcia w</w:t>
      </w:r>
      <w:r w:rsidR="002A5EA4" w:rsidRPr="00B459FD">
        <w:t> </w:t>
      </w:r>
      <w:r w:rsidRPr="00B459FD">
        <w:t>domu</w:t>
      </w:r>
      <w:r w:rsidR="009D5C72" w:rsidRPr="00B459FD">
        <w:rPr>
          <w:rStyle w:val="FootnoteReference"/>
        </w:rPr>
        <w:footnoteReference w:id="27"/>
      </w:r>
      <w:r w:rsidRPr="00B459FD">
        <w:t>.</w:t>
      </w:r>
    </w:p>
    <w:p w:rsidR="00B317F8" w:rsidRPr="00B459FD" w:rsidRDefault="00B317F8" w:rsidP="002906C2">
      <w:pPr>
        <w:suppressAutoHyphens/>
        <w:overflowPunct/>
        <w:adjustRightInd/>
        <w:textAlignment w:val="auto"/>
      </w:pPr>
    </w:p>
    <w:p w:rsidR="00F51EAD" w:rsidRPr="00B459FD" w:rsidRDefault="00F51EAD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UE i państwa członkowskie powinny szybko przystąpić do Konwencji Rady Europy o</w:t>
      </w:r>
      <w:r w:rsidR="002A5EA4" w:rsidRPr="00B459FD">
        <w:t> </w:t>
      </w:r>
      <w:r w:rsidRPr="00B459FD">
        <w:t>zapobieganiu i zwalczaniu przemocy wobec kobiet i przemocy domowej (konwencji stambulskiej), co będzie kolejnym krokiem na drodze do zwalczania przemocy wobec kobiet i</w:t>
      </w:r>
      <w:r w:rsidR="002A5EA4" w:rsidRPr="00B459FD">
        <w:t> </w:t>
      </w:r>
      <w:r w:rsidRPr="00B459FD">
        <w:t>dziewcząt z niepełnosprawnością. Środki te powinny obejmować kryminalizację przemocy seksualnej i innych form przemocy wobec kobiet i dziewcząt z niepełnosprawnością, w tym zniesienie przymusowej sterylizacji</w:t>
      </w:r>
      <w:r w:rsidR="009E7548" w:rsidRPr="00B459FD">
        <w:rPr>
          <w:rStyle w:val="FootnoteReference"/>
        </w:rPr>
        <w:footnoteReference w:id="28"/>
      </w:r>
      <w:r w:rsidRPr="00B459FD">
        <w:t>.</w:t>
      </w:r>
    </w:p>
    <w:p w:rsidR="00180FFC" w:rsidRPr="00B459FD" w:rsidRDefault="00180FFC" w:rsidP="002906C2">
      <w:pPr>
        <w:suppressAutoHyphens/>
        <w:overflowPunct/>
        <w:adjustRightInd/>
        <w:textAlignment w:val="auto"/>
      </w:pPr>
    </w:p>
    <w:p w:rsidR="00180FFC" w:rsidRPr="00B459FD" w:rsidRDefault="00180FFC" w:rsidP="002906C2">
      <w:pPr>
        <w:pStyle w:val="Heading2"/>
        <w:suppressAutoHyphens/>
        <w:ind w:left="567" w:hanging="567"/>
      </w:pPr>
      <w:r w:rsidRPr="00B459FD">
        <w:rPr>
          <w:b/>
        </w:rPr>
        <w:t>Zdrowie seksualne i prokreacyjne oraz prawa, w tym poszanowanie domu i rodziny</w:t>
      </w:r>
    </w:p>
    <w:p w:rsidR="00B317F8" w:rsidRPr="00B459FD" w:rsidRDefault="00B317F8" w:rsidP="002906C2">
      <w:pPr>
        <w:suppressAutoHyphens/>
        <w:overflowPunct/>
        <w:adjustRightInd/>
        <w:textAlignment w:val="auto"/>
      </w:pPr>
    </w:p>
    <w:p w:rsidR="00180FFC" w:rsidRPr="00B459FD" w:rsidRDefault="00180FFC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Bezprawna stereotypizacja związana z niepełnosprawnością oraz płcią jest formą dyskryminacji, która ma szczególnie poważny wpływ na korzystanie ze zdrowia seksualnego i</w:t>
      </w:r>
      <w:r w:rsidR="002A5EA4" w:rsidRPr="00B459FD">
        <w:t> </w:t>
      </w:r>
      <w:r w:rsidRPr="00B459FD">
        <w:t>prokreacyjnego oraz praw w tym względzie, a także z prawa do założenia rodziny. Do szkodliwych stereotypów dotyczących kobiet z niepełnosprawnością należy przekonanie, że są one aseksualne, niekompetentne, irracjonalne lub nadmiernie pobudzone seksualnie</w:t>
      </w:r>
      <w:r w:rsidR="009E7548" w:rsidRPr="00B459FD">
        <w:rPr>
          <w:rStyle w:val="FootnoteReference"/>
        </w:rPr>
        <w:footnoteReference w:id="29"/>
      </w:r>
      <w:r w:rsidR="00B459FD" w:rsidRPr="00B459FD">
        <w:t>.</w:t>
      </w:r>
    </w:p>
    <w:p w:rsidR="002D1719" w:rsidRPr="00B459FD" w:rsidRDefault="002D1719" w:rsidP="002906C2">
      <w:pPr>
        <w:suppressAutoHyphens/>
        <w:overflowPunct/>
        <w:adjustRightInd/>
        <w:textAlignment w:val="auto"/>
      </w:pPr>
    </w:p>
    <w:p w:rsidR="00180FFC" w:rsidRPr="00B459FD" w:rsidRDefault="00180FFC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Wybory kobiet z niepełnosprawnością, szczególnie kobiet z zaburzeniami psychospołecznymi i</w:t>
      </w:r>
      <w:r w:rsidR="002A5EA4" w:rsidRPr="00B459FD">
        <w:t> </w:t>
      </w:r>
      <w:r w:rsidRPr="00B459FD">
        <w:t>niepełnosprawnością intelektualną, są często ignorowane, a decyzje w ich imieniu podejmują osoby trzecie, w tym przedstawiciele ustawowi, dostawcy usług, opiekunowie i członkowie rodzin, łamiąc ich prawa wynikające z art. 12 Konwencji o prawach osób niepełnosprawnych</w:t>
      </w:r>
      <w:r w:rsidR="009E7548" w:rsidRPr="00B459FD">
        <w:rPr>
          <w:rStyle w:val="FootnoteReference"/>
        </w:rPr>
        <w:footnoteReference w:id="30"/>
      </w:r>
      <w:r w:rsidRPr="00B459FD">
        <w:t xml:space="preserve">. </w:t>
      </w:r>
      <w:r w:rsidRPr="00B459FD">
        <w:lastRenderedPageBreak/>
        <w:t>Zbyt często zdarza się, że kobiety i dziewczęta z niepełnosprawnością są poddawane sterylizacji i aborcji lub innym formom kontrolowania płodności. UE i państwa członkowskie powinny przedsięwziąć wszystkie środki w celu zadbania o to, by wszystkie kobiety z</w:t>
      </w:r>
      <w:r w:rsidR="002A5EA4" w:rsidRPr="00B459FD">
        <w:t> </w:t>
      </w:r>
      <w:r w:rsidRPr="00B459FD">
        <w:t>niepełnosprawnością były w stanie korzystać ze swej zdolności prawnej, podejmując swoje własne decyzje, jeżeli to pożądane korzystając ze wsparcia innych, odnośnie do usług leczniczych i postępowania terapeutycznego, między innymi decyzje w sprawie zachowania płodności i niezależności prokreacyjnej, korzystając z prawa do decyzji o liczbie dzieci i</w:t>
      </w:r>
      <w:r w:rsidR="002A5EA4" w:rsidRPr="00B459FD">
        <w:t> </w:t>
      </w:r>
      <w:r w:rsidRPr="00B459FD">
        <w:t>odstępach między ich narodzinami oraz kwestiach dotyczących swej seksualności i z prawa do tworzenia związków. Powinno się to odbywać bez przymusu, dyskryminacji i przemocy. Przymusowa sterylizacja i przymusowa aborcja stanowią formy przemocy wobec kobiet i</w:t>
      </w:r>
      <w:r w:rsidR="002A5EA4" w:rsidRPr="00B459FD">
        <w:t> </w:t>
      </w:r>
      <w:r w:rsidRPr="00B459FD">
        <w:t>należy je traktować jako przestępstwo, zgodnie z definicją zawartą w art. 39 Konwencji Rady Europy w sprawie zapobiegania i zwalczania przemocy wobec kobiet i przemocy domowej</w:t>
      </w:r>
      <w:r w:rsidR="00A65B7B" w:rsidRPr="00B459FD">
        <w:rPr>
          <w:rStyle w:val="FootnoteReference"/>
        </w:rPr>
        <w:footnoteReference w:id="31"/>
      </w:r>
      <w:r w:rsidRPr="00B459FD">
        <w:t>.</w:t>
      </w:r>
    </w:p>
    <w:p w:rsidR="002D1719" w:rsidRPr="00B459FD" w:rsidRDefault="002D1719" w:rsidP="002906C2">
      <w:pPr>
        <w:suppressAutoHyphens/>
        <w:overflowPunct/>
        <w:adjustRightInd/>
        <w:textAlignment w:val="auto"/>
      </w:pPr>
    </w:p>
    <w:p w:rsidR="00180FFC" w:rsidRPr="00B459FD" w:rsidRDefault="00180FFC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Czasami kobietom z niepełnosprawnością odmawia się również dostępu do informacji i</w:t>
      </w:r>
      <w:r w:rsidR="002A5EA4" w:rsidRPr="00B459FD">
        <w:t> </w:t>
      </w:r>
      <w:r w:rsidRPr="00B459FD">
        <w:t>komunikacji, w tym do kompleksowego zdrowia seksualnego i reprodukcyjnego w oparciu o</w:t>
      </w:r>
      <w:r w:rsidR="002A5EA4" w:rsidRPr="00B459FD">
        <w:t> </w:t>
      </w:r>
      <w:r w:rsidRPr="00B459FD">
        <w:t>szkodliwe stereotypy zakładające ich aseksualność i tym samym ich brak zapotrzebowania na takie informacje na równych prawach z innymi. Informacje mogą być również niedostępne w</w:t>
      </w:r>
      <w:r w:rsidR="002A5EA4" w:rsidRPr="00B459FD">
        <w:t> </w:t>
      </w:r>
      <w:r w:rsidRPr="00B459FD">
        <w:t>przystępnym formacie. Placówki opieki zdrowotnej oraz sprzęt, w tym mammografy i łóżka do badań ginekologicznych, są często fizycznie niedostępne dla kobiet z niepełnosprawnością</w:t>
      </w:r>
      <w:r w:rsidR="009E7548" w:rsidRPr="00B459FD">
        <w:rPr>
          <w:rStyle w:val="FootnoteReference"/>
        </w:rPr>
        <w:footnoteReference w:id="32"/>
      </w:r>
      <w:r w:rsidRPr="00B459FD">
        <w:t>. UE i państwa członkowskie powinny przedsięwziąć wszystkie środki w celu zadbania o to, by kobiety i dziewczęta z niepełnosprawnością miały równy dostęp do związanych z</w:t>
      </w:r>
      <w:r w:rsidR="002A5EA4" w:rsidRPr="00B459FD">
        <w:t> </w:t>
      </w:r>
      <w:r w:rsidRPr="00B459FD">
        <w:t>niepełnosprawnością usług zdrowotnych dla osób niepełnosprawnych, a także do przystępnych usług podstawowych, takich jak opieka dentystyczna i okulistyczna, usługi w</w:t>
      </w:r>
      <w:r w:rsidR="002A5EA4" w:rsidRPr="00B459FD">
        <w:t> </w:t>
      </w:r>
      <w:r w:rsidRPr="00B459FD">
        <w:t>zakresie zdrowia seksualnego i prokreacyjnego oraz usługi profilaktyczne w tym zakresie, w</w:t>
      </w:r>
      <w:r w:rsidR="002A5EA4" w:rsidRPr="00B459FD">
        <w:t> </w:t>
      </w:r>
      <w:r w:rsidRPr="00B459FD">
        <w:t>tym konsultacje ginekologiczne, badania medyczne, planowanie rodziny i odpowiednio dost</w:t>
      </w:r>
      <w:r w:rsidR="00B459FD" w:rsidRPr="00B459FD">
        <w:t>osowane wsparcie podczas ciąży.</w:t>
      </w:r>
    </w:p>
    <w:p w:rsidR="00F51EAD" w:rsidRPr="00B459FD" w:rsidRDefault="00F51EAD" w:rsidP="002906C2">
      <w:pPr>
        <w:suppressAutoHyphens/>
      </w:pPr>
    </w:p>
    <w:p w:rsidR="00180FFC" w:rsidRPr="00B459FD" w:rsidRDefault="00883A48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Należy podjąć niezbędne środki w zakresie szkolenia specjalistów, przede wszystkim pracowników służby zdrowia i osób działających w dziedzinie prawa, w celu zapewnienia, że w</w:t>
      </w:r>
      <w:r w:rsidR="002A5EA4" w:rsidRPr="00B459FD">
        <w:t> </w:t>
      </w:r>
      <w:r w:rsidRPr="00B459FD">
        <w:t>trakcie dochodzeń i postępowań będzie wysłuchany głos kobiet i dziewcząt z</w:t>
      </w:r>
      <w:r w:rsidR="002A5EA4" w:rsidRPr="00B459FD">
        <w:t> </w:t>
      </w:r>
      <w:r w:rsidRPr="00B459FD">
        <w:t>niepełnosprawnością. Działania te powinny być podejmowane w ścisłej współpracy z</w:t>
      </w:r>
      <w:r w:rsidR="002A5EA4" w:rsidRPr="00B459FD">
        <w:t> </w:t>
      </w:r>
      <w:r w:rsidRPr="00B459FD">
        <w:t>organizacjami reprezentującymi osoby niepełnosprawne.</w:t>
      </w:r>
    </w:p>
    <w:p w:rsidR="002D1719" w:rsidRPr="00B459FD" w:rsidRDefault="002D1719" w:rsidP="002906C2">
      <w:pPr>
        <w:suppressAutoHyphens/>
      </w:pPr>
    </w:p>
    <w:p w:rsidR="00E5793A" w:rsidRPr="00B459FD" w:rsidRDefault="00E5793A" w:rsidP="002906C2">
      <w:pPr>
        <w:pStyle w:val="Heading2"/>
        <w:suppressAutoHyphens/>
        <w:ind w:left="567" w:hanging="567"/>
      </w:pPr>
      <w:r w:rsidRPr="00B459FD">
        <w:rPr>
          <w:b/>
        </w:rPr>
        <w:t>Kształcenie i szkolenie</w:t>
      </w:r>
    </w:p>
    <w:p w:rsidR="00E5793A" w:rsidRPr="00B459FD" w:rsidRDefault="00E5793A" w:rsidP="002906C2">
      <w:pPr>
        <w:suppressAutoHyphens/>
        <w:overflowPunct/>
        <w:adjustRightInd/>
        <w:textAlignment w:val="auto"/>
      </w:pPr>
    </w:p>
    <w:p w:rsidR="00E5793A" w:rsidRPr="00B459FD" w:rsidRDefault="00E5793A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Krzywdzące stereotypy dotyczące płci i niepełnosprawności zaogniają dyskryminujące postawy, polityki i praktyki takie jak: przypisywanie większej wartości kształceniu chłopców niż dziewcząt, stosowanie materiałów edukacyjnych szerzących błędne stereotypy dotyczące płci i niepełnosprawności, zachęcanie do małżeństw z dziewczynkami z niepełnosprawnością, udział w opartym na płci życiu rodzinnym, przydzielanie roli opiekunek kobietom i</w:t>
      </w:r>
      <w:r w:rsidR="002A5EA4" w:rsidRPr="00B459FD">
        <w:t> </w:t>
      </w:r>
      <w:r w:rsidRPr="00B459FD">
        <w:t xml:space="preserve">dziewczynkom, a także brak dostępnych instalacji sanitarnych w szkołach. Z kolei zjawiska te </w:t>
      </w:r>
      <w:r w:rsidRPr="00B459FD">
        <w:lastRenderedPageBreak/>
        <w:t>prowadzą do wyższego poziomu analfabetyzmu, niepowodzeń w szkole, nierównej codziennej frekwencji szkolnej, absencji i wczesnego kończenia szkoły</w:t>
      </w:r>
      <w:r w:rsidR="009E7548" w:rsidRPr="00B459FD">
        <w:rPr>
          <w:rStyle w:val="FootnoteReference"/>
        </w:rPr>
        <w:footnoteReference w:id="33"/>
      </w:r>
      <w:r w:rsidRPr="00B459FD">
        <w:t>.</w:t>
      </w:r>
    </w:p>
    <w:p w:rsidR="00E5793A" w:rsidRPr="00B459FD" w:rsidRDefault="00E5793A" w:rsidP="002906C2">
      <w:pPr>
        <w:suppressAutoHyphens/>
        <w:overflowPunct/>
        <w:adjustRightInd/>
        <w:textAlignment w:val="auto"/>
      </w:pPr>
    </w:p>
    <w:p w:rsidR="00E5793A" w:rsidRPr="00B459FD" w:rsidRDefault="00E5793A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Analiza porównawcza UE pokazała, że w 2011 r. jedynie 27 % osób z niepełnosprawnością w</w:t>
      </w:r>
      <w:r w:rsidR="002A5EA4" w:rsidRPr="00B459FD">
        <w:t> </w:t>
      </w:r>
      <w:r w:rsidRPr="00B459FD">
        <w:t>wieku 30–34 lat ukończyło uczelnię wyższą lub równoważną w UE</w:t>
      </w:r>
      <w:r w:rsidR="009E7548" w:rsidRPr="00B459FD">
        <w:rPr>
          <w:rStyle w:val="FootnoteReference"/>
        </w:rPr>
        <w:footnoteReference w:id="34"/>
      </w:r>
      <w:r w:rsidRPr="00B459FD">
        <w:t>. Brakuje jednak danych na temat kobiet i dziewcząt z niepełnosprawnością. W europejskich szkołach i różnych państwach członkowskich UE wiele dziewcząt i kobiet z niepełnosprawnością nie może uzyskać dostępu do włączającej, wysokiej jakości edukacji zgodnej z Konwencją o prawach osób niepełnosprawnych. Dowiedziono, że kryzys finansowy wpłynął negatywnie na wysiłki zmierzające do edukacji włączającej.</w:t>
      </w:r>
    </w:p>
    <w:p w:rsidR="00E5793A" w:rsidRPr="00B459FD" w:rsidRDefault="00E5793A" w:rsidP="002906C2">
      <w:pPr>
        <w:suppressAutoHyphens/>
        <w:overflowPunct/>
        <w:adjustRightInd/>
        <w:textAlignment w:val="auto"/>
      </w:pPr>
    </w:p>
    <w:p w:rsidR="00E5793A" w:rsidRPr="00B459FD" w:rsidRDefault="00E5793A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Podstawową edukację włączającą dla kobiet i dziewcząt z niepełnosprawnością trzeba postrzegać przez pryzmat wysokiej jakości, równych szans, wsparcia i odpowiedniego zakwaterowania</w:t>
      </w:r>
      <w:r w:rsidR="009E7548" w:rsidRPr="00B459FD">
        <w:rPr>
          <w:rStyle w:val="FootnoteReference"/>
        </w:rPr>
        <w:footnoteReference w:id="35"/>
      </w:r>
      <w:r w:rsidRPr="00B459FD">
        <w:t xml:space="preserve"> i powszechnej dostępności przez cały cykl życia, dbając o to, by kobiety z</w:t>
      </w:r>
      <w:r w:rsidR="002A5EA4" w:rsidRPr="00B459FD">
        <w:t> </w:t>
      </w:r>
      <w:r w:rsidRPr="00B459FD">
        <w:t>niepełnosprawnością mogły uzyskać dostęp do kształcenia dorosłych jako sposobu zwiększenia niezależności osobistej, rozwoju osobistego i włączenia społecznego przy jednoczesnym stałym korzystaniu z prawa do samodzielnego podejmowania decyzji oraz wyboru sposobu życia. Rodzice uczniów z niepełnosprawnością powinni być wyposażeni w</w:t>
      </w:r>
      <w:r w:rsidR="002A5EA4" w:rsidRPr="00B459FD">
        <w:t> </w:t>
      </w:r>
      <w:r w:rsidRPr="00B459FD">
        <w:t>odpowiednie informacje na temat korzyści płynących z powszechnej edukacji sprzyjającej włączeniu społecznemu.</w:t>
      </w:r>
    </w:p>
    <w:p w:rsidR="00E5793A" w:rsidRPr="00B459FD" w:rsidRDefault="00E5793A" w:rsidP="002906C2">
      <w:pPr>
        <w:suppressAutoHyphens/>
        <w:overflowPunct/>
        <w:adjustRightInd/>
        <w:textAlignment w:val="auto"/>
        <w:rPr>
          <w:i/>
        </w:rPr>
      </w:pPr>
    </w:p>
    <w:p w:rsidR="00E5793A" w:rsidRPr="00B459FD" w:rsidRDefault="00E5793A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UE i państwa członkowskie powinny ocenić obecną sytuację i przedsięwziąć środki ułatwiające dostęp do włączającej, wysokiej jakości edukacji dla wszystkich uczniów z</w:t>
      </w:r>
      <w:r w:rsidR="002A5EA4" w:rsidRPr="00B459FD">
        <w:t> </w:t>
      </w:r>
      <w:r w:rsidRPr="00B459FD">
        <w:t>niepełnosprawnością zgodnie z Konwencją o prawach osób niepełnosprawnych i korzystanie z</w:t>
      </w:r>
      <w:r w:rsidR="002A5EA4" w:rsidRPr="00B459FD">
        <w:t> </w:t>
      </w:r>
      <w:r w:rsidRPr="00B459FD">
        <w:t>niej, promując zastosowanie europejskich instrumentów finansowych, i uwzględnić wskaźniki związane z niepełnosprawnością w strategii „Europa 2020” na etap</w:t>
      </w:r>
      <w:r w:rsidR="00B459FD" w:rsidRPr="00B459FD">
        <w:t>ie realizacji celu kształcenia.</w:t>
      </w:r>
    </w:p>
    <w:p w:rsidR="00E5793A" w:rsidRPr="00B459FD" w:rsidRDefault="00E5793A" w:rsidP="002906C2">
      <w:pPr>
        <w:suppressAutoHyphens/>
        <w:overflowPunct/>
        <w:adjustRightInd/>
        <w:textAlignment w:val="auto"/>
        <w:rPr>
          <w:i/>
        </w:rPr>
      </w:pPr>
    </w:p>
    <w:p w:rsidR="00E5793A" w:rsidRPr="00B459FD" w:rsidRDefault="00177E82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W ostatnich latach poprawiono odpowiednie rozporządzenia i programy wymiany studentów (takie jak Erasmus+), włączając wsparcie finansowe mobilności studentów niepełnosprawnych. Jednak w praktyce studenci z niepełnosprawnością napotykają wiele przeszkód w dostępie do krajowych usług edukacyjnych kraju przeznaczenia (podejście, przeszkody fizyczne, komunikacyjne i informacyjne, brak elastyczności programu nauczania)</w:t>
      </w:r>
      <w:r w:rsidR="009E7548" w:rsidRPr="00B459FD">
        <w:rPr>
          <w:rStyle w:val="FootnoteReference"/>
        </w:rPr>
        <w:footnoteReference w:id="36"/>
      </w:r>
      <w:r w:rsidRPr="00B459FD">
        <w:t>. Programy UE dotyczące szkolnictwa wyższego, szkolenia i uczenia się przez całe życie powinny obejmować wsparcie dla kobiet z niepełnosprawnością. Europejski program wymiany w dziedzinie przedsiębiorczości powinien obejmować wsparcie finansowe dla młodych osób z</w:t>
      </w:r>
      <w:r w:rsidR="002A5EA4" w:rsidRPr="00B459FD">
        <w:t> </w:t>
      </w:r>
      <w:r w:rsidRPr="00B459FD">
        <w:t>niepełnosprawnością, co obecnie nie jest możliwe. Należy rozpowszechniać dobre praktyki i</w:t>
      </w:r>
      <w:r w:rsidR="002A5EA4" w:rsidRPr="00B459FD">
        <w:t> </w:t>
      </w:r>
      <w:r w:rsidRPr="00B459FD">
        <w:t>zadania w ramach programu wymiany studentów i młodych przedsiębiorców oraz zapewnić szkolenia dla specjalistów w zakresie edukacji, partnerów społecznych i mediów.</w:t>
      </w:r>
    </w:p>
    <w:p w:rsidR="00E5793A" w:rsidRPr="00B459FD" w:rsidRDefault="00E5793A" w:rsidP="002906C2">
      <w:pPr>
        <w:suppressAutoHyphens/>
      </w:pPr>
    </w:p>
    <w:p w:rsidR="00167A3D" w:rsidRPr="00B459FD" w:rsidRDefault="00167A3D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lastRenderedPageBreak/>
        <w:t>Kobietom i dziewczętom z niepełnosprawnością należy zapewnić równy dostęp do różnych elementów systemów ICT i społeczeństwa informacyjnego. Przy opracowywaniu technologii informacyjnych i komunikacyjnych konieczne jest uwzględnienie czynników ekonomicznych, zapotrzebowania na szkolenia oraz równych szans niezależnie od wieku, tak aby zapewnić dostęp do nich niepełnosprawnym kobietom i dziewczętom narażonym na ryzyko ubóstwa lub wykluczenia społecznego.</w:t>
      </w:r>
    </w:p>
    <w:p w:rsidR="00B510BE" w:rsidRPr="00B459FD" w:rsidRDefault="00B510BE" w:rsidP="00B459FD">
      <w:pPr>
        <w:suppressAutoHyphens/>
      </w:pPr>
    </w:p>
    <w:p w:rsidR="00E5793A" w:rsidRPr="00B459FD" w:rsidRDefault="00E5793A" w:rsidP="002906C2">
      <w:pPr>
        <w:pStyle w:val="Heading2"/>
        <w:suppressAutoHyphens/>
        <w:ind w:left="567" w:hanging="567"/>
      </w:pPr>
      <w:r w:rsidRPr="00B459FD">
        <w:rPr>
          <w:b/>
        </w:rPr>
        <w:t>Zatrudnienie</w:t>
      </w:r>
    </w:p>
    <w:p w:rsidR="00E5793A" w:rsidRPr="00B459FD" w:rsidRDefault="00E5793A" w:rsidP="002906C2">
      <w:pPr>
        <w:suppressAutoHyphens/>
      </w:pPr>
    </w:p>
    <w:p w:rsidR="00E5793A" w:rsidRPr="00B459FD" w:rsidRDefault="00E5793A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Ogółem udział kobiet w rynku pracy jest znacznie niższy niż mężczyzn (46,6 % w porównaniu z 61,9 %). Rynki pracy we wszystkich państwach członkowskich wskazują na stałą i znaczną segregację płciową. Kobiety z niepełnosprawnością są jednak znacznie bardziej wykluczone z</w:t>
      </w:r>
      <w:r w:rsidR="002A5EA4" w:rsidRPr="00B459FD">
        <w:t> </w:t>
      </w:r>
      <w:r w:rsidRPr="00B459FD">
        <w:t>rynku pracy. Zgodnie ze wskaźnikiem równouprawnienia płci Europejskiego Instytutu ds.</w:t>
      </w:r>
      <w:r w:rsidR="002A5EA4" w:rsidRPr="00B459FD">
        <w:t> </w:t>
      </w:r>
      <w:r w:rsidRPr="00B459FD">
        <w:t>Równości Kobiet i Mężczyzn z 2015 r. jedynie 18,8 % kobiet z niepełnosprawnością jest zatrudnionych w UE. 28,1 % mężczyzn z niepełnosprawnością posiada zatrudnienie. Wysoki wskaźnik bezrobocia kobiet z niepełnosprawnością jest niedopuszczalny i zwiększa prawdopodobieństwo, że będą one żyły w ubóstwie i wykluczeniu społecznym. Kobiety i</w:t>
      </w:r>
      <w:r w:rsidR="002A5EA4" w:rsidRPr="00B459FD">
        <w:t> </w:t>
      </w:r>
      <w:r w:rsidRPr="00B459FD">
        <w:t>dziewczęta z niepełnosprawnością mają większe trudności w dostępie do rynku pracy, co utrudnia im prowadzenie samodzielnego trybu życia. Otrzymują często niedostateczne wynagrodzenie. Przeszkody w mobilności oraz większa zależność od członków rodziny i</w:t>
      </w:r>
      <w:r w:rsidR="002A5EA4" w:rsidRPr="00B459FD">
        <w:t> </w:t>
      </w:r>
      <w:r w:rsidRPr="00B459FD">
        <w:t>opiekunów utrudniają im czynny udział w kształceniu, rynku pracy oraz życiu społecznym i</w:t>
      </w:r>
      <w:r w:rsidR="002A5EA4" w:rsidRPr="00B459FD">
        <w:t> </w:t>
      </w:r>
      <w:r w:rsidRPr="00B459FD">
        <w:t>gospodarczym społeczności</w:t>
      </w:r>
      <w:r w:rsidR="009E7548" w:rsidRPr="00B459FD">
        <w:rPr>
          <w:rStyle w:val="FootnoteReference"/>
        </w:rPr>
        <w:footnoteReference w:id="37"/>
      </w:r>
      <w:r w:rsidRPr="00B459FD">
        <w:t>.</w:t>
      </w:r>
    </w:p>
    <w:p w:rsidR="00E5793A" w:rsidRPr="00B459FD" w:rsidRDefault="00E5793A" w:rsidP="002906C2">
      <w:pPr>
        <w:suppressAutoHyphens/>
        <w:overflowPunct/>
        <w:adjustRightInd/>
        <w:textAlignment w:val="auto"/>
      </w:pPr>
    </w:p>
    <w:p w:rsidR="00E5793A" w:rsidRPr="00B459FD" w:rsidRDefault="00E5793A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Biorąc pod uwagę wysoki wskaźnik bezrobocia i bierności zawodowej kobiet z</w:t>
      </w:r>
      <w:r w:rsidR="002A5EA4" w:rsidRPr="00B459FD">
        <w:t> </w:t>
      </w:r>
      <w:r w:rsidRPr="00B459FD">
        <w:t>niepełnosprawnością, UE i państwa członkowskie muszą opracować podstawowe i szczególne działania ukierunkowane na kobiety niepełnosprawne w celu promowania szkoleń, pośrednictwa pracy, dostępu do zatrudnienia, utrzymania miejsca pracy, równego wynagrodzenia za tą samą pracę, równej ścieżki kariery, dostosowań w miejscu pracy i</w:t>
      </w:r>
      <w:r w:rsidR="002A5EA4" w:rsidRPr="00B459FD">
        <w:t> </w:t>
      </w:r>
      <w:r w:rsidRPr="00B459FD">
        <w:t>równowagi między życiem zawodowym a prywatnym. Kobiety z niepełnosprawnością muszą mieć równe prawo do sprawiedliwych i korzystnych warunków pracy, w tym do równych szans i równego wynagrodzenia za pracę o tej samej wartości</w:t>
      </w:r>
      <w:r w:rsidR="009E7548" w:rsidRPr="00B459FD">
        <w:rPr>
          <w:rStyle w:val="FootnoteReference"/>
        </w:rPr>
        <w:footnoteReference w:id="38"/>
      </w:r>
      <w:r w:rsidRPr="00B459FD">
        <w:t>.</w:t>
      </w:r>
    </w:p>
    <w:p w:rsidR="00E5793A" w:rsidRPr="00B459FD" w:rsidRDefault="00E5793A" w:rsidP="002906C2">
      <w:pPr>
        <w:suppressAutoHyphens/>
        <w:overflowPunct/>
        <w:adjustRightInd/>
        <w:textAlignment w:val="auto"/>
        <w:rPr>
          <w:i/>
        </w:rPr>
      </w:pPr>
    </w:p>
    <w:p w:rsidR="00E5793A" w:rsidRPr="00B459FD" w:rsidRDefault="00E5793A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Biorąc pod uwagę instrument mikrofinansowania UE i Europejski Fundusz Socjalny w celu zwiększenia zatrudnienia i promowania włączenia społecznego, należy propagować możliwości samozatrudnienia, przedsiębiorczość kobiet z niepełnosprawnością, równą reprezentację w</w:t>
      </w:r>
      <w:r w:rsidR="002A5EA4" w:rsidRPr="00B459FD">
        <w:t> </w:t>
      </w:r>
      <w:r w:rsidRPr="00B459FD">
        <w:t>zarządach przedsiębiorstw, rozwój przedsiębiorstw społecznych czy też rozpoczynanie własnej działalności. Kobiety z niepełnosprawnością powinny mieć równe prawa do pomocy finansowej w ciągu działalności przedsiębiorstwa i powinny być postrzegane jako kompetentni przedsiębiorcy. Należy zapewnić pozytywne działania wobec kobiet z niepełnosprawnością, które są przedsiębiorczyniami, za pomocą pożyczek uprzywilejowanych, mikrokredytów i</w:t>
      </w:r>
      <w:r w:rsidR="002A5EA4" w:rsidRPr="00B459FD">
        <w:t> </w:t>
      </w:r>
      <w:r w:rsidRPr="00B459FD">
        <w:t>pożyczek niezwrotnych, z uwzględnieniem kobiet na obszarach wiejskich.</w:t>
      </w:r>
    </w:p>
    <w:p w:rsidR="00E5793A" w:rsidRPr="00B459FD" w:rsidRDefault="00E5793A" w:rsidP="002906C2">
      <w:pPr>
        <w:suppressAutoHyphens/>
        <w:overflowPunct/>
        <w:adjustRightInd/>
        <w:textAlignment w:val="auto"/>
      </w:pPr>
    </w:p>
    <w:p w:rsidR="00E5793A" w:rsidRPr="00B459FD" w:rsidRDefault="00E5793A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lastRenderedPageBreak/>
        <w:t>Wzrost liczby osób z niepełnosprawnością spotęguje obciążenia dla opiekunów, zwłaszcza opiekunów rodzin, którymi najczęściej są kobiety zmuszone do ograniczenia wymiaru pracy, a</w:t>
      </w:r>
      <w:r w:rsidR="002A5EA4" w:rsidRPr="00B459FD">
        <w:t> </w:t>
      </w:r>
      <w:r w:rsidRPr="00B459FD">
        <w:t>nawet opuszczenia rynku pracy w celu zapewnienia opieki zależnym członkom swoich rodzin</w:t>
      </w:r>
      <w:r w:rsidR="009E7548" w:rsidRPr="00B459FD">
        <w:rPr>
          <w:rStyle w:val="FootnoteReference"/>
        </w:rPr>
        <w:footnoteReference w:id="39"/>
      </w:r>
      <w:r w:rsidR="00B459FD" w:rsidRPr="00B459FD">
        <w:t>.</w:t>
      </w:r>
    </w:p>
    <w:p w:rsidR="00E5793A" w:rsidRPr="00B459FD" w:rsidRDefault="00E5793A" w:rsidP="002906C2">
      <w:pPr>
        <w:suppressAutoHyphens/>
        <w:overflowPunct/>
        <w:adjustRightInd/>
        <w:textAlignment w:val="auto"/>
      </w:pPr>
    </w:p>
    <w:p w:rsidR="00E5793A" w:rsidRPr="00B459FD" w:rsidRDefault="00E5793A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UE i państwa członkowskie powinny promować lepsze pogodzenie życia prywatnego i</w:t>
      </w:r>
      <w:r w:rsidR="002A5EA4" w:rsidRPr="00B459FD">
        <w:t> </w:t>
      </w:r>
      <w:r w:rsidRPr="00B459FD">
        <w:t>zawodowego kobiet niepełnosprawnych i opiekunów osób z niepełnosprawnością za pomocą skutecznych środków opartych na ich konkretnych potrzebach. Ewentualne środki realizacji tego celu to przejrzystość wynagrodzenia, procedury rekrutacji i świadczenia społeczne, elastyczne godziny pracy czy też telepraca w niepełnym wymiarze godzin, równowaga wydatków związanych z niepełnosprawnością w okresie macierzyństwa i opieki nad innymi osobami potrzebującymi dużego wsparcia, promowanie powszechnego dostępu do wysokiej jakości, przystępnych cenowo usług wsparcia o różnych porach dnia takich jak przedszkola czy też usługi opiekuńcze dla starszych i innych osób mających dużą potrzebę wsparcia. Wszystkie te środki mogą pomóc w realizacji tego celu</w:t>
      </w:r>
      <w:r w:rsidR="009E7548" w:rsidRPr="00B459FD">
        <w:rPr>
          <w:rStyle w:val="FootnoteReference"/>
        </w:rPr>
        <w:footnoteReference w:id="40"/>
      </w:r>
      <w:r w:rsidR="00B459FD" w:rsidRPr="00B459FD">
        <w:t>.</w:t>
      </w:r>
    </w:p>
    <w:p w:rsidR="00E5793A" w:rsidRPr="00B459FD" w:rsidRDefault="00E5793A" w:rsidP="002906C2">
      <w:pPr>
        <w:suppressAutoHyphens/>
        <w:overflowPunct/>
        <w:adjustRightInd/>
        <w:textAlignment w:val="auto"/>
      </w:pPr>
    </w:p>
    <w:p w:rsidR="00E5793A" w:rsidRPr="00B459FD" w:rsidRDefault="00E5793A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UE i państwa członkowskie powinny uwzględnić kobiety z niepełnosprawnością i ich rodziny w proponowanej dyrektywie w sprawie równowagi między życiem zawodowym a prywatnym rodziców i opiekunów i innych środkach politycznych poprawiających równowagę między życiem zawodowym a prywatnym pracowników i opiekunów</w:t>
      </w:r>
      <w:r w:rsidR="009E7548" w:rsidRPr="00B459FD">
        <w:rPr>
          <w:rStyle w:val="FootnoteReference"/>
        </w:rPr>
        <w:footnoteReference w:id="41"/>
      </w:r>
      <w:r w:rsidRPr="00B459FD">
        <w:t>.</w:t>
      </w:r>
    </w:p>
    <w:p w:rsidR="00E5793A" w:rsidRPr="00B459FD" w:rsidRDefault="00E5793A" w:rsidP="002906C2">
      <w:pPr>
        <w:suppressAutoHyphens/>
        <w:overflowPunct/>
        <w:adjustRightInd/>
        <w:textAlignment w:val="auto"/>
      </w:pPr>
    </w:p>
    <w:p w:rsidR="00E5793A" w:rsidRPr="00B459FD" w:rsidRDefault="00E5793A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Osoby z niepełnosprawnością borykają się również z wyjątkowymi przeszkodami w równym udziale w miejscu pracy, w tym z molestowaniem seksualnym, nierównym wynagrodzeniem i</w:t>
      </w:r>
      <w:r w:rsidR="002A5EA4" w:rsidRPr="00B459FD">
        <w:t> </w:t>
      </w:r>
      <w:r w:rsidRPr="00B459FD">
        <w:t>brakiem dostępu do dochodzenia roszczeń z powodu dyskryminacyjnej postawy skutkującej odrzuceniem roszczeń. UE i państwa członkowskie powinny również zadbać o bezpieczne i</w:t>
      </w:r>
      <w:r w:rsidR="002A5EA4" w:rsidRPr="00B459FD">
        <w:t> </w:t>
      </w:r>
      <w:r w:rsidRPr="00B459FD">
        <w:t>zdrowe warunki pracy dla kobiet z niepełnosprawnością i opiekunów osób z</w:t>
      </w:r>
      <w:r w:rsidR="002A5EA4" w:rsidRPr="00B459FD">
        <w:t> </w:t>
      </w:r>
      <w:r w:rsidRPr="00B459FD">
        <w:t>niepełnosprawnością, w tym o ochronę przed molestowaniem i uzyskanie odszkodowania. Należy zapobiegać nękaniu w miejscu pracy, przyjmując skuteczne procedury postępowania w</w:t>
      </w:r>
      <w:r w:rsidR="002A5EA4" w:rsidRPr="00B459FD">
        <w:t> </w:t>
      </w:r>
      <w:r w:rsidRPr="00B459FD">
        <w:t>przypadku nękania zgodnie z zastosowaniem dyrektywy UE 2000/78</w:t>
      </w:r>
      <w:r w:rsidR="009E7548" w:rsidRPr="00B459FD">
        <w:rPr>
          <w:rStyle w:val="FootnoteReference"/>
        </w:rPr>
        <w:footnoteReference w:id="42"/>
      </w:r>
      <w:r w:rsidRPr="00B459FD">
        <w:t>.</w:t>
      </w:r>
    </w:p>
    <w:p w:rsidR="002D1719" w:rsidRPr="00B459FD" w:rsidRDefault="002D1719" w:rsidP="002906C2">
      <w:pPr>
        <w:suppressAutoHyphens/>
        <w:overflowPunct/>
        <w:adjustRightInd/>
        <w:textAlignment w:val="auto"/>
      </w:pPr>
    </w:p>
    <w:p w:rsidR="00594261" w:rsidRPr="00B459FD" w:rsidRDefault="00594261" w:rsidP="002906C2">
      <w:pPr>
        <w:pStyle w:val="Heading2"/>
        <w:suppressAutoHyphens/>
        <w:ind w:left="567" w:hanging="567"/>
      </w:pPr>
      <w:r w:rsidRPr="00B459FD">
        <w:rPr>
          <w:b/>
        </w:rPr>
        <w:t>Uczestnictwo w życiu politycznym i publicznym</w:t>
      </w:r>
    </w:p>
    <w:p w:rsidR="004A3BFD" w:rsidRPr="00B459FD" w:rsidRDefault="004A3BFD" w:rsidP="002906C2">
      <w:pPr>
        <w:suppressAutoHyphens/>
        <w:overflowPunct/>
        <w:adjustRightInd/>
        <w:textAlignment w:val="auto"/>
      </w:pPr>
    </w:p>
    <w:p w:rsidR="00594261" w:rsidRPr="00B459FD" w:rsidRDefault="00594261" w:rsidP="002906C2">
      <w:pPr>
        <w:pStyle w:val="Heading3"/>
        <w:suppressAutoHyphens/>
        <w:overflowPunct/>
        <w:adjustRightInd/>
        <w:ind w:left="567" w:hanging="567"/>
        <w:textAlignment w:val="auto"/>
      </w:pPr>
      <w:r w:rsidRPr="00B459FD">
        <w:t>Na przestrzeni wieków głosy kobiet i dziewcząt z niepełnosprawnością nie były słyszane, w</w:t>
      </w:r>
      <w:r w:rsidR="002A5EA4" w:rsidRPr="00B459FD">
        <w:t> </w:t>
      </w:r>
      <w:r w:rsidRPr="00B459FD">
        <w:t>związku z czym ich udział w podejmowaniu decyzji publicznych jest nieproporcjonalnie niski. W większości państw członkowskich UE pozbawienie obywateli z niepełnosprawnością zdolności prawnej prowadzi do utraty prawa do głosowania. Przeszkody w prawie do głosowania przyjmują również formę niedostępnych procedur głosowania, w tym niedostępnych punktów wyborczych</w:t>
      </w:r>
      <w:r w:rsidR="009E7548" w:rsidRPr="00B459FD">
        <w:rPr>
          <w:rStyle w:val="FootnoteReference"/>
        </w:rPr>
        <w:footnoteReference w:id="43"/>
      </w:r>
      <w:r w:rsidRPr="00B459FD">
        <w:t xml:space="preserve">. UE powinna zadbać o to, by kobiety z niepełnosprawnością mogły </w:t>
      </w:r>
      <w:r w:rsidRPr="00B459FD">
        <w:lastRenderedPageBreak/>
        <w:t>w</w:t>
      </w:r>
      <w:r w:rsidR="002A5EA4" w:rsidRPr="00B459FD">
        <w:t> </w:t>
      </w:r>
      <w:r w:rsidRPr="00B459FD">
        <w:t>pełni uczestniczyć w życiu publicznym i politycznym, a zwłaszcza w wyborach do Parlamentu Europejskiego w 2019 r.</w:t>
      </w:r>
    </w:p>
    <w:p w:rsidR="004A3BFD" w:rsidRPr="00B459FD" w:rsidRDefault="004A3BFD" w:rsidP="002906C2">
      <w:pPr>
        <w:suppressAutoHyphens/>
        <w:overflowPunct/>
        <w:adjustRightInd/>
        <w:textAlignment w:val="auto"/>
      </w:pPr>
    </w:p>
    <w:p w:rsidR="00594261" w:rsidRPr="00B459FD" w:rsidRDefault="00594261" w:rsidP="002906C2">
      <w:pPr>
        <w:pStyle w:val="Heading3"/>
        <w:suppressAutoHyphens/>
      </w:pPr>
      <w:r w:rsidRPr="00B459FD">
        <w:t>Ze względu na brak równowagi sił i dyskryminację z wielu przyczyn jednocześnie mają one mniej możliwości założenia organizacji reprezentujących ich potrzeby jako kobiet, dzieci i</w:t>
      </w:r>
      <w:r w:rsidR="002A5EA4" w:rsidRPr="00B459FD">
        <w:t> </w:t>
      </w:r>
      <w:r w:rsidRPr="00B459FD">
        <w:t>osób z niepełnosprawnością, a także mniej możliwości przystąpienia do nich. Unia powinna przedsięwziąć środki zachęcające kobiety z niepełnosprawnością do przyjęcia roli przywódczej w publicznych organach decyzyjnych na wszystkich szczeblach i umożliwić im tworzenie organizacji i sieci kobiet z niepełnosprawnością, a także przyłączanie się do nich</w:t>
      </w:r>
      <w:r w:rsidR="009E7548" w:rsidRPr="00B459FD">
        <w:rPr>
          <w:rStyle w:val="FootnoteReference"/>
        </w:rPr>
        <w:footnoteReference w:id="44"/>
      </w:r>
      <w:r w:rsidRPr="00B459FD">
        <w:t>. Należy zapewnić programy szkoleń i opieki mentorskiej dla kobiet z niepełnosprawnością, tak aby mogły wkroczyć do życia politycznego i publicznego.</w:t>
      </w:r>
    </w:p>
    <w:p w:rsidR="002D1719" w:rsidRPr="00B459FD" w:rsidRDefault="002D1719" w:rsidP="002906C2">
      <w:pPr>
        <w:suppressAutoHyphens/>
        <w:overflowPunct/>
        <w:adjustRightInd/>
        <w:textAlignment w:val="auto"/>
      </w:pPr>
    </w:p>
    <w:p w:rsidR="00646AC2" w:rsidRPr="00B459FD" w:rsidRDefault="00646AC2" w:rsidP="002906C2">
      <w:pPr>
        <w:suppressAutoHyphens/>
        <w:overflowPunct/>
        <w:adjustRightInd/>
        <w:jc w:val="center"/>
        <w:textAlignment w:val="auto"/>
      </w:pPr>
      <w:r w:rsidRPr="00B459FD">
        <w:t>_____________</w:t>
      </w:r>
    </w:p>
    <w:sectPr w:rsidR="00646AC2" w:rsidRPr="00B459FD" w:rsidSect="002906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17" w:right="1417" w:bottom="1417" w:left="141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AE" w:rsidRDefault="00A325AE">
      <w:r>
        <w:separator/>
      </w:r>
    </w:p>
  </w:endnote>
  <w:endnote w:type="continuationSeparator" w:id="0">
    <w:p w:rsidR="00A325AE" w:rsidRDefault="00A3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E5" w:rsidRPr="002906C2" w:rsidRDefault="001511E5" w:rsidP="00290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AE" w:rsidRPr="002906C2" w:rsidRDefault="002906C2" w:rsidP="002906C2">
    <w:pPr>
      <w:pStyle w:val="Footer"/>
    </w:pPr>
    <w:r>
      <w:t xml:space="preserve">SOC/579 – EESC-2018-01639-00-02-PA-TRA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917BC8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= </w:instrText>
    </w:r>
    <w:r w:rsidR="00917BC8">
      <w:fldChar w:fldCharType="begin"/>
    </w:r>
    <w:r w:rsidR="00917BC8">
      <w:instrText xml:space="preserve"> NUMPAGES </w:instrText>
    </w:r>
    <w:r w:rsidR="00917BC8">
      <w:fldChar w:fldCharType="separate"/>
    </w:r>
    <w:r w:rsidR="00917BC8">
      <w:rPr>
        <w:noProof/>
      </w:rPr>
      <w:instrText>14</w:instrText>
    </w:r>
    <w:r w:rsidR="00917BC8">
      <w:rPr>
        <w:noProof/>
      </w:rPr>
      <w:fldChar w:fldCharType="end"/>
    </w:r>
    <w:r>
      <w:instrText xml:space="preserve"> -0 </w:instrText>
    </w:r>
    <w:r>
      <w:fldChar w:fldCharType="separate"/>
    </w:r>
    <w:r w:rsidR="00917BC8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E5" w:rsidRPr="002906C2" w:rsidRDefault="001511E5" w:rsidP="002906C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AE" w:rsidRPr="002906C2" w:rsidRDefault="00A325AE" w:rsidP="002906C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AE" w:rsidRPr="002906C2" w:rsidRDefault="002906C2" w:rsidP="002906C2">
    <w:pPr>
      <w:pStyle w:val="Footer"/>
    </w:pPr>
    <w:r>
      <w:t xml:space="preserve">SOC/579 – EESC-2018-01639-00-02-PA-TRA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917BC8">
      <w:rPr>
        <w:noProof/>
      </w:rPr>
      <w:t>14</w:t>
    </w:r>
    <w:r>
      <w:fldChar w:fldCharType="end"/>
    </w:r>
    <w:r>
      <w:t>/</w:t>
    </w:r>
    <w:r>
      <w:fldChar w:fldCharType="begin"/>
    </w:r>
    <w:r>
      <w:instrText xml:space="preserve"> = </w:instrText>
    </w:r>
    <w:r w:rsidR="00917BC8">
      <w:fldChar w:fldCharType="begin"/>
    </w:r>
    <w:r w:rsidR="00917BC8">
      <w:instrText xml:space="preserve"> NUMPAGES </w:instrText>
    </w:r>
    <w:r w:rsidR="00917BC8">
      <w:fldChar w:fldCharType="separate"/>
    </w:r>
    <w:r w:rsidR="00917BC8">
      <w:rPr>
        <w:noProof/>
      </w:rPr>
      <w:instrText>14</w:instrText>
    </w:r>
    <w:r w:rsidR="00917BC8">
      <w:rPr>
        <w:noProof/>
      </w:rPr>
      <w:fldChar w:fldCharType="end"/>
    </w:r>
    <w:r>
      <w:instrText xml:space="preserve"> -0 </w:instrText>
    </w:r>
    <w:r>
      <w:fldChar w:fldCharType="separate"/>
    </w:r>
    <w:r w:rsidR="00917BC8">
      <w:rPr>
        <w:noProof/>
      </w:rPr>
      <w:t>14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AE" w:rsidRPr="002906C2" w:rsidRDefault="00A325AE" w:rsidP="00290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AE" w:rsidRDefault="00A325AE">
      <w:r>
        <w:separator/>
      </w:r>
    </w:p>
  </w:footnote>
  <w:footnote w:type="continuationSeparator" w:id="0">
    <w:p w:rsidR="00A325AE" w:rsidRDefault="00A325AE">
      <w:r>
        <w:continuationSeparator/>
      </w:r>
    </w:p>
  </w:footnote>
  <w:footnote w:id="1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1" w:history="1">
        <w:r w:rsidRPr="002906C2">
          <w:rPr>
            <w:rStyle w:val="Hyperlink"/>
          </w:rPr>
          <w:t>Konwencja ONZ o prawach osób niepełnosprawnych (UNCRPD), uwaga ogólna nr 3 (CRPD/C/GC/3), s. 1</w:t>
        </w:r>
      </w:hyperlink>
      <w:r w:rsidRPr="002906C2">
        <w:t xml:space="preserve">; EDF </w:t>
      </w:r>
      <w:hyperlink r:id="rId2" w:history="1">
        <w:r w:rsidRPr="002906C2">
          <w:rPr>
            <w:rStyle w:val="Hyperlink"/>
          </w:rPr>
          <w:t>Alternatywne sprawozdanie dla UNCRPD, s. 57</w:t>
        </w:r>
      </w:hyperlink>
      <w:r w:rsidRPr="002906C2">
        <w:t xml:space="preserve">. </w:t>
      </w:r>
    </w:p>
  </w:footnote>
  <w:footnote w:id="2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3" w:history="1">
        <w:r w:rsidRPr="002906C2">
          <w:rPr>
            <w:rStyle w:val="Hyperlink"/>
          </w:rPr>
          <w:t>Konwencja ONZ o prawach osób niepełnosprawnych</w:t>
        </w:r>
      </w:hyperlink>
      <w:r w:rsidRPr="002906C2">
        <w:t>.</w:t>
      </w:r>
    </w:p>
  </w:footnote>
  <w:footnote w:id="3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4" w:history="1">
        <w:r w:rsidRPr="002906C2">
          <w:rPr>
            <w:rStyle w:val="Hyperlink"/>
          </w:rPr>
          <w:t>Konwencja ONZ o prawach osób niepełnosprawnych, Końcowe uwagi na temat sprawozdania wstępnego Unii Europejskiej, Organizacja Narodów Zjednoczonych (art. 6 CRPD/C/EU/CO/1)</w:t>
        </w:r>
      </w:hyperlink>
      <w:r w:rsidRPr="002906C2">
        <w:t>.</w:t>
      </w:r>
    </w:p>
  </w:footnote>
  <w:footnote w:id="4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5" w:history="1">
        <w:r w:rsidRPr="002906C2">
          <w:rPr>
            <w:rStyle w:val="Hyperlink"/>
          </w:rPr>
          <w:t>Sprawozdanie w sprawie kobiet niepełnosprawnych, Parlament Europejski, 14 października 2013 r., s. 6</w:t>
        </w:r>
      </w:hyperlink>
      <w:r w:rsidRPr="002906C2">
        <w:t>.</w:t>
      </w:r>
    </w:p>
  </w:footnote>
  <w:footnote w:id="5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6" w:history="1">
        <w:r w:rsidRPr="002906C2">
          <w:rPr>
            <w:rStyle w:val="Hyperlink"/>
          </w:rPr>
          <w:t>Zob. przyp. 3, art.</w:t>
        </w:r>
      </w:hyperlink>
      <w:hyperlink r:id="rId7" w:history="1">
        <w:r w:rsidRPr="002906C2">
          <w:rPr>
            <w:rStyle w:val="Hyperlink"/>
          </w:rPr>
          <w:t>4 ust. 3.</w:t>
        </w:r>
      </w:hyperlink>
      <w:r w:rsidRPr="002906C2">
        <w:t xml:space="preserve">; </w:t>
      </w:r>
      <w:hyperlink r:id="rId8" w:history="1">
        <w:r w:rsidRPr="002906C2">
          <w:rPr>
            <w:rStyle w:val="Hyperlink"/>
          </w:rPr>
          <w:t>Zob. przyp. 1, s. 17</w:t>
        </w:r>
      </w:hyperlink>
      <w:r w:rsidRPr="002906C2">
        <w:t>.</w:t>
      </w:r>
    </w:p>
  </w:footnote>
  <w:footnote w:id="6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9" w:history="1">
        <w:r w:rsidRPr="002906C2">
          <w:rPr>
            <w:rStyle w:val="Hyperlink"/>
          </w:rPr>
          <w:t>Zob. przyp. 4, s. 9</w:t>
        </w:r>
      </w:hyperlink>
      <w:r w:rsidRPr="002906C2">
        <w:t>.</w:t>
      </w:r>
    </w:p>
  </w:footnote>
  <w:footnote w:id="7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10" w:history="1">
        <w:r w:rsidRPr="002906C2">
          <w:rPr>
            <w:rStyle w:val="Hyperlink"/>
          </w:rPr>
          <w:t>Zob. przyp. 3, art.16</w:t>
        </w:r>
      </w:hyperlink>
      <w:r w:rsidRPr="002906C2">
        <w:t>.</w:t>
      </w:r>
    </w:p>
  </w:footnote>
  <w:footnote w:id="8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11" w:history="1">
        <w:r w:rsidRPr="002906C2">
          <w:rPr>
            <w:rStyle w:val="Hyperlink"/>
          </w:rPr>
          <w:t>Sprawozdanie w sprawie położenia kresu przymusowej sterylizacji kobiet i dziewcząt niepełnosprawnych, Europejskie Forum Niepełnosprawności, 2018, s. 49</w:t>
        </w:r>
      </w:hyperlink>
      <w:r w:rsidRPr="002906C2">
        <w:t>.</w:t>
      </w:r>
    </w:p>
  </w:footnote>
  <w:footnote w:id="9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12" w:history="1">
        <w:r w:rsidRPr="002906C2">
          <w:rPr>
            <w:rStyle w:val="Hyperlink"/>
          </w:rPr>
          <w:t>2. manifest praw kobiet i dziewcząt niepełnosprawnych w Unii Europejskiej, Europejskie Forum N</w:t>
        </w:r>
        <w:r w:rsidR="005F425A">
          <w:rPr>
            <w:rStyle w:val="Hyperlink"/>
          </w:rPr>
          <w:t>iepełnosprawności 2011, s. 18 i </w:t>
        </w:r>
        <w:r w:rsidRPr="002906C2">
          <w:rPr>
            <w:rStyle w:val="Hyperlink"/>
          </w:rPr>
          <w:t>34</w:t>
        </w:r>
      </w:hyperlink>
      <w:r w:rsidRPr="002906C2">
        <w:t>.</w:t>
      </w:r>
    </w:p>
  </w:footnote>
  <w:footnote w:id="10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13" w:history="1">
        <w:r w:rsidRPr="002906C2">
          <w:rPr>
            <w:rStyle w:val="Hyperlink"/>
          </w:rPr>
          <w:t>Zob. przypis 9, s. 4</w:t>
        </w:r>
      </w:hyperlink>
      <w:r w:rsidRPr="002906C2">
        <w:t>.</w:t>
      </w:r>
    </w:p>
  </w:footnote>
  <w:footnote w:id="11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  <w:t>Moduł ad hoc badania aktywności ekonomicznej ludności UE (BAEL) na temat osób niepełnosprawnych i długoterminowych problemów zdrowotnych, 2002.</w:t>
      </w:r>
    </w:p>
  </w:footnote>
  <w:footnote w:id="12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14" w:history="1">
        <w:r w:rsidRPr="002906C2">
          <w:rPr>
            <w:rStyle w:val="Hyperlink"/>
          </w:rPr>
          <w:t>Zob. przyp. 4, s. 24</w:t>
        </w:r>
      </w:hyperlink>
      <w:r w:rsidRPr="002906C2">
        <w:t>.</w:t>
      </w:r>
    </w:p>
  </w:footnote>
  <w:footnote w:id="13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15" w:history="1">
        <w:r w:rsidRPr="002906C2">
          <w:rPr>
            <w:rStyle w:val="Hyperlink"/>
          </w:rPr>
          <w:t>Konwencja ONZ o prawach osób niepełnosprawnych</w:t>
        </w:r>
      </w:hyperlink>
      <w:r w:rsidRPr="002906C2">
        <w:t>.</w:t>
      </w:r>
    </w:p>
  </w:footnote>
  <w:footnote w:id="14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16" w:history="1">
        <w:r w:rsidRPr="002906C2">
          <w:rPr>
            <w:rStyle w:val="Hyperlink"/>
          </w:rPr>
          <w:t>Zob. przyp. 3, art. 6</w:t>
        </w:r>
      </w:hyperlink>
      <w:r w:rsidRPr="002906C2">
        <w:t xml:space="preserve">; </w:t>
      </w:r>
      <w:hyperlink r:id="rId17" w:history="1">
        <w:r w:rsidRPr="002906C2">
          <w:rPr>
            <w:rStyle w:val="Hyperlink"/>
          </w:rPr>
          <w:t>Zob. przyp. 4, s. 6</w:t>
        </w:r>
      </w:hyperlink>
      <w:r w:rsidRPr="002906C2">
        <w:t>.</w:t>
      </w:r>
    </w:p>
  </w:footnote>
  <w:footnote w:id="15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18" w:history="1">
        <w:r w:rsidRPr="002906C2">
          <w:rPr>
            <w:rStyle w:val="Hyperlink"/>
          </w:rPr>
          <w:t>Zob. przyp. 3, art. 4. ust. 3</w:t>
        </w:r>
      </w:hyperlink>
      <w:r w:rsidRPr="002906C2">
        <w:t xml:space="preserve">; </w:t>
      </w:r>
      <w:hyperlink r:id="rId19" w:history="1">
        <w:r w:rsidRPr="002906C2">
          <w:rPr>
            <w:rStyle w:val="Hyperlink"/>
          </w:rPr>
          <w:t>Zob. przyp. 1, s. 17</w:t>
        </w:r>
      </w:hyperlink>
      <w:r w:rsidRPr="002906C2">
        <w:t>.</w:t>
      </w:r>
    </w:p>
  </w:footnote>
  <w:footnote w:id="16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20" w:history="1">
        <w:r w:rsidRPr="002906C2">
          <w:rPr>
            <w:rStyle w:val="Hyperlink"/>
          </w:rPr>
          <w:t>Zob. przyp. 9, s. 47</w:t>
        </w:r>
      </w:hyperlink>
      <w:r w:rsidRPr="002906C2">
        <w:t>.</w:t>
      </w:r>
    </w:p>
  </w:footnote>
  <w:footnote w:id="17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21" w:history="1">
        <w:r w:rsidRPr="002906C2">
          <w:rPr>
            <w:rStyle w:val="Hyperlink"/>
          </w:rPr>
          <w:t>Zob. przyp. 4, s. 16</w:t>
        </w:r>
      </w:hyperlink>
      <w:r w:rsidRPr="002906C2">
        <w:t>.</w:t>
      </w:r>
    </w:p>
  </w:footnote>
  <w:footnote w:id="18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22" w:history="1">
        <w:r w:rsidRPr="002906C2">
          <w:rPr>
            <w:rStyle w:val="Hyperlink"/>
          </w:rPr>
          <w:t>Zob. przyp. 4, s. 9</w:t>
        </w:r>
      </w:hyperlink>
      <w:r w:rsidRPr="002906C2">
        <w:t>.</w:t>
      </w:r>
    </w:p>
  </w:footnote>
  <w:footnote w:id="19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23" w:history="1">
        <w:r w:rsidRPr="002906C2">
          <w:rPr>
            <w:rStyle w:val="Hyperlink"/>
          </w:rPr>
          <w:t>Zob. przyp. 1, s. 2</w:t>
        </w:r>
      </w:hyperlink>
      <w:r w:rsidRPr="002906C2">
        <w:t>.</w:t>
      </w:r>
    </w:p>
  </w:footnote>
  <w:footnote w:id="20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24" w:history="1">
        <w:r w:rsidRPr="002906C2">
          <w:rPr>
            <w:rStyle w:val="Hyperlink"/>
          </w:rPr>
          <w:t>Zob. przyp. 9, s. 52</w:t>
        </w:r>
      </w:hyperlink>
      <w:r w:rsidRPr="002906C2">
        <w:t>.</w:t>
      </w:r>
    </w:p>
  </w:footnote>
  <w:footnote w:id="21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25" w:history="1">
        <w:r w:rsidRPr="002906C2">
          <w:rPr>
            <w:rStyle w:val="Hyperlink"/>
          </w:rPr>
          <w:t>Zob. przyp. 1, s. 15</w:t>
        </w:r>
      </w:hyperlink>
      <w:r w:rsidRPr="002906C2">
        <w:t>.</w:t>
      </w:r>
    </w:p>
  </w:footnote>
  <w:footnote w:id="22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26" w:history="1">
        <w:r w:rsidRPr="002906C2">
          <w:rPr>
            <w:rStyle w:val="Hyperlink"/>
          </w:rPr>
          <w:t>Zob. przyp. 9, s. 11</w:t>
        </w:r>
      </w:hyperlink>
      <w:r w:rsidRPr="002906C2">
        <w:t>.</w:t>
      </w:r>
    </w:p>
  </w:footnote>
  <w:footnote w:id="23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27" w:history="1">
        <w:r w:rsidRPr="002906C2">
          <w:rPr>
            <w:rStyle w:val="Hyperlink"/>
          </w:rPr>
          <w:t>Zob. przyp. 3, art. 8</w:t>
        </w:r>
      </w:hyperlink>
      <w:r w:rsidRPr="002906C2">
        <w:t>.</w:t>
      </w:r>
    </w:p>
  </w:footnote>
  <w:footnote w:id="24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28" w:history="1">
        <w:r w:rsidRPr="002906C2">
          <w:rPr>
            <w:rStyle w:val="Hyperlink"/>
          </w:rPr>
          <w:t>Zob. przyp. 1, s. 8</w:t>
        </w:r>
      </w:hyperlink>
      <w:r w:rsidRPr="002906C2">
        <w:t>.</w:t>
      </w:r>
    </w:p>
  </w:footnote>
  <w:footnote w:id="25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29" w:history="1">
        <w:r w:rsidRPr="002906C2">
          <w:rPr>
            <w:rStyle w:val="Hyperlink"/>
          </w:rPr>
          <w:t>Badanie w sprawie przemocy wobec kobiet, Agencja Praw Podstawowych Unii Europejskiej, 2014, s. 186</w:t>
        </w:r>
      </w:hyperlink>
      <w:r w:rsidRPr="002906C2">
        <w:t>.</w:t>
      </w:r>
    </w:p>
  </w:footnote>
  <w:footnote w:id="26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30" w:history="1">
        <w:r w:rsidRPr="002906C2">
          <w:rPr>
            <w:rStyle w:val="Hyperlink"/>
          </w:rPr>
          <w:t>Zob. przyp. 3, art.16</w:t>
        </w:r>
      </w:hyperlink>
      <w:r w:rsidRPr="002906C2">
        <w:t>.</w:t>
      </w:r>
    </w:p>
  </w:footnote>
  <w:footnote w:id="27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31" w:history="1">
        <w:r w:rsidRPr="002906C2">
          <w:rPr>
            <w:rStyle w:val="Hyperlink"/>
          </w:rPr>
          <w:t>Zob. przyp. 9, s. 21</w:t>
        </w:r>
      </w:hyperlink>
      <w:r w:rsidRPr="002906C2">
        <w:t>.</w:t>
      </w:r>
    </w:p>
  </w:footnote>
  <w:footnote w:id="28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32" w:history="1">
        <w:r w:rsidRPr="002906C2">
          <w:rPr>
            <w:rStyle w:val="Hyperlink"/>
          </w:rPr>
          <w:t>Zob. przyp. 3, art. 16</w:t>
        </w:r>
      </w:hyperlink>
      <w:r w:rsidRPr="002906C2">
        <w:t xml:space="preserve">; </w:t>
      </w:r>
      <w:hyperlink r:id="rId33" w:history="1">
        <w:r w:rsidRPr="002906C2">
          <w:rPr>
            <w:rStyle w:val="Hyperlink"/>
          </w:rPr>
          <w:t>Zob. przyp. 8, s. 49</w:t>
        </w:r>
      </w:hyperlink>
      <w:r w:rsidRPr="002906C2">
        <w:t>.</w:t>
      </w:r>
    </w:p>
  </w:footnote>
  <w:footnote w:id="29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34" w:history="1">
        <w:r w:rsidRPr="002906C2">
          <w:rPr>
            <w:rStyle w:val="Hyperlink"/>
          </w:rPr>
          <w:t>Zob. przyp. 1, s. 10</w:t>
        </w:r>
      </w:hyperlink>
      <w:r w:rsidRPr="002906C2">
        <w:t>.</w:t>
      </w:r>
    </w:p>
  </w:footnote>
  <w:footnote w:id="30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35" w:history="1">
        <w:r w:rsidRPr="002906C2">
          <w:rPr>
            <w:rStyle w:val="Hyperlink"/>
          </w:rPr>
          <w:t>Zob. przyp. 1, s. 11</w:t>
        </w:r>
      </w:hyperlink>
      <w:r w:rsidRPr="002906C2">
        <w:t>.</w:t>
      </w:r>
    </w:p>
  </w:footnote>
  <w:footnote w:id="31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36" w:history="1">
        <w:r w:rsidRPr="002906C2">
          <w:rPr>
            <w:rStyle w:val="Hyperlink"/>
          </w:rPr>
          <w:t>Sprawozdanie w sprawie położenia kresu przymusowej sterylizacji kobiet i dziewcząt niepełnosprawnych, Europejskie Forum Niepełnosprawności, 2018, s. 49 i 50</w:t>
        </w:r>
      </w:hyperlink>
      <w:r w:rsidRPr="002906C2">
        <w:t>.</w:t>
      </w:r>
    </w:p>
  </w:footnote>
  <w:footnote w:id="32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37" w:history="1">
        <w:r w:rsidRPr="002906C2">
          <w:rPr>
            <w:rStyle w:val="Hyperlink"/>
          </w:rPr>
          <w:t>Zob. przyp. 1, s. 10</w:t>
        </w:r>
      </w:hyperlink>
      <w:r w:rsidRPr="002906C2">
        <w:t xml:space="preserve">; </w:t>
      </w:r>
      <w:hyperlink r:id="rId38" w:history="1">
        <w:r w:rsidRPr="002906C2">
          <w:rPr>
            <w:rStyle w:val="Hyperlink"/>
          </w:rPr>
          <w:t>Zob. przyp. 9, s. 34</w:t>
        </w:r>
      </w:hyperlink>
      <w:r w:rsidRPr="002906C2">
        <w:t>.</w:t>
      </w:r>
    </w:p>
  </w:footnote>
  <w:footnote w:id="33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39" w:history="1">
        <w:r w:rsidRPr="002906C2">
          <w:rPr>
            <w:rStyle w:val="Hyperlink"/>
          </w:rPr>
          <w:t>Zob. przyp. 1, s. 14</w:t>
        </w:r>
      </w:hyperlink>
      <w:r w:rsidRPr="002906C2">
        <w:t>.</w:t>
      </w:r>
    </w:p>
  </w:footnote>
  <w:footnote w:id="34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  <w:t>Dane EU-SILC z 2011 r.</w:t>
      </w:r>
    </w:p>
  </w:footnote>
  <w:footnote w:id="35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40" w:history="1">
        <w:r w:rsidRPr="002906C2">
          <w:rPr>
            <w:rStyle w:val="Hyperlink"/>
          </w:rPr>
          <w:t>Zob. przyp. 9, s. 32</w:t>
        </w:r>
      </w:hyperlink>
      <w:r w:rsidRPr="002906C2">
        <w:t>.</w:t>
      </w:r>
    </w:p>
  </w:footnote>
  <w:footnote w:id="36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41" w:history="1">
        <w:r w:rsidRPr="002906C2">
          <w:rPr>
            <w:rStyle w:val="Hyperlink"/>
          </w:rPr>
          <w:t>Alternatywne sprawozdanie Konwencji ONZ o prawach osób niepełnosprawnych, s. 43</w:t>
        </w:r>
      </w:hyperlink>
      <w:r w:rsidRPr="002906C2">
        <w:t>.</w:t>
      </w:r>
    </w:p>
  </w:footnote>
  <w:footnote w:id="37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42" w:history="1">
        <w:r w:rsidRPr="002906C2">
          <w:rPr>
            <w:rStyle w:val="Hyperlink"/>
          </w:rPr>
          <w:t>Zob. przyp. 4, s. 7</w:t>
        </w:r>
      </w:hyperlink>
      <w:r w:rsidRPr="002906C2">
        <w:t>.</w:t>
      </w:r>
    </w:p>
  </w:footnote>
  <w:footnote w:id="38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43" w:history="1">
        <w:r w:rsidRPr="002906C2">
          <w:rPr>
            <w:rStyle w:val="Hyperlink"/>
          </w:rPr>
          <w:t>Zob. przyp. 9, s. 41</w:t>
        </w:r>
      </w:hyperlink>
      <w:r w:rsidRPr="002906C2">
        <w:t>.</w:t>
      </w:r>
    </w:p>
  </w:footnote>
  <w:footnote w:id="39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44" w:history="1">
        <w:r w:rsidRPr="002906C2">
          <w:rPr>
            <w:rStyle w:val="Hyperlink"/>
          </w:rPr>
          <w:t>Zob. przyp. 9, s. 45</w:t>
        </w:r>
      </w:hyperlink>
      <w:r w:rsidRPr="002906C2">
        <w:t xml:space="preserve">; </w:t>
      </w:r>
      <w:hyperlink r:id="rId45" w:history="1">
        <w:r w:rsidRPr="002906C2">
          <w:rPr>
            <w:rStyle w:val="Hyperlink"/>
          </w:rPr>
          <w:t>Zob. przyp. 4, s. 16</w:t>
        </w:r>
      </w:hyperlink>
      <w:r w:rsidRPr="002906C2">
        <w:t>.</w:t>
      </w:r>
    </w:p>
  </w:footnote>
  <w:footnote w:id="40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46" w:history="1">
        <w:r w:rsidRPr="002906C2">
          <w:rPr>
            <w:rStyle w:val="Hyperlink"/>
          </w:rPr>
          <w:t>Zob. przyp. 4, art. 14</w:t>
        </w:r>
      </w:hyperlink>
      <w:r w:rsidRPr="002906C2">
        <w:t xml:space="preserve">; </w:t>
      </w:r>
      <w:hyperlink r:id="rId47" w:history="1">
        <w:r w:rsidRPr="002906C2">
          <w:rPr>
            <w:rStyle w:val="Hyperlink"/>
          </w:rPr>
          <w:t>Zob. przyp. 9, s. 43</w:t>
        </w:r>
      </w:hyperlink>
      <w:r w:rsidRPr="002906C2">
        <w:t>.</w:t>
      </w:r>
    </w:p>
  </w:footnote>
  <w:footnote w:id="41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48" w:history="1">
        <w:r w:rsidRPr="002906C2">
          <w:rPr>
            <w:rStyle w:val="Hyperlink"/>
          </w:rPr>
          <w:t>Zob. przyp. 3, art. 23</w:t>
        </w:r>
      </w:hyperlink>
      <w:r w:rsidRPr="002906C2">
        <w:t>.</w:t>
      </w:r>
    </w:p>
  </w:footnote>
  <w:footnote w:id="42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49" w:history="1">
        <w:r w:rsidRPr="002906C2">
          <w:rPr>
            <w:rStyle w:val="Hyperlink"/>
          </w:rPr>
          <w:t>Zob. przyp. 4, s. 25</w:t>
        </w:r>
      </w:hyperlink>
      <w:r w:rsidRPr="002906C2">
        <w:t>.</w:t>
      </w:r>
    </w:p>
  </w:footnote>
  <w:footnote w:id="43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tab/>
      </w:r>
      <w:hyperlink r:id="rId50" w:history="1">
        <w:r w:rsidRPr="002906C2">
          <w:rPr>
            <w:rStyle w:val="Hyperlink"/>
          </w:rPr>
          <w:t>Alternatywne sprawozdanie dla Konwencji ONZ o prawach osób niepełnosprawnych</w:t>
        </w:r>
      </w:hyperlink>
      <w:r w:rsidRPr="002906C2">
        <w:t>.</w:t>
      </w:r>
    </w:p>
  </w:footnote>
  <w:footnote w:id="44">
    <w:p w:rsidR="00A325AE" w:rsidRPr="002906C2" w:rsidRDefault="00A325AE" w:rsidP="005F425A">
      <w:pPr>
        <w:pStyle w:val="FootnoteText"/>
        <w:ind w:left="567" w:hanging="567"/>
      </w:pPr>
      <w:r w:rsidRPr="002906C2">
        <w:rPr>
          <w:rStyle w:val="FootnoteReference"/>
        </w:rPr>
        <w:footnoteRef/>
      </w:r>
      <w:r w:rsidRPr="002906C2">
        <w:rPr>
          <w:sz w:val="24"/>
          <w:vertAlign w:val="superscript"/>
        </w:rPr>
        <w:t xml:space="preserve"> </w:t>
      </w:r>
      <w:r w:rsidRPr="002906C2">
        <w:tab/>
      </w:r>
      <w:hyperlink r:id="rId51" w:history="1">
        <w:r w:rsidRPr="002906C2">
          <w:rPr>
            <w:rStyle w:val="Hyperlink"/>
          </w:rPr>
          <w:t>Zob. przyp. 1, s. 15</w:t>
        </w:r>
      </w:hyperlink>
      <w:r w:rsidRPr="002906C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E5" w:rsidRPr="002906C2" w:rsidRDefault="001511E5" w:rsidP="00290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E5" w:rsidRPr="002906C2" w:rsidRDefault="001511E5" w:rsidP="002906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E5" w:rsidRPr="002906C2" w:rsidRDefault="001511E5" w:rsidP="002906C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AE" w:rsidRPr="002906C2" w:rsidRDefault="00A325AE" w:rsidP="002906C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AE" w:rsidRPr="002906C2" w:rsidRDefault="00A325AE" w:rsidP="002906C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AE" w:rsidRPr="002906C2" w:rsidRDefault="00A325AE" w:rsidP="00290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5085A0A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288242A6"/>
    <w:multiLevelType w:val="multilevel"/>
    <w:tmpl w:val="B2D41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C8E36C9"/>
    <w:multiLevelType w:val="multilevel"/>
    <w:tmpl w:val="DDBAAB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0851191"/>
    <w:multiLevelType w:val="multilevel"/>
    <w:tmpl w:val="AB708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78814433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3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4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5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6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7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8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  <w:rPr>
          <w:b w:val="0"/>
        </w:rPr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9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10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11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12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13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14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15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16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  <w:rPr>
          <w:b w:val="0"/>
        </w:rPr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17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18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19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20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21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22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23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24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25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26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27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28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29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30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31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32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33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34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35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36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37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38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39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40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  <w:rPr>
          <w:b w:val="0"/>
        </w:rPr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41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42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43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44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45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46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47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48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49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50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51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52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53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54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55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56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57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  <w:rPr>
          <w:b w:val="0"/>
        </w:rPr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58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59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60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61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62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63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64">
    <w:abstractNumId w:val="0"/>
    <w:lvlOverride w:ilvl="0">
      <w:lvl w:ilvl="0">
        <w:start w:val="1"/>
        <w:numFmt w:val="decimal"/>
        <w:pStyle w:val="Heading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Heading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Heading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Heading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Heading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Heading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Heading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Heading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Heading9"/>
        <w:lvlText w:val="%1.%2.%3.%4.%5.%6.%7.%8.%9"/>
        <w:legacy w:legacy="1" w:legacySpace="144" w:legacyIndent="0"/>
        <w:lvlJc w:val="left"/>
      </w:lvl>
    </w:lvlOverride>
  </w:num>
  <w:num w:numId="65">
    <w:abstractNumId w:val="1"/>
  </w:num>
  <w:num w:numId="66">
    <w:abstractNumId w:val="0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3"/>
  </w:num>
  <w:num w:numId="72">
    <w:abstractNumId w:val="2"/>
  </w:num>
  <w:num w:numId="73">
    <w:abstractNumId w:val="4"/>
  </w:num>
  <w:num w:numId="74">
    <w:abstractNumId w:val="0"/>
  </w:num>
  <w:num w:numId="75">
    <w:abstractNumId w:val="0"/>
  </w:num>
  <w:num w:numId="76">
    <w:abstractNumId w:val="0"/>
  </w:num>
  <w:num w:numId="77">
    <w:abstractNumId w:val="0"/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0"/>
  </w:num>
  <w:num w:numId="109">
    <w:abstractNumId w:val="0"/>
  </w:num>
  <w:num w:numId="110">
    <w:abstractNumId w:val="0"/>
  </w:num>
  <w:num w:numId="111">
    <w:abstractNumId w:val="0"/>
  </w:num>
  <w:num w:numId="112">
    <w:abstractNumId w:val="0"/>
  </w:num>
  <w:num w:numId="113">
    <w:abstractNumId w:val="0"/>
  </w:num>
  <w:num w:numId="114">
    <w:abstractNumId w:val="0"/>
  </w:num>
  <w:num w:numId="115">
    <w:abstractNumId w:val="0"/>
  </w:num>
  <w:num w:numId="116">
    <w:abstractNumId w:val="0"/>
  </w:num>
  <w:num w:numId="117">
    <w:abstractNumId w:val="0"/>
  </w:num>
  <w:num w:numId="118">
    <w:abstractNumId w:val="0"/>
  </w:num>
  <w:num w:numId="119">
    <w:abstractNumId w:val="0"/>
  </w:num>
  <w:num w:numId="120">
    <w:abstractNumId w:val="0"/>
  </w:num>
  <w:num w:numId="121">
    <w:abstractNumId w:val="0"/>
  </w:num>
  <w:num w:numId="122">
    <w:abstractNumId w:val="0"/>
  </w:num>
  <w:num w:numId="123">
    <w:abstractNumId w:val="0"/>
  </w:num>
  <w:num w:numId="124">
    <w:abstractNumId w:val="0"/>
  </w:num>
  <w:num w:numId="125">
    <w:abstractNumId w:val="0"/>
  </w:num>
  <w:num w:numId="126">
    <w:abstractNumId w:val="0"/>
  </w:num>
  <w:num w:numId="127">
    <w:abstractNumId w:val="0"/>
  </w:num>
  <w:num w:numId="128">
    <w:abstractNumId w:val="0"/>
  </w:num>
  <w:num w:numId="129">
    <w:abstractNumId w:val="0"/>
  </w:num>
  <w:num w:numId="130">
    <w:abstractNumId w:val="0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8F"/>
    <w:rsid w:val="0000236B"/>
    <w:rsid w:val="00005AB9"/>
    <w:rsid w:val="00005EB9"/>
    <w:rsid w:val="00006E24"/>
    <w:rsid w:val="00007A40"/>
    <w:rsid w:val="00011D33"/>
    <w:rsid w:val="00017BEE"/>
    <w:rsid w:val="00020E6E"/>
    <w:rsid w:val="000245B2"/>
    <w:rsid w:val="00031A4B"/>
    <w:rsid w:val="00033913"/>
    <w:rsid w:val="00033E5B"/>
    <w:rsid w:val="000357A8"/>
    <w:rsid w:val="000401BC"/>
    <w:rsid w:val="000430A6"/>
    <w:rsid w:val="00043226"/>
    <w:rsid w:val="00044923"/>
    <w:rsid w:val="00050958"/>
    <w:rsid w:val="0005249C"/>
    <w:rsid w:val="000534A5"/>
    <w:rsid w:val="0005680D"/>
    <w:rsid w:val="000573BE"/>
    <w:rsid w:val="00063FB4"/>
    <w:rsid w:val="0006793E"/>
    <w:rsid w:val="00071C26"/>
    <w:rsid w:val="00072E0F"/>
    <w:rsid w:val="000735E5"/>
    <w:rsid w:val="0007392F"/>
    <w:rsid w:val="00080638"/>
    <w:rsid w:val="00087B39"/>
    <w:rsid w:val="00096502"/>
    <w:rsid w:val="000A1DE6"/>
    <w:rsid w:val="000A491A"/>
    <w:rsid w:val="000A49BB"/>
    <w:rsid w:val="000B370B"/>
    <w:rsid w:val="000C3441"/>
    <w:rsid w:val="000C6F6C"/>
    <w:rsid w:val="000C7F53"/>
    <w:rsid w:val="000D2F8E"/>
    <w:rsid w:val="000E0097"/>
    <w:rsid w:val="000F196B"/>
    <w:rsid w:val="00105361"/>
    <w:rsid w:val="001101F8"/>
    <w:rsid w:val="0011206F"/>
    <w:rsid w:val="0011656A"/>
    <w:rsid w:val="0012220C"/>
    <w:rsid w:val="00122944"/>
    <w:rsid w:val="00123C88"/>
    <w:rsid w:val="00125ABB"/>
    <w:rsid w:val="00126634"/>
    <w:rsid w:val="00133415"/>
    <w:rsid w:val="00136EA3"/>
    <w:rsid w:val="00137575"/>
    <w:rsid w:val="00144231"/>
    <w:rsid w:val="00147CCF"/>
    <w:rsid w:val="00150434"/>
    <w:rsid w:val="001511E5"/>
    <w:rsid w:val="00155721"/>
    <w:rsid w:val="0015678B"/>
    <w:rsid w:val="0016503F"/>
    <w:rsid w:val="0016674F"/>
    <w:rsid w:val="00167A3D"/>
    <w:rsid w:val="00167CA0"/>
    <w:rsid w:val="00170AB0"/>
    <w:rsid w:val="0017120D"/>
    <w:rsid w:val="001714F6"/>
    <w:rsid w:val="00174EB4"/>
    <w:rsid w:val="00176168"/>
    <w:rsid w:val="00177158"/>
    <w:rsid w:val="00177E82"/>
    <w:rsid w:val="001808A5"/>
    <w:rsid w:val="00180FFC"/>
    <w:rsid w:val="001822CD"/>
    <w:rsid w:val="00184FD4"/>
    <w:rsid w:val="00186B04"/>
    <w:rsid w:val="00186F1E"/>
    <w:rsid w:val="00190836"/>
    <w:rsid w:val="00193930"/>
    <w:rsid w:val="001963A5"/>
    <w:rsid w:val="00196F1E"/>
    <w:rsid w:val="001973CC"/>
    <w:rsid w:val="00197FCA"/>
    <w:rsid w:val="001A27DB"/>
    <w:rsid w:val="001A6852"/>
    <w:rsid w:val="001A737E"/>
    <w:rsid w:val="001B0E4E"/>
    <w:rsid w:val="001B286A"/>
    <w:rsid w:val="001B2D02"/>
    <w:rsid w:val="001B3647"/>
    <w:rsid w:val="001B77FA"/>
    <w:rsid w:val="001C0ABE"/>
    <w:rsid w:val="001C2739"/>
    <w:rsid w:val="001C5852"/>
    <w:rsid w:val="001C78F4"/>
    <w:rsid w:val="001D2D21"/>
    <w:rsid w:val="001D45F0"/>
    <w:rsid w:val="001E4A33"/>
    <w:rsid w:val="001E5310"/>
    <w:rsid w:val="001E5C27"/>
    <w:rsid w:val="001F602B"/>
    <w:rsid w:val="001F622E"/>
    <w:rsid w:val="001F6AC8"/>
    <w:rsid w:val="002037D5"/>
    <w:rsid w:val="0020532A"/>
    <w:rsid w:val="00206F90"/>
    <w:rsid w:val="00212B03"/>
    <w:rsid w:val="002131AE"/>
    <w:rsid w:val="002158EB"/>
    <w:rsid w:val="00215C10"/>
    <w:rsid w:val="00215C2D"/>
    <w:rsid w:val="002252C4"/>
    <w:rsid w:val="0023183E"/>
    <w:rsid w:val="00235138"/>
    <w:rsid w:val="00243E36"/>
    <w:rsid w:val="0024540B"/>
    <w:rsid w:val="00245A86"/>
    <w:rsid w:val="00245EF4"/>
    <w:rsid w:val="002467F3"/>
    <w:rsid w:val="00250E11"/>
    <w:rsid w:val="00251383"/>
    <w:rsid w:val="002522C9"/>
    <w:rsid w:val="00252A21"/>
    <w:rsid w:val="00252A71"/>
    <w:rsid w:val="00253E4F"/>
    <w:rsid w:val="002542E4"/>
    <w:rsid w:val="002561CD"/>
    <w:rsid w:val="00261053"/>
    <w:rsid w:val="00262638"/>
    <w:rsid w:val="002626E2"/>
    <w:rsid w:val="00262FDE"/>
    <w:rsid w:val="00263629"/>
    <w:rsid w:val="002769BD"/>
    <w:rsid w:val="00276A75"/>
    <w:rsid w:val="002809EA"/>
    <w:rsid w:val="00284962"/>
    <w:rsid w:val="00287B0E"/>
    <w:rsid w:val="002906C2"/>
    <w:rsid w:val="002A0B53"/>
    <w:rsid w:val="002A0EEF"/>
    <w:rsid w:val="002A13C6"/>
    <w:rsid w:val="002A17C2"/>
    <w:rsid w:val="002A5EA4"/>
    <w:rsid w:val="002A76F9"/>
    <w:rsid w:val="002B2294"/>
    <w:rsid w:val="002B2DF7"/>
    <w:rsid w:val="002C3BF4"/>
    <w:rsid w:val="002C749F"/>
    <w:rsid w:val="002D05CA"/>
    <w:rsid w:val="002D1719"/>
    <w:rsid w:val="002D26A3"/>
    <w:rsid w:val="002E0090"/>
    <w:rsid w:val="002E7B33"/>
    <w:rsid w:val="002F059B"/>
    <w:rsid w:val="002F5B0B"/>
    <w:rsid w:val="00300924"/>
    <w:rsid w:val="003020A6"/>
    <w:rsid w:val="00304853"/>
    <w:rsid w:val="0030596E"/>
    <w:rsid w:val="003073C3"/>
    <w:rsid w:val="0031414E"/>
    <w:rsid w:val="00315FDC"/>
    <w:rsid w:val="00323637"/>
    <w:rsid w:val="00324E8A"/>
    <w:rsid w:val="00331D87"/>
    <w:rsid w:val="00332850"/>
    <w:rsid w:val="00334478"/>
    <w:rsid w:val="003346B4"/>
    <w:rsid w:val="00334AE6"/>
    <w:rsid w:val="003365D0"/>
    <w:rsid w:val="00336D3F"/>
    <w:rsid w:val="003439AB"/>
    <w:rsid w:val="0035034C"/>
    <w:rsid w:val="00354695"/>
    <w:rsid w:val="0035549B"/>
    <w:rsid w:val="0036638E"/>
    <w:rsid w:val="003755C8"/>
    <w:rsid w:val="00375687"/>
    <w:rsid w:val="00380AE0"/>
    <w:rsid w:val="00383324"/>
    <w:rsid w:val="00386064"/>
    <w:rsid w:val="00387A75"/>
    <w:rsid w:val="003904FD"/>
    <w:rsid w:val="00394254"/>
    <w:rsid w:val="003B15D2"/>
    <w:rsid w:val="003C2BFB"/>
    <w:rsid w:val="003C436B"/>
    <w:rsid w:val="003C5337"/>
    <w:rsid w:val="003C5F92"/>
    <w:rsid w:val="003D7A8C"/>
    <w:rsid w:val="003D7C00"/>
    <w:rsid w:val="003E39EC"/>
    <w:rsid w:val="003E56E5"/>
    <w:rsid w:val="003E7E60"/>
    <w:rsid w:val="003F00D4"/>
    <w:rsid w:val="003F2209"/>
    <w:rsid w:val="003F3D39"/>
    <w:rsid w:val="003F646A"/>
    <w:rsid w:val="003F6761"/>
    <w:rsid w:val="003F6A0A"/>
    <w:rsid w:val="004024F5"/>
    <w:rsid w:val="00402DE1"/>
    <w:rsid w:val="00403D8B"/>
    <w:rsid w:val="004054F8"/>
    <w:rsid w:val="004058F1"/>
    <w:rsid w:val="00407E7D"/>
    <w:rsid w:val="0041283D"/>
    <w:rsid w:val="00413AB4"/>
    <w:rsid w:val="00421373"/>
    <w:rsid w:val="00421FB7"/>
    <w:rsid w:val="004242C1"/>
    <w:rsid w:val="0042763B"/>
    <w:rsid w:val="0043024C"/>
    <w:rsid w:val="00430C19"/>
    <w:rsid w:val="00431136"/>
    <w:rsid w:val="00436706"/>
    <w:rsid w:val="00443D38"/>
    <w:rsid w:val="00450E7A"/>
    <w:rsid w:val="0045129C"/>
    <w:rsid w:val="00456AF8"/>
    <w:rsid w:val="00457575"/>
    <w:rsid w:val="0046406D"/>
    <w:rsid w:val="0047008A"/>
    <w:rsid w:val="00470B15"/>
    <w:rsid w:val="00475869"/>
    <w:rsid w:val="00475A77"/>
    <w:rsid w:val="00484CCB"/>
    <w:rsid w:val="004866A9"/>
    <w:rsid w:val="004904C1"/>
    <w:rsid w:val="00492774"/>
    <w:rsid w:val="00494EBE"/>
    <w:rsid w:val="00496D7A"/>
    <w:rsid w:val="004A31BC"/>
    <w:rsid w:val="004A3BFD"/>
    <w:rsid w:val="004A3F1A"/>
    <w:rsid w:val="004A3F45"/>
    <w:rsid w:val="004B1AFA"/>
    <w:rsid w:val="004B4BD1"/>
    <w:rsid w:val="004B7088"/>
    <w:rsid w:val="004C4D12"/>
    <w:rsid w:val="004C5B76"/>
    <w:rsid w:val="004D02CD"/>
    <w:rsid w:val="004D0B24"/>
    <w:rsid w:val="004D4B90"/>
    <w:rsid w:val="004D5471"/>
    <w:rsid w:val="004D60EE"/>
    <w:rsid w:val="004D6B95"/>
    <w:rsid w:val="004D7F41"/>
    <w:rsid w:val="004E03A2"/>
    <w:rsid w:val="004E317E"/>
    <w:rsid w:val="004E3954"/>
    <w:rsid w:val="004E5856"/>
    <w:rsid w:val="004E6C8F"/>
    <w:rsid w:val="004F2330"/>
    <w:rsid w:val="004F53C6"/>
    <w:rsid w:val="004F55C6"/>
    <w:rsid w:val="004F69DB"/>
    <w:rsid w:val="004F6B87"/>
    <w:rsid w:val="004F7543"/>
    <w:rsid w:val="00501C2D"/>
    <w:rsid w:val="00502637"/>
    <w:rsid w:val="00506ED3"/>
    <w:rsid w:val="00511140"/>
    <w:rsid w:val="00513CFE"/>
    <w:rsid w:val="00520AC6"/>
    <w:rsid w:val="00520E16"/>
    <w:rsid w:val="00521775"/>
    <w:rsid w:val="00523B6A"/>
    <w:rsid w:val="00525F6C"/>
    <w:rsid w:val="00533DA9"/>
    <w:rsid w:val="00535110"/>
    <w:rsid w:val="00546AB4"/>
    <w:rsid w:val="005514E5"/>
    <w:rsid w:val="00563C84"/>
    <w:rsid w:val="005762F6"/>
    <w:rsid w:val="005801C2"/>
    <w:rsid w:val="00584FBE"/>
    <w:rsid w:val="00585483"/>
    <w:rsid w:val="00587378"/>
    <w:rsid w:val="00587885"/>
    <w:rsid w:val="00587C05"/>
    <w:rsid w:val="00590AAB"/>
    <w:rsid w:val="005938C3"/>
    <w:rsid w:val="00594261"/>
    <w:rsid w:val="0059468C"/>
    <w:rsid w:val="00595125"/>
    <w:rsid w:val="00596F21"/>
    <w:rsid w:val="005B1CDD"/>
    <w:rsid w:val="005B1E19"/>
    <w:rsid w:val="005B2914"/>
    <w:rsid w:val="005B3AAB"/>
    <w:rsid w:val="005B55FC"/>
    <w:rsid w:val="005C2D5E"/>
    <w:rsid w:val="005C3B81"/>
    <w:rsid w:val="005C650C"/>
    <w:rsid w:val="005C75C8"/>
    <w:rsid w:val="005D086C"/>
    <w:rsid w:val="005D11D3"/>
    <w:rsid w:val="005D4E1F"/>
    <w:rsid w:val="005D4FB3"/>
    <w:rsid w:val="005E2F07"/>
    <w:rsid w:val="005E2FEA"/>
    <w:rsid w:val="005F314B"/>
    <w:rsid w:val="005F425A"/>
    <w:rsid w:val="006067A0"/>
    <w:rsid w:val="00611AF2"/>
    <w:rsid w:val="0061212B"/>
    <w:rsid w:val="006127AF"/>
    <w:rsid w:val="00613A98"/>
    <w:rsid w:val="00615FB2"/>
    <w:rsid w:val="00617BD1"/>
    <w:rsid w:val="00617CE8"/>
    <w:rsid w:val="00621D6A"/>
    <w:rsid w:val="006278A0"/>
    <w:rsid w:val="0063095F"/>
    <w:rsid w:val="00631CBD"/>
    <w:rsid w:val="0063274C"/>
    <w:rsid w:val="00634F17"/>
    <w:rsid w:val="00636ABE"/>
    <w:rsid w:val="0063704F"/>
    <w:rsid w:val="00646AC2"/>
    <w:rsid w:val="00650390"/>
    <w:rsid w:val="00653472"/>
    <w:rsid w:val="00654DAB"/>
    <w:rsid w:val="0066204A"/>
    <w:rsid w:val="006650DF"/>
    <w:rsid w:val="006661F2"/>
    <w:rsid w:val="00670E3C"/>
    <w:rsid w:val="00672670"/>
    <w:rsid w:val="00677F57"/>
    <w:rsid w:val="006801C2"/>
    <w:rsid w:val="00681088"/>
    <w:rsid w:val="00681E23"/>
    <w:rsid w:val="00687912"/>
    <w:rsid w:val="00690DB5"/>
    <w:rsid w:val="006949B2"/>
    <w:rsid w:val="0069577E"/>
    <w:rsid w:val="00695909"/>
    <w:rsid w:val="0069634B"/>
    <w:rsid w:val="00696623"/>
    <w:rsid w:val="006A04E9"/>
    <w:rsid w:val="006A21F3"/>
    <w:rsid w:val="006A4A03"/>
    <w:rsid w:val="006A7543"/>
    <w:rsid w:val="006B525F"/>
    <w:rsid w:val="006B5910"/>
    <w:rsid w:val="006B725C"/>
    <w:rsid w:val="006C273D"/>
    <w:rsid w:val="006C5C4F"/>
    <w:rsid w:val="006C6282"/>
    <w:rsid w:val="006C762A"/>
    <w:rsid w:val="006D5FF9"/>
    <w:rsid w:val="006E0772"/>
    <w:rsid w:val="006E0F86"/>
    <w:rsid w:val="006F0B15"/>
    <w:rsid w:val="006F0DCC"/>
    <w:rsid w:val="006F1942"/>
    <w:rsid w:val="00703DF9"/>
    <w:rsid w:val="007048EB"/>
    <w:rsid w:val="00704FBB"/>
    <w:rsid w:val="0070726A"/>
    <w:rsid w:val="0071226B"/>
    <w:rsid w:val="00717040"/>
    <w:rsid w:val="00746976"/>
    <w:rsid w:val="007622A7"/>
    <w:rsid w:val="007750A2"/>
    <w:rsid w:val="00780E05"/>
    <w:rsid w:val="007817D6"/>
    <w:rsid w:val="00781E1C"/>
    <w:rsid w:val="007865E1"/>
    <w:rsid w:val="00787912"/>
    <w:rsid w:val="0079177A"/>
    <w:rsid w:val="00794836"/>
    <w:rsid w:val="007948D5"/>
    <w:rsid w:val="007A15C9"/>
    <w:rsid w:val="007A6676"/>
    <w:rsid w:val="007B7FF5"/>
    <w:rsid w:val="007C1A37"/>
    <w:rsid w:val="007C3FC6"/>
    <w:rsid w:val="007D2CE9"/>
    <w:rsid w:val="007D4FED"/>
    <w:rsid w:val="007D56F3"/>
    <w:rsid w:val="007D69DA"/>
    <w:rsid w:val="007D70B1"/>
    <w:rsid w:val="007D7140"/>
    <w:rsid w:val="007E1CDB"/>
    <w:rsid w:val="007E408C"/>
    <w:rsid w:val="007E50BF"/>
    <w:rsid w:val="007E7E21"/>
    <w:rsid w:val="007F0460"/>
    <w:rsid w:val="007F0DA2"/>
    <w:rsid w:val="007F39CE"/>
    <w:rsid w:val="007F5E0D"/>
    <w:rsid w:val="00801085"/>
    <w:rsid w:val="00801A89"/>
    <w:rsid w:val="008072BA"/>
    <w:rsid w:val="00812138"/>
    <w:rsid w:val="008151F2"/>
    <w:rsid w:val="0081777A"/>
    <w:rsid w:val="008210E0"/>
    <w:rsid w:val="00824079"/>
    <w:rsid w:val="00824C1C"/>
    <w:rsid w:val="00831F0A"/>
    <w:rsid w:val="00833A78"/>
    <w:rsid w:val="00837803"/>
    <w:rsid w:val="0084585F"/>
    <w:rsid w:val="00853E53"/>
    <w:rsid w:val="0085535C"/>
    <w:rsid w:val="00864D76"/>
    <w:rsid w:val="008656C9"/>
    <w:rsid w:val="00867043"/>
    <w:rsid w:val="0086711C"/>
    <w:rsid w:val="00867535"/>
    <w:rsid w:val="00875C5B"/>
    <w:rsid w:val="00883A48"/>
    <w:rsid w:val="00883C5F"/>
    <w:rsid w:val="00891C7D"/>
    <w:rsid w:val="00892FA7"/>
    <w:rsid w:val="008A3301"/>
    <w:rsid w:val="008A4DF1"/>
    <w:rsid w:val="008A5636"/>
    <w:rsid w:val="008B125E"/>
    <w:rsid w:val="008B241C"/>
    <w:rsid w:val="008B408B"/>
    <w:rsid w:val="008B4F11"/>
    <w:rsid w:val="008C2362"/>
    <w:rsid w:val="008C3049"/>
    <w:rsid w:val="008D4AE9"/>
    <w:rsid w:val="008D5CF3"/>
    <w:rsid w:val="008D7D39"/>
    <w:rsid w:val="008E4574"/>
    <w:rsid w:val="008F4016"/>
    <w:rsid w:val="008F42FE"/>
    <w:rsid w:val="008F4A00"/>
    <w:rsid w:val="008F5402"/>
    <w:rsid w:val="008F5907"/>
    <w:rsid w:val="0090053A"/>
    <w:rsid w:val="00901C2A"/>
    <w:rsid w:val="009118C7"/>
    <w:rsid w:val="0091779F"/>
    <w:rsid w:val="00917BC8"/>
    <w:rsid w:val="009225B6"/>
    <w:rsid w:val="00925397"/>
    <w:rsid w:val="00933A21"/>
    <w:rsid w:val="00934C10"/>
    <w:rsid w:val="0093662A"/>
    <w:rsid w:val="0094060C"/>
    <w:rsid w:val="00941269"/>
    <w:rsid w:val="00942C4B"/>
    <w:rsid w:val="00944196"/>
    <w:rsid w:val="009441E3"/>
    <w:rsid w:val="0096002D"/>
    <w:rsid w:val="009606A5"/>
    <w:rsid w:val="00962F1F"/>
    <w:rsid w:val="00965304"/>
    <w:rsid w:val="00971293"/>
    <w:rsid w:val="00973A3B"/>
    <w:rsid w:val="00973E70"/>
    <w:rsid w:val="00983EAE"/>
    <w:rsid w:val="0098760B"/>
    <w:rsid w:val="00987ACA"/>
    <w:rsid w:val="009A11DD"/>
    <w:rsid w:val="009A5330"/>
    <w:rsid w:val="009A68D2"/>
    <w:rsid w:val="009B30AA"/>
    <w:rsid w:val="009B5217"/>
    <w:rsid w:val="009C48DE"/>
    <w:rsid w:val="009D5C72"/>
    <w:rsid w:val="009D60D9"/>
    <w:rsid w:val="009E1E1E"/>
    <w:rsid w:val="009E1F46"/>
    <w:rsid w:val="009E33E3"/>
    <w:rsid w:val="009E7548"/>
    <w:rsid w:val="009E7F16"/>
    <w:rsid w:val="009F4B38"/>
    <w:rsid w:val="009F5052"/>
    <w:rsid w:val="009F772F"/>
    <w:rsid w:val="00A03083"/>
    <w:rsid w:val="00A04C85"/>
    <w:rsid w:val="00A100F0"/>
    <w:rsid w:val="00A106CD"/>
    <w:rsid w:val="00A134F1"/>
    <w:rsid w:val="00A1392C"/>
    <w:rsid w:val="00A156E6"/>
    <w:rsid w:val="00A177C5"/>
    <w:rsid w:val="00A20E8C"/>
    <w:rsid w:val="00A22D3B"/>
    <w:rsid w:val="00A27D86"/>
    <w:rsid w:val="00A30A3D"/>
    <w:rsid w:val="00A325AE"/>
    <w:rsid w:val="00A33151"/>
    <w:rsid w:val="00A36970"/>
    <w:rsid w:val="00A41EB4"/>
    <w:rsid w:val="00A44BFF"/>
    <w:rsid w:val="00A501E3"/>
    <w:rsid w:val="00A50F0C"/>
    <w:rsid w:val="00A56441"/>
    <w:rsid w:val="00A61CF9"/>
    <w:rsid w:val="00A64B1E"/>
    <w:rsid w:val="00A65B7B"/>
    <w:rsid w:val="00A736DD"/>
    <w:rsid w:val="00A741E5"/>
    <w:rsid w:val="00A82869"/>
    <w:rsid w:val="00A8758C"/>
    <w:rsid w:val="00A963B6"/>
    <w:rsid w:val="00AA127E"/>
    <w:rsid w:val="00AA19AE"/>
    <w:rsid w:val="00AA423D"/>
    <w:rsid w:val="00AA6A95"/>
    <w:rsid w:val="00AB10DE"/>
    <w:rsid w:val="00AB3668"/>
    <w:rsid w:val="00AB5ED7"/>
    <w:rsid w:val="00AC0B4C"/>
    <w:rsid w:val="00AD08F2"/>
    <w:rsid w:val="00AD0AEE"/>
    <w:rsid w:val="00AD2A87"/>
    <w:rsid w:val="00AD49E3"/>
    <w:rsid w:val="00AD4B4F"/>
    <w:rsid w:val="00AE0CB7"/>
    <w:rsid w:val="00AE37ED"/>
    <w:rsid w:val="00AF0616"/>
    <w:rsid w:val="00AF0E28"/>
    <w:rsid w:val="00AF30A3"/>
    <w:rsid w:val="00AF6F9B"/>
    <w:rsid w:val="00B01409"/>
    <w:rsid w:val="00B0242E"/>
    <w:rsid w:val="00B10DBD"/>
    <w:rsid w:val="00B138EC"/>
    <w:rsid w:val="00B15629"/>
    <w:rsid w:val="00B2372C"/>
    <w:rsid w:val="00B317F8"/>
    <w:rsid w:val="00B32F70"/>
    <w:rsid w:val="00B373D0"/>
    <w:rsid w:val="00B43AAA"/>
    <w:rsid w:val="00B459FD"/>
    <w:rsid w:val="00B45C7E"/>
    <w:rsid w:val="00B510BE"/>
    <w:rsid w:val="00B53139"/>
    <w:rsid w:val="00B562CE"/>
    <w:rsid w:val="00B62DE2"/>
    <w:rsid w:val="00B64CF6"/>
    <w:rsid w:val="00B74417"/>
    <w:rsid w:val="00B77246"/>
    <w:rsid w:val="00B84EFE"/>
    <w:rsid w:val="00B866CD"/>
    <w:rsid w:val="00B93034"/>
    <w:rsid w:val="00B93A81"/>
    <w:rsid w:val="00B97C5D"/>
    <w:rsid w:val="00BA1290"/>
    <w:rsid w:val="00BA5237"/>
    <w:rsid w:val="00BA7ED4"/>
    <w:rsid w:val="00BB2792"/>
    <w:rsid w:val="00BB58FA"/>
    <w:rsid w:val="00BB76BF"/>
    <w:rsid w:val="00BC1AD1"/>
    <w:rsid w:val="00BC2379"/>
    <w:rsid w:val="00BC4A58"/>
    <w:rsid w:val="00BC613B"/>
    <w:rsid w:val="00BD51D9"/>
    <w:rsid w:val="00BD64E2"/>
    <w:rsid w:val="00BE4995"/>
    <w:rsid w:val="00BF0DAD"/>
    <w:rsid w:val="00BF429A"/>
    <w:rsid w:val="00BF62BE"/>
    <w:rsid w:val="00C0219B"/>
    <w:rsid w:val="00C07126"/>
    <w:rsid w:val="00C16853"/>
    <w:rsid w:val="00C2425C"/>
    <w:rsid w:val="00C263F0"/>
    <w:rsid w:val="00C33D41"/>
    <w:rsid w:val="00C40AFD"/>
    <w:rsid w:val="00C41E20"/>
    <w:rsid w:val="00C42E3E"/>
    <w:rsid w:val="00C51C13"/>
    <w:rsid w:val="00C525A5"/>
    <w:rsid w:val="00C5300F"/>
    <w:rsid w:val="00C54594"/>
    <w:rsid w:val="00C60F38"/>
    <w:rsid w:val="00C66CE0"/>
    <w:rsid w:val="00C71BED"/>
    <w:rsid w:val="00C737B2"/>
    <w:rsid w:val="00C81B53"/>
    <w:rsid w:val="00C82AD2"/>
    <w:rsid w:val="00C8632B"/>
    <w:rsid w:val="00C90C71"/>
    <w:rsid w:val="00C90FB6"/>
    <w:rsid w:val="00C9220E"/>
    <w:rsid w:val="00C932BD"/>
    <w:rsid w:val="00C93429"/>
    <w:rsid w:val="00CA16C5"/>
    <w:rsid w:val="00CA26DF"/>
    <w:rsid w:val="00CA415A"/>
    <w:rsid w:val="00CA7A35"/>
    <w:rsid w:val="00CB1536"/>
    <w:rsid w:val="00CB7FB8"/>
    <w:rsid w:val="00CC1F71"/>
    <w:rsid w:val="00CC3AAB"/>
    <w:rsid w:val="00CC4A06"/>
    <w:rsid w:val="00CC5588"/>
    <w:rsid w:val="00CC5EB3"/>
    <w:rsid w:val="00CD0E7B"/>
    <w:rsid w:val="00CD2ABD"/>
    <w:rsid w:val="00CD4024"/>
    <w:rsid w:val="00CD4617"/>
    <w:rsid w:val="00CD4855"/>
    <w:rsid w:val="00CD6F42"/>
    <w:rsid w:val="00CE6D43"/>
    <w:rsid w:val="00CE7888"/>
    <w:rsid w:val="00D0431C"/>
    <w:rsid w:val="00D10E1C"/>
    <w:rsid w:val="00D161A3"/>
    <w:rsid w:val="00D16734"/>
    <w:rsid w:val="00D22E49"/>
    <w:rsid w:val="00D23716"/>
    <w:rsid w:val="00D23748"/>
    <w:rsid w:val="00D25ED8"/>
    <w:rsid w:val="00D27F8F"/>
    <w:rsid w:val="00D316B8"/>
    <w:rsid w:val="00D31CFC"/>
    <w:rsid w:val="00D3255D"/>
    <w:rsid w:val="00D340C3"/>
    <w:rsid w:val="00D409CD"/>
    <w:rsid w:val="00D40CCF"/>
    <w:rsid w:val="00D423D4"/>
    <w:rsid w:val="00D42CAF"/>
    <w:rsid w:val="00D5310F"/>
    <w:rsid w:val="00D601EF"/>
    <w:rsid w:val="00D61533"/>
    <w:rsid w:val="00D62030"/>
    <w:rsid w:val="00D63B2F"/>
    <w:rsid w:val="00D70747"/>
    <w:rsid w:val="00D7261D"/>
    <w:rsid w:val="00D72BA5"/>
    <w:rsid w:val="00D755FC"/>
    <w:rsid w:val="00D76B6D"/>
    <w:rsid w:val="00D834DB"/>
    <w:rsid w:val="00D84D07"/>
    <w:rsid w:val="00D8526A"/>
    <w:rsid w:val="00D90E91"/>
    <w:rsid w:val="00D9541B"/>
    <w:rsid w:val="00DA5169"/>
    <w:rsid w:val="00DB60E1"/>
    <w:rsid w:val="00DB6E02"/>
    <w:rsid w:val="00DB7D4B"/>
    <w:rsid w:val="00DC1347"/>
    <w:rsid w:val="00DC39F1"/>
    <w:rsid w:val="00DC6F53"/>
    <w:rsid w:val="00DD577B"/>
    <w:rsid w:val="00DE0F3B"/>
    <w:rsid w:val="00DE4B35"/>
    <w:rsid w:val="00DF19C1"/>
    <w:rsid w:val="00DF54CA"/>
    <w:rsid w:val="00DF56C9"/>
    <w:rsid w:val="00DF5B64"/>
    <w:rsid w:val="00DF5E50"/>
    <w:rsid w:val="00E02794"/>
    <w:rsid w:val="00E028B3"/>
    <w:rsid w:val="00E043E3"/>
    <w:rsid w:val="00E0505B"/>
    <w:rsid w:val="00E11280"/>
    <w:rsid w:val="00E12359"/>
    <w:rsid w:val="00E14635"/>
    <w:rsid w:val="00E152FF"/>
    <w:rsid w:val="00E15737"/>
    <w:rsid w:val="00E2461B"/>
    <w:rsid w:val="00E24886"/>
    <w:rsid w:val="00E276FB"/>
    <w:rsid w:val="00E32595"/>
    <w:rsid w:val="00E32DC6"/>
    <w:rsid w:val="00E33A74"/>
    <w:rsid w:val="00E4030B"/>
    <w:rsid w:val="00E41D56"/>
    <w:rsid w:val="00E457DF"/>
    <w:rsid w:val="00E46642"/>
    <w:rsid w:val="00E5139A"/>
    <w:rsid w:val="00E5413D"/>
    <w:rsid w:val="00E5793A"/>
    <w:rsid w:val="00E57977"/>
    <w:rsid w:val="00E635D7"/>
    <w:rsid w:val="00E70576"/>
    <w:rsid w:val="00E711E9"/>
    <w:rsid w:val="00E71DED"/>
    <w:rsid w:val="00E769E9"/>
    <w:rsid w:val="00E83954"/>
    <w:rsid w:val="00E86506"/>
    <w:rsid w:val="00E91730"/>
    <w:rsid w:val="00E96F04"/>
    <w:rsid w:val="00E97AEC"/>
    <w:rsid w:val="00EA20FE"/>
    <w:rsid w:val="00EB491E"/>
    <w:rsid w:val="00EB6307"/>
    <w:rsid w:val="00EB681B"/>
    <w:rsid w:val="00EC0811"/>
    <w:rsid w:val="00EC4FAD"/>
    <w:rsid w:val="00ED20CC"/>
    <w:rsid w:val="00EE262D"/>
    <w:rsid w:val="00EE3CFA"/>
    <w:rsid w:val="00EE411F"/>
    <w:rsid w:val="00EE69E4"/>
    <w:rsid w:val="00EE6B83"/>
    <w:rsid w:val="00EF2A7F"/>
    <w:rsid w:val="00EF439C"/>
    <w:rsid w:val="00EF7E90"/>
    <w:rsid w:val="00F002B6"/>
    <w:rsid w:val="00F045A8"/>
    <w:rsid w:val="00F10AFE"/>
    <w:rsid w:val="00F10E32"/>
    <w:rsid w:val="00F12403"/>
    <w:rsid w:val="00F15C6C"/>
    <w:rsid w:val="00F17173"/>
    <w:rsid w:val="00F200BE"/>
    <w:rsid w:val="00F20987"/>
    <w:rsid w:val="00F224DC"/>
    <w:rsid w:val="00F2687F"/>
    <w:rsid w:val="00F26A5E"/>
    <w:rsid w:val="00F27F29"/>
    <w:rsid w:val="00F32D54"/>
    <w:rsid w:val="00F35A8D"/>
    <w:rsid w:val="00F36C54"/>
    <w:rsid w:val="00F37F42"/>
    <w:rsid w:val="00F418EA"/>
    <w:rsid w:val="00F41A29"/>
    <w:rsid w:val="00F44B82"/>
    <w:rsid w:val="00F44C1C"/>
    <w:rsid w:val="00F518DF"/>
    <w:rsid w:val="00F51EAD"/>
    <w:rsid w:val="00F52387"/>
    <w:rsid w:val="00F544DB"/>
    <w:rsid w:val="00F56D91"/>
    <w:rsid w:val="00F648EA"/>
    <w:rsid w:val="00F6502E"/>
    <w:rsid w:val="00F65663"/>
    <w:rsid w:val="00F669E6"/>
    <w:rsid w:val="00F75147"/>
    <w:rsid w:val="00F756C0"/>
    <w:rsid w:val="00F75A40"/>
    <w:rsid w:val="00F77637"/>
    <w:rsid w:val="00F8435D"/>
    <w:rsid w:val="00F862E5"/>
    <w:rsid w:val="00F87DD0"/>
    <w:rsid w:val="00F90D1A"/>
    <w:rsid w:val="00F93360"/>
    <w:rsid w:val="00F93FE4"/>
    <w:rsid w:val="00F97E4E"/>
    <w:rsid w:val="00FA0022"/>
    <w:rsid w:val="00FA1A40"/>
    <w:rsid w:val="00FA217B"/>
    <w:rsid w:val="00FA5B3A"/>
    <w:rsid w:val="00FB0BC5"/>
    <w:rsid w:val="00FB0BCC"/>
    <w:rsid w:val="00FC0FE5"/>
    <w:rsid w:val="00FD1ABC"/>
    <w:rsid w:val="00FD7DDF"/>
    <w:rsid w:val="00FE1D49"/>
    <w:rsid w:val="00FE4C92"/>
    <w:rsid w:val="00FF0C13"/>
    <w:rsid w:val="00FF0FAA"/>
    <w:rsid w:val="00FF3759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en-GB" w:bidi="en-GB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iPriority="0" w:unhideWhenUsed="1"/>
    <w:lsdException w:name="header" w:locked="1" w:uiPriority="0" w:qFormat="1"/>
    <w:lsdException w:name="footer" w:locked="1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CF9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Cs w:val="20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61CF9"/>
    <w:pPr>
      <w:numPr>
        <w:numId w:val="1"/>
      </w:numPr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1CF9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1CF9"/>
    <w:pPr>
      <w:numPr>
        <w:ilvl w:val="2"/>
        <w:numId w:val="1"/>
      </w:numPr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1CF9"/>
    <w:pPr>
      <w:numPr>
        <w:ilvl w:val="3"/>
        <w:numId w:val="1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1CF9"/>
    <w:pPr>
      <w:numPr>
        <w:ilvl w:val="4"/>
        <w:numId w:val="1"/>
      </w:numPr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1CF9"/>
    <w:pPr>
      <w:numPr>
        <w:ilvl w:val="5"/>
        <w:numId w:val="1"/>
      </w:numPr>
      <w:ind w:left="7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1CF9"/>
    <w:pPr>
      <w:numPr>
        <w:ilvl w:val="6"/>
        <w:numId w:val="1"/>
      </w:numPr>
      <w:ind w:left="72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1CF9"/>
    <w:pPr>
      <w:numPr>
        <w:ilvl w:val="7"/>
        <w:numId w:val="1"/>
      </w:numPr>
      <w:ind w:left="720" w:hanging="72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1CF9"/>
    <w:pPr>
      <w:numPr>
        <w:ilvl w:val="8"/>
        <w:numId w:val="1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B1536"/>
    <w:rPr>
      <w:kern w:val="28"/>
      <w:szCs w:val="20"/>
      <w:lang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CB1536"/>
    <w:rPr>
      <w:szCs w:val="20"/>
      <w:lang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CB1536"/>
    <w:rPr>
      <w:szCs w:val="20"/>
      <w:lang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CB1536"/>
    <w:rPr>
      <w:szCs w:val="20"/>
      <w:lang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CB1536"/>
    <w:rPr>
      <w:szCs w:val="20"/>
      <w:lang w:eastAsia="en-US" w:bidi="ar-SA"/>
    </w:rPr>
  </w:style>
  <w:style w:type="character" w:customStyle="1" w:styleId="Heading6Char">
    <w:name w:val="Heading 6 Char"/>
    <w:basedOn w:val="DefaultParagraphFont"/>
    <w:link w:val="Heading6"/>
    <w:locked/>
    <w:rsid w:val="00CB1536"/>
    <w:rPr>
      <w:szCs w:val="20"/>
      <w:lang w:eastAsia="en-US" w:bidi="ar-SA"/>
    </w:rPr>
  </w:style>
  <w:style w:type="character" w:customStyle="1" w:styleId="Heading7Char">
    <w:name w:val="Heading 7 Char"/>
    <w:basedOn w:val="DefaultParagraphFont"/>
    <w:link w:val="Heading7"/>
    <w:locked/>
    <w:rsid w:val="00CB1536"/>
    <w:rPr>
      <w:szCs w:val="20"/>
      <w:lang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CB1536"/>
    <w:rPr>
      <w:szCs w:val="20"/>
      <w:lang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CB1536"/>
    <w:rPr>
      <w:szCs w:val="20"/>
      <w:lang w:eastAsia="en-US" w:bidi="ar-SA"/>
    </w:rPr>
  </w:style>
  <w:style w:type="paragraph" w:styleId="Footer">
    <w:name w:val="footer"/>
    <w:basedOn w:val="Normal"/>
    <w:link w:val="FooterChar"/>
    <w:rsid w:val="00A61CF9"/>
  </w:style>
  <w:style w:type="character" w:customStyle="1" w:styleId="FooterChar">
    <w:name w:val="Footer Char"/>
    <w:basedOn w:val="DefaultParagraphFont"/>
    <w:link w:val="Footer"/>
    <w:locked/>
    <w:rsid w:val="00CB1536"/>
    <w:rPr>
      <w:szCs w:val="20"/>
      <w:lang w:eastAsia="en-US" w:bidi="ar-SA"/>
    </w:rPr>
  </w:style>
  <w:style w:type="paragraph" w:styleId="FootnoteText">
    <w:name w:val="footnote text"/>
    <w:basedOn w:val="Normal"/>
    <w:link w:val="FootnoteTextChar"/>
    <w:rsid w:val="00A61CF9"/>
    <w:pPr>
      <w:keepLines/>
      <w:spacing w:after="60"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locked/>
    <w:rsid w:val="00CB1536"/>
    <w:rPr>
      <w:sz w:val="16"/>
      <w:szCs w:val="20"/>
      <w:lang w:eastAsia="en-US" w:bidi="ar-SA"/>
    </w:rPr>
  </w:style>
  <w:style w:type="paragraph" w:styleId="Header">
    <w:name w:val="header"/>
    <w:basedOn w:val="Normal"/>
    <w:link w:val="HeaderChar"/>
    <w:rsid w:val="00A61CF9"/>
  </w:style>
  <w:style w:type="character" w:customStyle="1" w:styleId="HeaderChar">
    <w:name w:val="Header Char"/>
    <w:basedOn w:val="DefaultParagraphFont"/>
    <w:link w:val="Header"/>
    <w:locked/>
    <w:rsid w:val="00CB1536"/>
    <w:rPr>
      <w:szCs w:val="20"/>
      <w:lang w:eastAsia="en-US" w:bidi="ar-SA"/>
    </w:rPr>
  </w:style>
  <w:style w:type="character" w:styleId="Hyperlink">
    <w:name w:val="Hyperlink"/>
    <w:basedOn w:val="DefaultParagraphFont"/>
    <w:uiPriority w:val="99"/>
    <w:rsid w:val="00934C10"/>
    <w:rPr>
      <w:color w:val="0000FF"/>
      <w:u w:val="single"/>
    </w:rPr>
  </w:style>
  <w:style w:type="character" w:styleId="FootnoteReference">
    <w:name w:val="footnote reference"/>
    <w:basedOn w:val="DefaultParagraphFont"/>
    <w:rsid w:val="00A61CF9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sid w:val="00934C10"/>
    <w:rPr>
      <w:color w:val="800080"/>
      <w:u w:val="single"/>
    </w:rPr>
  </w:style>
  <w:style w:type="paragraph" w:customStyle="1" w:styleId="LOGO">
    <w:name w:val="LOGO"/>
    <w:basedOn w:val="Normal"/>
    <w:uiPriority w:val="99"/>
    <w:rsid w:val="00934C10"/>
    <w:pPr>
      <w:jc w:val="center"/>
    </w:pPr>
    <w:rPr>
      <w:rFonts w:ascii="Arial" w:hAnsi="Arial" w:cs="Arial"/>
      <w:b/>
      <w:bCs/>
      <w:i/>
      <w:iCs/>
      <w:sz w:val="20"/>
    </w:rPr>
  </w:style>
  <w:style w:type="paragraph" w:styleId="Revision">
    <w:name w:val="Revision"/>
    <w:hidden/>
    <w:uiPriority w:val="99"/>
    <w:semiHidden/>
    <w:rsid w:val="00B2372C"/>
  </w:style>
  <w:style w:type="paragraph" w:styleId="BalloonText">
    <w:name w:val="Balloon Text"/>
    <w:basedOn w:val="Normal"/>
    <w:link w:val="BalloonTextChar"/>
    <w:uiPriority w:val="99"/>
    <w:semiHidden/>
    <w:unhideWhenUsed/>
    <w:rsid w:val="002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C2"/>
    <w:rPr>
      <w:rFonts w:ascii="Tahoma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en-GB" w:bidi="en-GB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iPriority="0" w:unhideWhenUsed="1"/>
    <w:lsdException w:name="header" w:locked="1" w:uiPriority="0" w:qFormat="1"/>
    <w:lsdException w:name="footer" w:locked="1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CF9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Cs w:val="20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61CF9"/>
    <w:pPr>
      <w:numPr>
        <w:numId w:val="1"/>
      </w:numPr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1CF9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1CF9"/>
    <w:pPr>
      <w:numPr>
        <w:ilvl w:val="2"/>
        <w:numId w:val="1"/>
      </w:numPr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1CF9"/>
    <w:pPr>
      <w:numPr>
        <w:ilvl w:val="3"/>
        <w:numId w:val="1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1CF9"/>
    <w:pPr>
      <w:numPr>
        <w:ilvl w:val="4"/>
        <w:numId w:val="1"/>
      </w:numPr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1CF9"/>
    <w:pPr>
      <w:numPr>
        <w:ilvl w:val="5"/>
        <w:numId w:val="1"/>
      </w:numPr>
      <w:ind w:left="7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1CF9"/>
    <w:pPr>
      <w:numPr>
        <w:ilvl w:val="6"/>
        <w:numId w:val="1"/>
      </w:numPr>
      <w:ind w:left="72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1CF9"/>
    <w:pPr>
      <w:numPr>
        <w:ilvl w:val="7"/>
        <w:numId w:val="1"/>
      </w:numPr>
      <w:ind w:left="720" w:hanging="72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1CF9"/>
    <w:pPr>
      <w:numPr>
        <w:ilvl w:val="8"/>
        <w:numId w:val="1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B1536"/>
    <w:rPr>
      <w:kern w:val="28"/>
      <w:szCs w:val="20"/>
      <w:lang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CB1536"/>
    <w:rPr>
      <w:szCs w:val="20"/>
      <w:lang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CB1536"/>
    <w:rPr>
      <w:szCs w:val="20"/>
      <w:lang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CB1536"/>
    <w:rPr>
      <w:szCs w:val="20"/>
      <w:lang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CB1536"/>
    <w:rPr>
      <w:szCs w:val="20"/>
      <w:lang w:eastAsia="en-US" w:bidi="ar-SA"/>
    </w:rPr>
  </w:style>
  <w:style w:type="character" w:customStyle="1" w:styleId="Heading6Char">
    <w:name w:val="Heading 6 Char"/>
    <w:basedOn w:val="DefaultParagraphFont"/>
    <w:link w:val="Heading6"/>
    <w:locked/>
    <w:rsid w:val="00CB1536"/>
    <w:rPr>
      <w:szCs w:val="20"/>
      <w:lang w:eastAsia="en-US" w:bidi="ar-SA"/>
    </w:rPr>
  </w:style>
  <w:style w:type="character" w:customStyle="1" w:styleId="Heading7Char">
    <w:name w:val="Heading 7 Char"/>
    <w:basedOn w:val="DefaultParagraphFont"/>
    <w:link w:val="Heading7"/>
    <w:locked/>
    <w:rsid w:val="00CB1536"/>
    <w:rPr>
      <w:szCs w:val="20"/>
      <w:lang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CB1536"/>
    <w:rPr>
      <w:szCs w:val="20"/>
      <w:lang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CB1536"/>
    <w:rPr>
      <w:szCs w:val="20"/>
      <w:lang w:eastAsia="en-US" w:bidi="ar-SA"/>
    </w:rPr>
  </w:style>
  <w:style w:type="paragraph" w:styleId="Footer">
    <w:name w:val="footer"/>
    <w:basedOn w:val="Normal"/>
    <w:link w:val="FooterChar"/>
    <w:rsid w:val="00A61CF9"/>
  </w:style>
  <w:style w:type="character" w:customStyle="1" w:styleId="FooterChar">
    <w:name w:val="Footer Char"/>
    <w:basedOn w:val="DefaultParagraphFont"/>
    <w:link w:val="Footer"/>
    <w:locked/>
    <w:rsid w:val="00CB1536"/>
    <w:rPr>
      <w:szCs w:val="20"/>
      <w:lang w:eastAsia="en-US" w:bidi="ar-SA"/>
    </w:rPr>
  </w:style>
  <w:style w:type="paragraph" w:styleId="FootnoteText">
    <w:name w:val="footnote text"/>
    <w:basedOn w:val="Normal"/>
    <w:link w:val="FootnoteTextChar"/>
    <w:rsid w:val="00A61CF9"/>
    <w:pPr>
      <w:keepLines/>
      <w:spacing w:after="60"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locked/>
    <w:rsid w:val="00CB1536"/>
    <w:rPr>
      <w:sz w:val="16"/>
      <w:szCs w:val="20"/>
      <w:lang w:eastAsia="en-US" w:bidi="ar-SA"/>
    </w:rPr>
  </w:style>
  <w:style w:type="paragraph" w:styleId="Header">
    <w:name w:val="header"/>
    <w:basedOn w:val="Normal"/>
    <w:link w:val="HeaderChar"/>
    <w:rsid w:val="00A61CF9"/>
  </w:style>
  <w:style w:type="character" w:customStyle="1" w:styleId="HeaderChar">
    <w:name w:val="Header Char"/>
    <w:basedOn w:val="DefaultParagraphFont"/>
    <w:link w:val="Header"/>
    <w:locked/>
    <w:rsid w:val="00CB1536"/>
    <w:rPr>
      <w:szCs w:val="20"/>
      <w:lang w:eastAsia="en-US" w:bidi="ar-SA"/>
    </w:rPr>
  </w:style>
  <w:style w:type="character" w:styleId="Hyperlink">
    <w:name w:val="Hyperlink"/>
    <w:basedOn w:val="DefaultParagraphFont"/>
    <w:uiPriority w:val="99"/>
    <w:rsid w:val="00934C10"/>
    <w:rPr>
      <w:color w:val="0000FF"/>
      <w:u w:val="single"/>
    </w:rPr>
  </w:style>
  <w:style w:type="character" w:styleId="FootnoteReference">
    <w:name w:val="footnote reference"/>
    <w:basedOn w:val="DefaultParagraphFont"/>
    <w:rsid w:val="00A61CF9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sid w:val="00934C10"/>
    <w:rPr>
      <w:color w:val="800080"/>
      <w:u w:val="single"/>
    </w:rPr>
  </w:style>
  <w:style w:type="paragraph" w:customStyle="1" w:styleId="LOGO">
    <w:name w:val="LOGO"/>
    <w:basedOn w:val="Normal"/>
    <w:uiPriority w:val="99"/>
    <w:rsid w:val="00934C10"/>
    <w:pPr>
      <w:jc w:val="center"/>
    </w:pPr>
    <w:rPr>
      <w:rFonts w:ascii="Arial" w:hAnsi="Arial" w:cs="Arial"/>
      <w:b/>
      <w:bCs/>
      <w:i/>
      <w:iCs/>
      <w:sz w:val="20"/>
    </w:rPr>
  </w:style>
  <w:style w:type="paragraph" w:styleId="Revision">
    <w:name w:val="Revision"/>
    <w:hidden/>
    <w:uiPriority w:val="99"/>
    <w:semiHidden/>
    <w:rsid w:val="00B2372C"/>
  </w:style>
  <w:style w:type="paragraph" w:styleId="BalloonText">
    <w:name w:val="Balloon Text"/>
    <w:basedOn w:val="Normal"/>
    <w:link w:val="BalloonTextChar"/>
    <w:uiPriority w:val="99"/>
    <w:semiHidden/>
    <w:unhideWhenUsed/>
    <w:rsid w:val="002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C2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valeria.atzori@eesc.europa.eu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://edf-feph.org/other-publications" TargetMode="External"/><Relationship Id="rId18" Type="http://schemas.openxmlformats.org/officeDocument/2006/relationships/hyperlink" Target="http://tbinternet.ohchr.org/_layouts/treatybodyexternal/Download.aspx?symbolno=CRPD/C/EU/CO/1&amp;Lang=en" TargetMode="External"/><Relationship Id="rId26" Type="http://schemas.openxmlformats.org/officeDocument/2006/relationships/hyperlink" Target="http://www.edf-feph.org/other-publications" TargetMode="External"/><Relationship Id="rId39" Type="http://schemas.openxmlformats.org/officeDocument/2006/relationships/hyperlink" Target="http://tbinternet.ohchr.org/_layouts/treatybodyexternal/Download.aspx?symbolno=CRPD/C/GC/3&amp;Lang=en" TargetMode="External"/><Relationship Id="rId3" Type="http://schemas.openxmlformats.org/officeDocument/2006/relationships/hyperlink" Target="https://www.un.org/development/desa/disabilities/convention-on-the-rights-of-persons-with-disabilities.html" TargetMode="External"/><Relationship Id="rId21" Type="http://schemas.openxmlformats.org/officeDocument/2006/relationships/hyperlink" Target="http://www.europarl.europa.eu/sides/getDoc.do?pubRef=-//EP//TEXT+REPORT+A7-2013-0329+0+DOC+XML+V0//PL" TargetMode="External"/><Relationship Id="rId34" Type="http://schemas.openxmlformats.org/officeDocument/2006/relationships/hyperlink" Target="http://tbinternet.ohchr.org/_layouts/treatybodyexternal/Download.aspx?symbolno=CRPD/C/GC/3&amp;Lang=en" TargetMode="External"/><Relationship Id="rId42" Type="http://schemas.openxmlformats.org/officeDocument/2006/relationships/hyperlink" Target="http://www.europarl.europa.eu/sides/getDoc.do?pubRef=-//EP//TEXT+REPORT+A7-2013-0329+0+DOC+XML+V0//PL" TargetMode="External"/><Relationship Id="rId47" Type="http://schemas.openxmlformats.org/officeDocument/2006/relationships/hyperlink" Target="http://www.edf-feph.org/other-publications" TargetMode="External"/><Relationship Id="rId50" Type="http://schemas.openxmlformats.org/officeDocument/2006/relationships/hyperlink" Target="http://www.edf-feph.org/sites/default/files/2015_03_04_edf_alternative_report_final_accessible.pdf" TargetMode="External"/><Relationship Id="rId7" Type="http://schemas.openxmlformats.org/officeDocument/2006/relationships/hyperlink" Target="http://tbinternet.ohchr.org/_layouts/treatybodyexternal/Download.aspx?symbolno=CRPD/C/EU/CO/1&amp;Lang=en" TargetMode="External"/><Relationship Id="rId12" Type="http://schemas.openxmlformats.org/officeDocument/2006/relationships/hyperlink" Target="http://edf-feph.org/other-publications" TargetMode="External"/><Relationship Id="rId17" Type="http://schemas.openxmlformats.org/officeDocument/2006/relationships/hyperlink" Target="http://www.europarl.europa.eu/sides/getDoc.do?pubRef=-//EP//TEXT+REPORT+A7-2013-0329+0+DOC+XML+V0//PL" TargetMode="External"/><Relationship Id="rId25" Type="http://schemas.openxmlformats.org/officeDocument/2006/relationships/hyperlink" Target="http://tbinternet.ohchr.org/_layouts/treatybodyexternal/Download.aspx?symbolno=CRPD/C/GC/3&amp;Lang=en" TargetMode="External"/><Relationship Id="rId33" Type="http://schemas.openxmlformats.org/officeDocument/2006/relationships/hyperlink" Target="http://www.edf-feph.org/sites/default/files/edf_forced-sterilisation_8-accessible_5.pdf" TargetMode="External"/><Relationship Id="rId38" Type="http://schemas.openxmlformats.org/officeDocument/2006/relationships/hyperlink" Target="http://www.edf-feph.org/other-publications" TargetMode="External"/><Relationship Id="rId46" Type="http://schemas.openxmlformats.org/officeDocument/2006/relationships/hyperlink" Target="http://www.europarl.europa.eu/sides/getDoc.do?pubRef=-//EP//TEXT+REPORT+A7-2013-0329+0+DOC+XML+V0//PL" TargetMode="External"/><Relationship Id="rId2" Type="http://schemas.openxmlformats.org/officeDocument/2006/relationships/hyperlink" Target="http://www.edf-feph.org/sites/default/files/2015_03_04_edf_alternative_report_final_accessible.pdf" TargetMode="External"/><Relationship Id="rId16" Type="http://schemas.openxmlformats.org/officeDocument/2006/relationships/hyperlink" Target="http://tbinternet.ohchr.org/_layouts/treatybodyexternal/Download.aspx?symbolno=CRPD/C/EU/CO/1&amp;Lang=en" TargetMode="External"/><Relationship Id="rId20" Type="http://schemas.openxmlformats.org/officeDocument/2006/relationships/hyperlink" Target="http://edf-feph.org/other-publications" TargetMode="External"/><Relationship Id="rId29" Type="http://schemas.openxmlformats.org/officeDocument/2006/relationships/hyperlink" Target="http://www.google.fr/url?sa=t&amp;rct=j&amp;q=&amp;esrc=s&amp;source=web&amp;cd=3&amp;ved=0ahUKEwjJhI-I2aDbAhXHUlAKHVZsARgQFghAMAI&amp;url=http://fra.europa.eu/sites/default/files/fra_uploads/fra-2014-vaw-survey-main-results-apr14_en.pdf&amp;usg=AOvVaw2NQti55X76xV7JsgSo8lnR" TargetMode="External"/><Relationship Id="rId41" Type="http://schemas.openxmlformats.org/officeDocument/2006/relationships/hyperlink" Target="http://www.edf-feph.org/sites/default/files/2015_03_04_edf_alternative_report_final_accessible.pdf" TargetMode="External"/><Relationship Id="rId1" Type="http://schemas.openxmlformats.org/officeDocument/2006/relationships/hyperlink" Target="http://tbinternet.ohchr.org/_layouts/treatybodyexternal/Download.aspx?symbolno=CRPD/C/GC/3&amp;Lang=en" TargetMode="External"/><Relationship Id="rId6" Type="http://schemas.openxmlformats.org/officeDocument/2006/relationships/hyperlink" Target="http://tbinternet.ohchr.org/_layouts/treatybodyexternal/Download.aspx?symbolno=CRPD/C/EU/CO/1&amp;Lang=en" TargetMode="External"/><Relationship Id="rId11" Type="http://schemas.openxmlformats.org/officeDocument/2006/relationships/hyperlink" Target="http://www.edf-feph.org/sites/default/files/edf_forced-sterilisation_8-accessible_5.pdf" TargetMode="External"/><Relationship Id="rId24" Type="http://schemas.openxmlformats.org/officeDocument/2006/relationships/hyperlink" Target="http://www.edf-feph.org/other-publications" TargetMode="External"/><Relationship Id="rId32" Type="http://schemas.openxmlformats.org/officeDocument/2006/relationships/hyperlink" Target="http://tbinternet.ohchr.org/_layouts/treatybodyexternal/Download.aspx?symbolno=CRPD/C/EU/CO/1&amp;Lang=en" TargetMode="External"/><Relationship Id="rId37" Type="http://schemas.openxmlformats.org/officeDocument/2006/relationships/hyperlink" Target="http://tbinternet.ohchr.org/_layouts/treatybodyexternal/Download.aspx?symbolno=CRPD/C/GC/3&amp;Lang=en" TargetMode="External"/><Relationship Id="rId40" Type="http://schemas.openxmlformats.org/officeDocument/2006/relationships/hyperlink" Target="http://www.edf-feph.org/other-publications" TargetMode="External"/><Relationship Id="rId45" Type="http://schemas.openxmlformats.org/officeDocument/2006/relationships/hyperlink" Target="http://www.europarl.europa.eu/sides/getDoc.do?pubRef=-//EP//TEXT+REPORT+A7-2013-0329+0+DOC+XML+V0//PL" TargetMode="External"/><Relationship Id="rId5" Type="http://schemas.openxmlformats.org/officeDocument/2006/relationships/hyperlink" Target="http://www.europarl.europa.eu/sides/getDoc.do?pubRef=-//EP//TEXT+REPORT+A7-2013-0329+0+DOC+XML+V0//PL" TargetMode="External"/><Relationship Id="rId15" Type="http://schemas.openxmlformats.org/officeDocument/2006/relationships/hyperlink" Target="https://www.un.org/development/desa/disabilities/convention-on-the-rights-of-persons-with-disabilities.html" TargetMode="External"/><Relationship Id="rId23" Type="http://schemas.openxmlformats.org/officeDocument/2006/relationships/hyperlink" Target="http://tbinternet.ohchr.org/_layouts/treatybodyexternal/Download.aspx?symbolno=CRPD/C/GC/3&amp;Lang=en" TargetMode="External"/><Relationship Id="rId28" Type="http://schemas.openxmlformats.org/officeDocument/2006/relationships/hyperlink" Target="http://tbinternet.ohchr.org/_layouts/treatybodyexternal/Download.aspx?symbolno=CRPD/C/GC/3&amp;Lang=en" TargetMode="External"/><Relationship Id="rId36" Type="http://schemas.openxmlformats.org/officeDocument/2006/relationships/hyperlink" Target="http://www.edf-feph.org/sites/default/files/edf_forced-sterilisation_8-accessible_5.pdf" TargetMode="External"/><Relationship Id="rId49" Type="http://schemas.openxmlformats.org/officeDocument/2006/relationships/hyperlink" Target="http://www.europarl.europa.eu/sides/getDoc.do?pubRef=-//EP//TEXT+REPORT+A7-2013-0329+0+DOC+XML+V0//PL" TargetMode="External"/><Relationship Id="rId10" Type="http://schemas.openxmlformats.org/officeDocument/2006/relationships/hyperlink" Target="http://tbinternet.ohchr.org/_layouts/treatybodyexternal/Download.aspx?symbolno=CRPD/C/EU/CO/1&amp;Lang=en" TargetMode="External"/><Relationship Id="rId19" Type="http://schemas.openxmlformats.org/officeDocument/2006/relationships/hyperlink" Target="http://tbinternet.ohchr.org/_layouts/treatybodyexternal/Download.aspx?symbolno=CRPD/C/GC/3&amp;Lang=en" TargetMode="External"/><Relationship Id="rId31" Type="http://schemas.openxmlformats.org/officeDocument/2006/relationships/hyperlink" Target="http://www.edf-feph.org/other-publications" TargetMode="External"/><Relationship Id="rId44" Type="http://schemas.openxmlformats.org/officeDocument/2006/relationships/hyperlink" Target="http://www.edf-feph.org/other-publications" TargetMode="External"/><Relationship Id="rId4" Type="http://schemas.openxmlformats.org/officeDocument/2006/relationships/hyperlink" Target="http://tbinternet.ohchr.org/_layouts/treatybodyexternal/Download.aspx?symbolno=CRPD/C/EU/CO/1&amp;Lang=en" TargetMode="External"/><Relationship Id="rId9" Type="http://schemas.openxmlformats.org/officeDocument/2006/relationships/hyperlink" Target="http://www.europarl.europa.eu/sides/getDoc.do?pubRef=-//EP//TEXT+REPORT+A7-2013-0329+0+DOC+XML+V0//PL" TargetMode="External"/><Relationship Id="rId14" Type="http://schemas.openxmlformats.org/officeDocument/2006/relationships/hyperlink" Target="http://www.europarl.europa.eu/sides/getDoc.do?pubRef=-//EP//TEXT+REPORT+A7-2013-0329+0+DOC+XML+V0//PL" TargetMode="External"/><Relationship Id="rId22" Type="http://schemas.openxmlformats.org/officeDocument/2006/relationships/hyperlink" Target="http://www.europarl.europa.eu/sides/getDoc.do?pubRef=-//EP//TEXT+REPORT+A7-2013-0329+0+DOC+XML+V0//PL" TargetMode="External"/><Relationship Id="rId27" Type="http://schemas.openxmlformats.org/officeDocument/2006/relationships/hyperlink" Target="http://tbinternet.ohchr.org/_layouts/treatybodyexternal/Download.aspx?symbolno=CRPD/C/EU/CO/1&amp;Lang=en" TargetMode="External"/><Relationship Id="rId30" Type="http://schemas.openxmlformats.org/officeDocument/2006/relationships/hyperlink" Target="http://tbinternet.ohchr.org/_layouts/treatybodyexternal/Download.aspx?symbolno=CRPD/C/EU/CO/1&amp;Lang=fr" TargetMode="External"/><Relationship Id="rId35" Type="http://schemas.openxmlformats.org/officeDocument/2006/relationships/hyperlink" Target="http://tbinternet.ohchr.org/_layouts/treatybodyexternal/Download.aspx?symbolno=CRPD/C/GC/3&amp;Lang=en" TargetMode="External"/><Relationship Id="rId43" Type="http://schemas.openxmlformats.org/officeDocument/2006/relationships/hyperlink" Target="http://www.edf-feph.org/other-publications" TargetMode="External"/><Relationship Id="rId48" Type="http://schemas.openxmlformats.org/officeDocument/2006/relationships/hyperlink" Target="http://tbinternet.ohchr.org/_layouts/treatybodyexternal/Download.aspx?symbolno=CRPD/C/EU/CO/1&amp;Lang=en" TargetMode="External"/><Relationship Id="rId8" Type="http://schemas.openxmlformats.org/officeDocument/2006/relationships/hyperlink" Target="http://tbinternet.ohchr.org/_layouts/treatybodyexternal/Download.aspx?symbolno=CRPD/C/GC/3&amp;Lang=en" TargetMode="External"/><Relationship Id="rId51" Type="http://schemas.openxmlformats.org/officeDocument/2006/relationships/hyperlink" Target="http://tbinternet.ohchr.org/_layouts/treatybodyexternal/Download.aspx?symbolno=CRPD/C/GC/3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75caae-a2e4-4a1b-856a-87d8a7cad937">RCSZ5D2JPTA3-4-6530</_dlc_DocId>
    <_dlc_DocIdUrl xmlns="8975caae-a2e4-4a1b-856a-87d8a7cad937">
      <Url>http://dm/EESC/2018/_layouts/DocIdRedir.aspx?ID=RCSZ5D2JPTA3-4-6530</Url>
      <Description>RCSZ5D2JPTA3-4-6530</Description>
    </_dlc_DocIdUrl>
    <MeetingNumber xmlns="72fbe377-228b-440d-9c80-c8fc7584a534">182</MeetingNumber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</TermName>
          <TermId xmlns="http://schemas.microsoft.com/office/infopath/2007/PartnerControls">ef6fd07e-7d84-45ad-8a75-9a9414a8759c</TermId>
        </TermInfo>
      </Terms>
    </DocumentType_0>
    <Procedure xmlns="8975caae-a2e4-4a1b-856a-87d8a7cad937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</TermName>
          <TermId xmlns="http://schemas.microsoft.com/office/infopath/2007/PartnerControls">13795804-ecbd-4ce5-9693-9b8be1981b20</TermId>
        </TermInfo>
      </Terms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8975caae-a2e4-4a1b-856a-87d8a7cad937">2018-05-29T12:00:00+00:00</ProductionDate>
    <DocumentNumber xmlns="72fbe377-228b-440d-9c80-c8fc7584a534">1639</DocumentNumber>
    <FicheYear xmlns="8975caae-a2e4-4a1b-856a-87d8a7cad937">2018</FicheYear>
    <DocumentVersion xmlns="8975caae-a2e4-4a1b-856a-87d8a7cad937">2</DocumentVersion>
    <DossierNumber xmlns="8975caae-a2e4-4a1b-856a-87d8a7cad937">579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8975caae-a2e4-4a1b-856a-87d8a7cad937">2018-06-06T12:00:00+00:00</MeetingDate>
    <TaxCatchAll xmlns="8975caae-a2e4-4a1b-856a-87d8a7cad937">
      <Value>45</Value>
      <Value>39</Value>
      <Value>41</Value>
      <Value>40</Value>
      <Value>33</Value>
      <Value>38</Value>
      <Value>37</Value>
      <Value>83</Value>
      <Value>82</Value>
      <Value>80</Value>
      <Value>31</Value>
      <Value>28</Value>
      <Value>27</Value>
      <Value>24</Value>
      <Value>23</Value>
      <Value>22</Value>
      <Value>21</Value>
      <Value>20</Value>
      <Value>19</Value>
      <Value>18</Value>
      <Value>16</Value>
      <Value>14</Value>
      <Value>13</Value>
      <Value>8</Value>
      <Value>7</Value>
      <Value>6</Value>
      <Value>5</Value>
      <Value>4</Value>
      <Value>1</Value>
      <Value>47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DocumentLanguage_0>
    <Rapporteur xmlns="8975caae-a2e4-4a1b-856a-87d8a7cad937">ANČA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FicheNumber xmlns="8975caae-a2e4-4a1b-856a-87d8a7cad937">6370</FicheNumber>
    <DocumentYear xmlns="8975caae-a2e4-4a1b-856a-87d8a7cad937">2018</DocumentYear>
    <AdoptionDate xmlns="8975caae-a2e4-4a1b-856a-87d8a7cad937" xsi:nil="true"/>
    <DocumentPart xmlns="8975caae-a2e4-4a1b-856a-87d8a7cad937">0</DocumentPart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</TermName>
          <TermId xmlns="http://schemas.microsoft.com/office/infopath/2007/PartnerControls">baa75797-8ce5-40f0-b0ad-6cadb965217d</TermId>
        </TermInfo>
      </Terms>
    </MeetingName_0>
    <RequestingService xmlns="8975caae-a2e4-4a1b-856a-87d8a7cad937">Emploi, affaires sociales, citoyenneté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</Terms>
    </AvailableTranslations_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92FE83957503754A807F34E13F30ACA4" ma:contentTypeVersion="4" ma:contentTypeDescription="Defines the documents for Document Manager V2" ma:contentTypeScope="" ma:versionID="ec41dd584a0d3b8949fe76330a9efc12">
  <xsd:schema xmlns:xsd="http://www.w3.org/2001/XMLSchema" xmlns:xs="http://www.w3.org/2001/XMLSchema" xmlns:p="http://schemas.microsoft.com/office/2006/metadata/properties" xmlns:ns2="8975caae-a2e4-4a1b-856a-87d8a7cad937" xmlns:ns3="http://schemas.microsoft.com/sharepoint/v3/fields" xmlns:ns4="72fbe377-228b-440d-9c80-c8fc7584a534" targetNamespace="http://schemas.microsoft.com/office/2006/metadata/properties" ma:root="true" ma:fieldsID="50c2113f0d3225ae9631067608f85749" ns2:_="" ns3:_="" ns4:_="">
    <xsd:import namespace="8975caae-a2e4-4a1b-856a-87d8a7cad937"/>
    <xsd:import namespace="http://schemas.microsoft.com/sharepoint/v3/fields"/>
    <xsd:import namespace="72fbe377-228b-440d-9c80-c8fc7584a5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5caae-a2e4-4a1b-856a-87d8a7cad9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a5648c8e-9787-4c2b-a5af-05cabe47a075}" ma:internalName="TaxCatchAll" ma:showField="CatchAllData" ma:web="8975caae-a2e4-4a1b-856a-87d8a7cad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a5648c8e-9787-4c2b-a5af-05cabe47a075}" ma:internalName="TaxCatchAllLabel" ma:readOnly="true" ma:showField="CatchAllDataLabel" ma:web="8975caae-a2e4-4a1b-856a-87d8a7cad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e377-228b-440d-9c80-c8fc7584a534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D04E-6A5E-48AF-A4C2-39AF8D6C755C}">
  <ds:schemaRefs>
    <ds:schemaRef ds:uri="http://schemas.microsoft.com/office/infopath/2007/PartnerControls"/>
    <ds:schemaRef ds:uri="http://schemas.microsoft.com/office/2006/documentManagement/types"/>
    <ds:schemaRef ds:uri="8975caae-a2e4-4a1b-856a-87d8a7cad937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sharepoint/v3/fields"/>
    <ds:schemaRef ds:uri="72fbe377-228b-440d-9c80-c8fc7584a53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470676-BA11-4F02-B286-5FDA13F4F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EDF0C-9DAA-4B99-9B53-8BB07459AA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AABA9F-BCEE-4AD2-81E9-39954C064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5caae-a2e4-4a1b-856a-87d8a7cad937"/>
    <ds:schemaRef ds:uri="http://schemas.microsoft.com/sharepoint/v3/fields"/>
    <ds:schemaRef ds:uri="72fbe377-228b-440d-9c80-c8fc7584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92B383-8535-4025-A1DB-FF7C3353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4235</Words>
  <Characters>28182</Characters>
  <Application>Microsoft Office Word</Application>
  <DocSecurity>4</DocSecurity>
  <Lines>234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Sytuacja kobiet z niepełnosprawnością (opinia rozpoznawcza na wniosek Parlamentu Europejskiego)</vt:lpstr>
      <vt:lpstr>European Agenda on Migration: Second implementation package - A permanent crisis relocation mechanism under the Dublin system</vt:lpstr>
    </vt:vector>
  </TitlesOfParts>
  <Company>CESE-CdR</Company>
  <LinksUpToDate>false</LinksUpToDate>
  <CharactersWithSpaces>32353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kobiet z niepełnosprawnością (opinia rozpoznawcza na wniosek Parlamentu Europejskiego)</dc:title>
  <dc:creator>Tomas Vocasek</dc:creator>
  <cp:keywords>EESC-2018-01639-00-02-PA-TRA-EN</cp:keywords>
  <dc:description>Rapporteur: ANČA - Original language: EN - Date of document: 29/05/2018 - Date of meeting: 06/06/2018 - External documents:  - Administrator: Mme Atzori Valeria</dc:description>
  <cp:lastModifiedBy>Lech Pilawski</cp:lastModifiedBy>
  <cp:revision>2</cp:revision>
  <cp:lastPrinted>2018-05-23T07:29:00Z</cp:lastPrinted>
  <dcterms:created xsi:type="dcterms:W3CDTF">2018-06-07T10:34:00Z</dcterms:created>
  <dcterms:modified xsi:type="dcterms:W3CDTF">2018-06-07T10:34:00Z</dcterms:modified>
  <cp:category>SOC/579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25/05/2018, 25/05/2018, 24/05/2018, 24/05/2018, 24/04/2018, 24/04/2018, 28/03/2018, 28/03/2018, 04/11/2015, 27/10/2015, 19/10/2015, 09/10/2015, 05/10/2015, 05/10/2015, 26/08/2015, 26/08/2015, 25/08/2015</vt:lpwstr>
  </property>
  <property fmtid="{D5CDD505-2E9C-101B-9397-08002B2CF9AE}" pid="4" name="Pref_Time">
    <vt:lpwstr>15:05:37, 14:02:29, 15:16:47, 15:00:09, 18:05:16, 17:29:42, 15:08:07, 14:36:28, 12:10:07, 14:44:02, 16:04:16, 14:09:30, 16:24:55, 16:04:02, 08:56:14, 07:27:56, 17:31:53</vt:lpwstr>
  </property>
  <property fmtid="{D5CDD505-2E9C-101B-9397-08002B2CF9AE}" pid="5" name="Pref_User">
    <vt:lpwstr>enied, enied, jhvi, YMUR, enied, ssex, hnic, htoo, ssex, enied, amett, tvoc, mreg, mreg, amett, enied, ssex</vt:lpwstr>
  </property>
  <property fmtid="{D5CDD505-2E9C-101B-9397-08002B2CF9AE}" pid="6" name="Pref_FileName">
    <vt:lpwstr>EESC-2018-01639-00-02-PA-ORI.docx, EESC-2018-01639-00-01-PA-ORI.docx, EESC-2018-01639-00-00-PA-TRA-EN-CRR.docx, EESC-2018-01639-00-00-PA-ORI-cduc.docx, EESC-2018-01639-00-00-APA-TRA-EN-CRR.docx, EESC-2018-01639-00-00-APA-CRR-EN.docx, EESC-2018-01639-00-00</vt:lpwstr>
  </property>
  <property fmtid="{D5CDD505-2E9C-101B-9397-08002B2CF9AE}" pid="7" name="ContentTypeId">
    <vt:lpwstr>0x010100EA97B91038054C99906057A708A1480A0092FE83957503754A807F34E13F30ACA4</vt:lpwstr>
  </property>
  <property fmtid="{D5CDD505-2E9C-101B-9397-08002B2CF9AE}" pid="8" name="_dlc_DocIdItemGuid">
    <vt:lpwstr>9708b735-156b-43ef-8bb6-3ea77a08b8cd</vt:lpwstr>
  </property>
  <property fmtid="{D5CDD505-2E9C-101B-9397-08002B2CF9AE}" pid="9" name="MeetingNumber">
    <vt:i4>182</vt:i4>
  </property>
  <property fmtid="{D5CDD505-2E9C-101B-9397-08002B2CF9AE}" pid="10" name="DocumentType_0">
    <vt:lpwstr>PA|ef6fd07e-7d84-45ad-8a75-9a9414a8759c</vt:lpwstr>
  </property>
  <property fmtid="{D5CDD505-2E9C-101B-9397-08002B2CF9AE}" pid="11" name="AvailableTranslations">
    <vt:lpwstr>38;#IT|0774613c-01ed-4e5d-a25d-11d2388de825;#22;#FI|87606a43-d45f-42d6-b8c9-e1a3457db5b7;#4;#EN|f2175f21-25d7-44a3-96da-d6a61b075e1b;#47;#ET|ff6c3f4c-b02c-4c3c-ab07-2c37995a7a0a;#20;#PL|1e03da61-4678-4e07-b136-b5024ca9197b;#24;#PT|50ccc04a-eadd-42ae-a0cb-</vt:lpwstr>
  </property>
  <property fmtid="{D5CDD505-2E9C-101B-9397-08002B2CF9AE}" pid="12" name="DossierName_0">
    <vt:lpwstr>SOC|13795804-ecbd-4ce5-9693-9b8be1981b20</vt:lpwstr>
  </property>
  <property fmtid="{D5CDD505-2E9C-101B-9397-08002B2CF9AE}" pid="13" name="DocumentSource_0">
    <vt:lpwstr>EESC|422833ec-8d7e-4e65-8e4e-8bed07ffb729</vt:lpwstr>
  </property>
  <property fmtid="{D5CDD505-2E9C-101B-9397-08002B2CF9AE}" pid="14" name="FicheYear">
    <vt:i4>2018</vt:i4>
  </property>
  <property fmtid="{D5CDD505-2E9C-101B-9397-08002B2CF9AE}" pid="15" name="DocumentNumber">
    <vt:i4>1639</vt:i4>
  </property>
  <property fmtid="{D5CDD505-2E9C-101B-9397-08002B2CF9AE}" pid="16" name="DocumentVersion">
    <vt:i4>2</vt:i4>
  </property>
  <property fmtid="{D5CDD505-2E9C-101B-9397-08002B2CF9AE}" pid="17" name="DossierNumber">
    <vt:i4>579</vt:i4>
  </property>
  <property fmtid="{D5CDD505-2E9C-101B-9397-08002B2CF9AE}" pid="18" name="DocumentSource">
    <vt:lpwstr>1;#EESC|422833ec-8d7e-4e65-8e4e-8bed07ffb729</vt:lpwstr>
  </property>
  <property fmtid="{D5CDD505-2E9C-101B-9397-08002B2CF9AE}" pid="19" name="DocumentType">
    <vt:lpwstr>83;#PA|ef6fd07e-7d84-45ad-8a75-9a9414a8759c</vt:lpwstr>
  </property>
  <property fmtid="{D5CDD505-2E9C-101B-9397-08002B2CF9AE}" pid="20" name="DocumentStatus">
    <vt:lpwstr>7;#TRA|150d2a88-1431-44e6-a8ca-0bb753ab8672</vt:lpwstr>
  </property>
  <property fmtid="{D5CDD505-2E9C-101B-9397-08002B2CF9AE}" pid="21" name="DossierName">
    <vt:lpwstr>80;#SOC|13795804-ecbd-4ce5-9693-9b8be1981b20</vt:lpwstr>
  </property>
  <property fmtid="{D5CDD505-2E9C-101B-9397-08002B2CF9AE}" pid="22" name="DocumentPart">
    <vt:i4>0</vt:i4>
  </property>
  <property fmtid="{D5CDD505-2E9C-101B-9397-08002B2CF9AE}" pid="23" name="RequestingService">
    <vt:lpwstr>Emploi, affaires sociales, citoyenneté</vt:lpwstr>
  </property>
  <property fmtid="{D5CDD505-2E9C-101B-9397-08002B2CF9AE}" pid="24" name="Confidentiality">
    <vt:lpwstr>5;#Unrestricted|826e22d7-d029-4ec0-a450-0c28ff673572</vt:lpwstr>
  </property>
  <property fmtid="{D5CDD505-2E9C-101B-9397-08002B2CF9AE}" pid="25" name="Confidentiality_0">
    <vt:lpwstr>Unrestricted|826e22d7-d029-4ec0-a450-0c28ff673572</vt:lpwstr>
  </property>
  <property fmtid="{D5CDD505-2E9C-101B-9397-08002B2CF9AE}" pid="26" name="MeetingName_0">
    <vt:lpwstr>SOC|baa75797-8ce5-40f0-b0ad-6cadb965217d</vt:lpwstr>
  </property>
  <property fmtid="{D5CDD505-2E9C-101B-9397-08002B2CF9AE}" pid="27" name="OriginalLanguage">
    <vt:lpwstr>4;#EN|f2175f21-25d7-44a3-96da-d6a61b075e1b</vt:lpwstr>
  </property>
  <property fmtid="{D5CDD505-2E9C-101B-9397-08002B2CF9AE}" pid="28" name="MeetingName">
    <vt:lpwstr>82;#SOC|baa75797-8ce5-40f0-b0ad-6cadb965217d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MeetingDate">
    <vt:filetime>2018-06-06T12:00:00Z</vt:filetime>
  </property>
  <property fmtid="{D5CDD505-2E9C-101B-9397-08002B2CF9AE}" pid="32" name="TaxCatchAll">
    <vt:lpwstr>45;#MT|7df99101-6854-4a26-b53a-b88c0da02c26;#41;#SV|c2ed69e7-a339-43d7-8f22-d93680a92aa0;#33;#EL|6d4f4d51-af9b-4650-94b4-4276bee85c91;#38;#IT|0774613c-01ed-4e5d-a25d-11d2388de825;#83;#PA|ef6fd07e-7d84-45ad-8a75-9a9414a8759c;#82;#SOC|baa75797-8ce5-40f0-b0a</vt:lpwstr>
  </property>
  <property fmtid="{D5CDD505-2E9C-101B-9397-08002B2CF9AE}" pid="33" name="AvailableTranslations_0">
    <vt:lpwstr>IT|0774613c-01ed-4e5d-a25d-11d2388de825;FI|87606a43-d45f-42d6-b8c9-e1a3457db5b7;EN|f2175f21-25d7-44a3-96da-d6a61b075e1b;PT|50ccc04a-eadd-42ae-a0cb-acaf45f812ba;SK|46d9fce0-ef79-4f71-b89b-cd6aa82426b8;MT|7df99101-6854-4a26-b53a-b88c0da02c26;CS|72f9705b-021</vt:lpwstr>
  </property>
  <property fmtid="{D5CDD505-2E9C-101B-9397-08002B2CF9AE}" pid="34" name="VersionStatus">
    <vt:lpwstr>6;#Final|ea5e6674-7b27-4bac-b091-73adbb394efe</vt:lpwstr>
  </property>
  <property fmtid="{D5CDD505-2E9C-101B-9397-08002B2CF9AE}" pid="35" name="Rapporteur">
    <vt:lpwstr>ANČA</vt:lpwstr>
  </property>
  <property fmtid="{D5CDD505-2E9C-101B-9397-08002B2CF9AE}" pid="36" name="VersionStatus_0">
    <vt:lpwstr>Final|ea5e6674-7b27-4bac-b091-73adbb394efe</vt:lpwstr>
  </property>
  <property fmtid="{D5CDD505-2E9C-101B-9397-08002B2CF9AE}" pid="37" name="FicheNumber">
    <vt:i4>6370</vt:i4>
  </property>
  <property fmtid="{D5CDD505-2E9C-101B-9397-08002B2CF9AE}" pid="38" name="DocumentYear">
    <vt:i4>2018</vt:i4>
  </property>
  <property fmtid="{D5CDD505-2E9C-101B-9397-08002B2CF9AE}" pid="39" name="DocumentLanguage">
    <vt:lpwstr>20;#PL|1e03da61-4678-4e07-b136-b5024ca9197b</vt:lpwstr>
  </property>
</Properties>
</file>