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0E" w:rsidRDefault="0079060E" w:rsidP="00A86935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79060E" w:rsidRDefault="0079060E" w:rsidP="00A86935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79060E" w:rsidRDefault="0079060E" w:rsidP="0079060E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Informacja nt. postępowania </w:t>
      </w:r>
      <w:proofErr w:type="spellStart"/>
      <w:r>
        <w:rPr>
          <w:rFonts w:ascii="Calibri" w:hAnsi="Calibri" w:cs="Calibri"/>
          <w:b/>
          <w:sz w:val="22"/>
          <w:szCs w:val="22"/>
          <w:lang w:val="pl-PL"/>
        </w:rPr>
        <w:t>ws</w:t>
      </w:r>
      <w:proofErr w:type="spellEnd"/>
      <w:r>
        <w:rPr>
          <w:rFonts w:ascii="Calibri" w:hAnsi="Calibri" w:cs="Calibri"/>
          <w:b/>
          <w:sz w:val="22"/>
          <w:szCs w:val="22"/>
          <w:lang w:val="pl-PL"/>
        </w:rPr>
        <w:t>.</w:t>
      </w:r>
    </w:p>
    <w:p w:rsidR="0079060E" w:rsidRDefault="0079060E" w:rsidP="0079060E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ustawy z dnia 15 grudnia 2017 r. o zmianie ustawy o systemie ubezpieczeń społecznych oraz niektórych innych ustaw</w:t>
      </w:r>
    </w:p>
    <w:p w:rsidR="0079060E" w:rsidRDefault="0079060E" w:rsidP="0079060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Cel ustawy </w:t>
      </w:r>
    </w:p>
    <w:p w:rsidR="0079060E" w:rsidRP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Ustawa znosi limit składek na ubezpieczenia </w:t>
      </w:r>
      <w:proofErr w:type="spellStart"/>
      <w:r>
        <w:rPr>
          <w:rFonts w:ascii="Calibri" w:hAnsi="Calibri" w:cs="Calibri"/>
          <w:sz w:val="22"/>
          <w:szCs w:val="22"/>
          <w:lang w:val="pl-PL"/>
        </w:rPr>
        <w:t>emerytalno</w:t>
      </w:r>
      <w:proofErr w:type="spellEnd"/>
      <w:r>
        <w:rPr>
          <w:rFonts w:ascii="Calibri" w:hAnsi="Calibri" w:cs="Calibri"/>
          <w:sz w:val="22"/>
          <w:szCs w:val="22"/>
          <w:lang w:val="pl-PL"/>
        </w:rPr>
        <w:t xml:space="preserve"> – rentowe. </w:t>
      </w:r>
      <w:r w:rsidRPr="0079060E">
        <w:rPr>
          <w:rFonts w:ascii="Calibri" w:hAnsi="Calibri" w:cs="Calibri"/>
          <w:sz w:val="22"/>
          <w:szCs w:val="22"/>
          <w:lang w:val="pl-PL"/>
        </w:rPr>
        <w:t>Obecnie składka na ubezpieczenie emerytalno-rentowe opłacana jest do kwoty limitu, tj. 30 krotności prognozowanego przeciętnego wynagrodzenia miesięcznego.</w:t>
      </w:r>
    </w:p>
    <w:p w:rsid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Zniesienie limitu oznacza, iż pracownicy przekraczający roczny limit będą otrzymywać niższe wynagrodzenie netto, a jednocześnie pracodawcy będą zmuszeni ponieść dodatkowe koszty składek. Niektóre firmy szacują, iż kwoty dodatkowych kosztów z tytułu opłacenia podwyższonych składek  mogą wynieść od kilku do kilkunastu milionów złotych w skali roku.</w:t>
      </w:r>
    </w:p>
    <w:p w:rsid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Ustawa ma wejść w życie z dniem 1 stycznia 2019 r. </w:t>
      </w:r>
    </w:p>
    <w:p w:rsid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Wniosek Prezydenta RP do TK</w:t>
      </w:r>
    </w:p>
    <w:p w:rsidR="0079060E" w:rsidRDefault="0079060E" w:rsidP="0079060E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Konfederacja Lewiatan wraz z NSZZ Solidarność postulowały do Prezydenta RP o zakwestionowanie ustawy, w szczególności ze względu </w:t>
      </w:r>
      <w:r w:rsidR="00A61A2F">
        <w:rPr>
          <w:rFonts w:ascii="Calibri" w:hAnsi="Calibri" w:cs="Calibri"/>
          <w:sz w:val="22"/>
          <w:szCs w:val="22"/>
          <w:lang w:val="pl-PL"/>
        </w:rPr>
        <w:t>na naruszenie zasad procedowania</w:t>
      </w:r>
      <w:r>
        <w:rPr>
          <w:rFonts w:ascii="Calibri" w:hAnsi="Calibri" w:cs="Calibri"/>
          <w:sz w:val="22"/>
          <w:szCs w:val="22"/>
          <w:lang w:val="pl-PL"/>
        </w:rPr>
        <w:t xml:space="preserve"> przedmiotowej ustawy. </w:t>
      </w:r>
    </w:p>
    <w:p w:rsidR="0079060E" w:rsidRDefault="0079060E" w:rsidP="0079060E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Prezydent RP przed podpisanie</w:t>
      </w:r>
      <w:r w:rsidR="00A61A2F">
        <w:rPr>
          <w:rFonts w:ascii="Calibri" w:hAnsi="Calibri" w:cs="Calibri"/>
          <w:sz w:val="22"/>
          <w:szCs w:val="22"/>
          <w:lang w:val="pl-PL"/>
        </w:rPr>
        <w:t>m</w:t>
      </w:r>
      <w:r>
        <w:rPr>
          <w:rFonts w:ascii="Calibri" w:hAnsi="Calibri" w:cs="Calibri"/>
          <w:sz w:val="22"/>
          <w:szCs w:val="22"/>
          <w:lang w:val="pl-PL"/>
        </w:rPr>
        <w:t xml:space="preserve"> ustawy wniósł wniosek o zbadanie zgodności ustawy z dnia 15 grudnia 2017 r. o zmianie ustawy o systemie ubezpieczeń społecznych oraz niektórych innych ustaw z art. 2, art. 7 i art. 59 ust. 2 w związku z art. 12 i art. 20 Konstytucji Rzeczypospolitej Polskiej</w:t>
      </w:r>
    </w:p>
    <w:p w:rsidR="0079060E" w:rsidRDefault="0079060E" w:rsidP="0079060E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Zarzuty prawne w stosunku do ustawy. </w:t>
      </w:r>
      <w:r>
        <w:rPr>
          <w:rFonts w:ascii="Calibri" w:hAnsi="Calibri" w:cs="Calibri"/>
        </w:rPr>
        <w:t>Ar</w:t>
      </w:r>
      <w:r w:rsidR="00A61A2F">
        <w:rPr>
          <w:rFonts w:ascii="Calibri" w:hAnsi="Calibri" w:cs="Calibri"/>
        </w:rPr>
        <w:t xml:space="preserve">gumenty prawne </w:t>
      </w:r>
      <w:r>
        <w:rPr>
          <w:rFonts w:ascii="Calibri" w:hAnsi="Calibri" w:cs="Calibri"/>
        </w:rPr>
        <w:t>w głównej mierze dotyczą naruszenia przepisów Konstytucji RP dotyczących zasad stanowienia prawa i roli dialogu społecznego.</w:t>
      </w: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numPr>
          <w:ilvl w:val="0"/>
          <w:numId w:val="19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naruszenie zasad dialogu społecznego (rola dialogu społecznego w Konstytucji RP, ustawa o RD</w:t>
      </w:r>
      <w:r w:rsidR="00A61A2F">
        <w:rPr>
          <w:rFonts w:ascii="Calibri" w:hAnsi="Calibri" w:cs="Calibri"/>
          <w:b/>
        </w:rPr>
        <w:t>S, ustawa o związkach zawodowych</w:t>
      </w:r>
      <w:r>
        <w:rPr>
          <w:rFonts w:ascii="Calibri" w:hAnsi="Calibri" w:cs="Calibri"/>
          <w:b/>
        </w:rPr>
        <w:t>, ustawa o organizacjach pracodawców)</w:t>
      </w:r>
    </w:p>
    <w:p w:rsidR="0079060E" w:rsidRDefault="0079060E" w:rsidP="0079060E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2"/>
          <w:szCs w:val="22"/>
          <w:lang w:val="pl-PL" w:eastAsia="pl-PL"/>
        </w:rPr>
      </w:pPr>
      <w:r w:rsidRPr="0079060E">
        <w:rPr>
          <w:rFonts w:ascii="Calibri" w:hAnsi="Calibri" w:cs="Calibri"/>
          <w:sz w:val="22"/>
          <w:szCs w:val="22"/>
          <w:lang w:val="pl-PL"/>
        </w:rPr>
        <w:t xml:space="preserve">W dniu 26 października br. projekt został przedstawiony i skierowany do konsultacji. </w:t>
      </w:r>
      <w:r>
        <w:rPr>
          <w:rFonts w:ascii="Calibri" w:hAnsi="Calibri" w:cs="Calibri"/>
          <w:sz w:val="22"/>
          <w:szCs w:val="22"/>
          <w:lang w:val="pl-PL"/>
        </w:rPr>
        <w:t xml:space="preserve">W dniu 31 października 2017 r. projekt ustawy został już skierowany do Sejmu RP, a w dniu 9 listopada 2017 r. odbyło się jego pierwsze czytanie. </w:t>
      </w:r>
    </w:p>
    <w:p w:rsidR="0079060E" w:rsidRDefault="0079060E" w:rsidP="0079060E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2"/>
          <w:szCs w:val="22"/>
          <w:lang w:val="pl-PL" w:eastAsia="pl-PL"/>
        </w:rPr>
      </w:pPr>
      <w:r>
        <w:rPr>
          <w:rFonts w:ascii="Calibri" w:hAnsi="Calibri" w:cs="Calibri"/>
          <w:sz w:val="22"/>
          <w:szCs w:val="22"/>
          <w:lang w:val="pl-PL"/>
        </w:rPr>
        <w:t>K</w:t>
      </w:r>
      <w:r>
        <w:rPr>
          <w:rFonts w:ascii="Calibri" w:hAnsi="Calibri" w:cs="Calibri"/>
          <w:sz w:val="22"/>
          <w:szCs w:val="22"/>
          <w:lang w:val="pl-PL" w:eastAsia="pl-PL"/>
        </w:rPr>
        <w:t xml:space="preserve">onsultacje publiczne, w szczególności konsultacje z Radą Dialogu Społecznego i reprezentatywnymi organizacjami związkowymi i organizacjami pracodawców, </w:t>
      </w:r>
      <w:r>
        <w:rPr>
          <w:rFonts w:ascii="Calibri" w:hAnsi="Calibri" w:cs="Calibri"/>
          <w:b/>
          <w:sz w:val="22"/>
          <w:szCs w:val="22"/>
          <w:lang w:val="pl-PL" w:eastAsia="pl-PL"/>
        </w:rPr>
        <w:t>były procesem fasadowym</w:t>
      </w:r>
      <w:r>
        <w:rPr>
          <w:rFonts w:ascii="Calibri" w:hAnsi="Calibri" w:cs="Calibri"/>
          <w:sz w:val="22"/>
          <w:szCs w:val="22"/>
          <w:lang w:val="pl-PL" w:eastAsia="pl-PL"/>
        </w:rPr>
        <w:t>, przeprowadzonym w sposób, w który organizacje te nie miały wystarczającej ilości czasu na przygotowanie swoich stanowisk, a przedstawiciele organów władzy publicznej, z uwagi na tempo prac legislacyjnych, nie mieli realnej możliwości merytorycznego zapoznania się z tymi stanowiskami.</w:t>
      </w:r>
    </w:p>
    <w:p w:rsidR="0079060E" w:rsidRDefault="0079060E" w:rsidP="0079060E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1"/>
          <w:szCs w:val="21"/>
          <w:lang w:val="pl-PL" w:eastAsia="pl-PL"/>
        </w:rPr>
      </w:pPr>
      <w:r>
        <w:rPr>
          <w:rFonts w:ascii="Calibri" w:hAnsi="Calibri" w:cs="Calibri"/>
          <w:sz w:val="21"/>
          <w:szCs w:val="21"/>
          <w:lang w:val="pl-PL" w:eastAsia="pl-PL"/>
        </w:rPr>
        <w:t>W świetle art. 20 Konstytucji RP  społeczna gospodarka rynkowa oparta (…. ) na dialogu i współpracy partnerów społecznych stanowi podstawę ustroju gospodarczego Rzeczypospolitej Polskiej. Konstytucja przyznaje zatem dialogowi i współpracy partnerów społecznych szczególną rolę w kształtowaniu ustroju gospodarczego.</w:t>
      </w:r>
    </w:p>
    <w:p w:rsidR="0079060E" w:rsidRDefault="0079060E" w:rsidP="0079060E">
      <w:pPr>
        <w:pStyle w:val="Akapitzlist"/>
        <w:spacing w:after="120"/>
        <w:ind w:left="360"/>
        <w:jc w:val="both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naruszenie zasady racjonalności i określoności,</w:t>
      </w:r>
      <w:r>
        <w:rPr>
          <w:rFonts w:ascii="Calibri" w:hAnsi="Calibri" w:cs="Calibri"/>
        </w:rPr>
        <w:t xml:space="preserve"> która nakłada na ust</w:t>
      </w:r>
      <w:r w:rsidR="00A61A2F">
        <w:rPr>
          <w:rFonts w:ascii="Calibri" w:hAnsi="Calibri" w:cs="Calibri"/>
        </w:rPr>
        <w:t xml:space="preserve">awodawcę </w:t>
      </w:r>
      <w:r>
        <w:rPr>
          <w:rFonts w:ascii="Calibri" w:hAnsi="Calibri" w:cs="Calibri"/>
        </w:rPr>
        <w:t xml:space="preserve">szczególny obowiązek zachowania gwarancji maksymalnej przewidywalności i obliczalności rozstrzygnięć podejmowanych przez organy publiczne. </w:t>
      </w: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Dokonując zmiany w systemie zabezpieczenia społecznego powinien jednak przestrzegać standardów prawidłowej legislacji i działać z zachowaniem wymagań racjonalności prawodawcy.</w:t>
      </w:r>
    </w:p>
    <w:p w:rsidR="0079060E" w:rsidRDefault="0079060E" w:rsidP="0079060E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nowelizacja nie zawiera prawidłowej OSR.</w:t>
      </w:r>
      <w:r>
        <w:rPr>
          <w:rFonts w:ascii="Calibri" w:hAnsi="Calibri" w:cs="Calibri"/>
        </w:rPr>
        <w:t xml:space="preserve"> W istocie analiza ta jest całkowicie pozorna i prowadzi do błędnych wniosków. Na pro</w:t>
      </w:r>
      <w:r w:rsidR="00A61A2F">
        <w:rPr>
          <w:rFonts w:ascii="Calibri" w:hAnsi="Calibri" w:cs="Calibri"/>
        </w:rPr>
        <w:t>blemy te zwracał uwagę w swoim w</w:t>
      </w:r>
      <w:r>
        <w:rPr>
          <w:rFonts w:ascii="Calibri" w:hAnsi="Calibri" w:cs="Calibri"/>
        </w:rPr>
        <w:t>niosku Prezydent RP, słusznie</w:t>
      </w:r>
      <w:r w:rsidR="00A61A2F">
        <w:rPr>
          <w:rFonts w:ascii="Calibri" w:hAnsi="Calibri" w:cs="Calibri"/>
        </w:rPr>
        <w:t xml:space="preserve"> wskazując, że wejście w życie n</w:t>
      </w:r>
      <w:r>
        <w:rPr>
          <w:rFonts w:ascii="Calibri" w:hAnsi="Calibri" w:cs="Calibri"/>
        </w:rPr>
        <w:t xml:space="preserve">owelizacji doprowadzi do znacznego podniesienia kosztów pracy, co z kolei spowoduje przejście pracowników na cywilnoprawne formy współpracy. </w:t>
      </w:r>
    </w:p>
    <w:p w:rsidR="0079060E" w:rsidRDefault="0079060E" w:rsidP="0079060E">
      <w:pPr>
        <w:pStyle w:val="Akapitzlist"/>
        <w:spacing w:after="120"/>
        <w:ind w:left="180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Brak szeregu dodatkowych informacji, które powinny być zawarte w Ocenie Skutków Regulacji. </w:t>
      </w:r>
    </w:p>
    <w:p w:rsidR="0079060E" w:rsidRDefault="0079060E" w:rsidP="0079060E">
      <w:pPr>
        <w:pStyle w:val="Akapitzlist"/>
        <w:spacing w:after="120"/>
        <w:ind w:left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Dotyczy to, w szczególności, braku informacji na temat konsultacji społecznych (pkt 5 Oceny Skutków Regulacji). Zgodnie z art. 34 ust. 3 Regulaminu Sejmu RP uzasadnienie do projektu powinno przedstawiać wyniki przeprowadzanych konsultacji oraz informować o przedstawionych wariantach i opiniach, w szczególności jeżeli obowiązek zasięgania takich opinii wynika z przepisów ustawy. Ponadto w OSR brakuje informacji o źródłach finansowania, w szczególności w zakresie potencjalnej wysokości przyszłych świadczeń emerytalnych i rentowych osób przekraczających obecny limit. OSR i uzasadnienie zawierają także nieścisłości dotyczące sytuacji mikro, małych i średnich przedsiębiorstw w związku z nowelizacją.</w:t>
      </w:r>
    </w:p>
    <w:p w:rsidR="0079060E" w:rsidRDefault="0079060E" w:rsidP="0079060E">
      <w:pPr>
        <w:pStyle w:val="Akapitzlist"/>
        <w:numPr>
          <w:ilvl w:val="1"/>
          <w:numId w:val="20"/>
        </w:numPr>
        <w:spacing w:after="12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nowelizacja nie zawiera wystarczającego uzasadnienia pozwalającego na stwierdzenie, że całkowite zniesienie limitu składek </w:t>
      </w:r>
      <w:proofErr w:type="spellStart"/>
      <w:r>
        <w:rPr>
          <w:rFonts w:ascii="Calibri" w:hAnsi="Calibri" w:cs="Calibri"/>
        </w:rPr>
        <w:t>emerytalno</w:t>
      </w:r>
      <w:proofErr w:type="spellEnd"/>
      <w:r>
        <w:rPr>
          <w:rFonts w:ascii="Calibri" w:hAnsi="Calibri" w:cs="Calibri"/>
        </w:rPr>
        <w:t>–rentowych jest działaniem niezbędnym z punktu widzenia legislacyjnego, fiskalnego i konstytucyjnego.</w:t>
      </w:r>
    </w:p>
    <w:p w:rsidR="0079060E" w:rsidRDefault="0079060E" w:rsidP="0079060E">
      <w:pPr>
        <w:pStyle w:val="Akapitzlist"/>
        <w:spacing w:after="120"/>
        <w:ind w:left="1800"/>
        <w:jc w:val="both"/>
        <w:rPr>
          <w:rFonts w:ascii="Calibri" w:hAnsi="Calibri" w:cs="Calibri"/>
        </w:rPr>
      </w:pPr>
    </w:p>
    <w:p w:rsidR="0079060E" w:rsidRDefault="0079060E" w:rsidP="0079060E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brak </w:t>
      </w:r>
      <w:r>
        <w:rPr>
          <w:rFonts w:ascii="Calibri" w:hAnsi="Calibri" w:cs="Calibri"/>
          <w:b/>
        </w:rPr>
        <w:t>wskazania wyższej „wartości</w:t>
      </w:r>
      <w:r>
        <w:rPr>
          <w:rFonts w:ascii="Calibri" w:hAnsi="Calibri" w:cs="Calibri"/>
        </w:rPr>
        <w:t xml:space="preserve">”, która stała za tak szczególnym trybem procedowania ustawy.  </w:t>
      </w:r>
      <w:r>
        <w:rPr>
          <w:rFonts w:ascii="Calibri" w:hAnsi="Calibri" w:cs="Calibri"/>
          <w:i/>
        </w:rPr>
        <w:t xml:space="preserve">W ocenie Sejmu, Trybunał winien uznać za priorytetowe dochowanie wskazanej tu wartości oraz konstytucyjnych powinności rządu, Sejmu i Senatu i to nawet kosztem niezachowania w pełni ustawowo wymaganych terminów konsultowania projektów z organizacjami społecznymi. (…) </w:t>
      </w:r>
      <w:r>
        <w:rPr>
          <w:rFonts w:ascii="Calibri" w:hAnsi="Calibri" w:cs="Calibri"/>
        </w:rPr>
        <w:t xml:space="preserve"> Powyższe stwierdzenia nie mają odzwierciedlania w faktach i wcześniejszych stanowiskach rządu. W żaden sposób uzasadnienie do projektu ustawy, OSR, jak i wypowiedzi członków rządu nie wskazywały na potrzebę tak pilnych działań legislacyjnych i zły stan finansów publicznych. </w:t>
      </w: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</w:rPr>
      </w:pPr>
    </w:p>
    <w:p w:rsidR="0079060E" w:rsidRDefault="00A61A2F" w:rsidP="0079060E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naruszenie zasady</w:t>
      </w:r>
      <w:r w:rsidR="0079060E">
        <w:rPr>
          <w:rFonts w:ascii="Calibri" w:hAnsi="Calibri" w:cs="Calibri"/>
          <w:b/>
        </w:rPr>
        <w:t xml:space="preserve"> zaufania obywateli do państwa i stanowionego przez nie prawa - </w:t>
      </w:r>
      <w:r w:rsidR="0079060E">
        <w:rPr>
          <w:rFonts w:ascii="Calibri" w:hAnsi="Calibri" w:cs="Calibri"/>
        </w:rPr>
        <w:t>Dyskrecjonalność i szybkie tempo prac ustawodawczych, a także brak możliwości realnego przedstawienia stanowiska w toku konsultacji publicznych, wywołają sytuację, w której zarówno pracownik, jak i pracodawca nie są pewni swojej sytuacji prawnej. Prezentowany tryb prac ustawodawczych dotyczących regulacji o podstawowym znaczeniu dla bezpieczeństwa socjalnego jednostki należy uznać za przejaw krańcowego zlekceważenia standardów wynikających z zasady zaufania obywateli do państwa i stanowionego przez nie prawa.</w:t>
      </w:r>
    </w:p>
    <w:p w:rsidR="0079060E" w:rsidRDefault="0079060E" w:rsidP="0079060E">
      <w:pPr>
        <w:pStyle w:val="Akapitzlist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numPr>
          <w:ilvl w:val="0"/>
          <w:numId w:val="20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naruszenie standardów dotyczących gospodarki rynkowej i prowadzenia działalności gospodarczej - </w:t>
      </w:r>
      <w:r>
        <w:rPr>
          <w:rFonts w:ascii="Calibri" w:hAnsi="Calibri" w:cs="Calibri"/>
        </w:rPr>
        <w:t>nowelizacja prowadząc do znacznego wzrostu kosztów pracy wpływa negatywnie na wolność prowadzenia działalności gospodarczej przez przedsiębiorców, dodatkowo czyni to w sposób dyskrecjonalny, bez wyraźnego wskazania wartości konstytucyjnej oraz interesu publicznego, którym przedmiotowa ingerencja regulacyjna ma służyć.</w:t>
      </w:r>
    </w:p>
    <w:p w:rsidR="0079060E" w:rsidRDefault="0079060E" w:rsidP="0079060E">
      <w:pPr>
        <w:pStyle w:val="Akapitzlist"/>
        <w:ind w:left="360"/>
        <w:jc w:val="both"/>
        <w:rPr>
          <w:rFonts w:ascii="Calibri" w:eastAsia="Calibri" w:hAnsi="Calibri" w:cs="Calibri"/>
        </w:rPr>
      </w:pPr>
    </w:p>
    <w:p w:rsidR="0079060E" w:rsidRDefault="0079060E" w:rsidP="0079060E">
      <w:pPr>
        <w:pStyle w:val="Akapitzlist"/>
        <w:numPr>
          <w:ilvl w:val="0"/>
          <w:numId w:val="20"/>
        </w:numPr>
        <w:spacing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liczba naruszeń norm regulujących procedurę prawodawczą jest bardzo duża:</w:t>
      </w:r>
    </w:p>
    <w:p w:rsidR="0079060E" w:rsidRDefault="0079060E" w:rsidP="0079060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ustawa o RDS wskazuje, iż strona rządowa powinna poczekać ze skierowaniem projektu ustawy do Sejmu RP do czasu upływu terminu (30 dni) na podjęcie przez stronę pracowników, pracodawców stosownej uchwały. </w:t>
      </w:r>
    </w:p>
    <w:p w:rsidR="0079060E" w:rsidRDefault="0079060E" w:rsidP="0079060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w świetle ww. art. 19 ust 3 ustawy o związkach zawodowych w razie odrzucenia w całości lub w części stanowiska związku, właściwy organ administracji rządowej lub samorządu terytorialnego </w:t>
      </w:r>
      <w:r>
        <w:rPr>
          <w:rFonts w:ascii="Calibri" w:eastAsia="Calibri" w:hAnsi="Calibri" w:cs="Calibri"/>
          <w:b/>
          <w:sz w:val="22"/>
          <w:szCs w:val="22"/>
          <w:lang w:val="pl-PL"/>
        </w:rPr>
        <w:t>informuje o tym związek na piśmie, podając uzasadnienie swojego stanowiska</w:t>
      </w:r>
      <w:r>
        <w:rPr>
          <w:rFonts w:ascii="Calibri" w:eastAsia="Calibri" w:hAnsi="Calibri" w:cs="Calibri"/>
          <w:sz w:val="22"/>
          <w:szCs w:val="22"/>
          <w:lang w:val="pl-PL"/>
        </w:rPr>
        <w:t>. Rząd nie odpowiedział na stanowiska związków zawodowych i organizacji pracodawców.</w:t>
      </w:r>
    </w:p>
    <w:p w:rsidR="0079060E" w:rsidRDefault="0079060E" w:rsidP="0079060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do dzisiaj na stronie Rządowego Centrum Legislacji oraz BIP nie można odnaleźć dokumentów związanych z projektem.</w:t>
      </w:r>
    </w:p>
    <w:p w:rsidR="0079060E" w:rsidRDefault="0079060E" w:rsidP="0079060E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ind w:left="1440"/>
        <w:contextualSpacing/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deklaracja o rozpatrzeniu uwag i opinii strony społecznej w trakcie prac parlamentarnych. 31 października 2017 r. Uzasadnienie do projektu powinno przedstawiać wyniki przeprowadzanych konsultacji oraz informować o przedstawionych wariantach i opiniach, w szczególności jeżeli obowiązek zasięgania takich opinii wynika z przepisów ustawy (art. 34 ust. 3 Regulaminu Sejmu RP).</w:t>
      </w:r>
    </w:p>
    <w:p w:rsidR="0079060E" w:rsidRDefault="0079060E" w:rsidP="0079060E">
      <w:pPr>
        <w:pStyle w:val="Akapitzlist"/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Czy rząd jest związany opinią partnerów społecznych?</w:t>
      </w:r>
    </w:p>
    <w:p w:rsidR="0079060E" w:rsidRDefault="0079060E" w:rsidP="0079060E">
      <w:pPr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Oczywiście, że nie. Organ administracji rządowej powinien jednak wyznaczając termin na opiniowanie uwzględnić fakt, iż musi odnieść się na piśmie do uwag związków zawodowych i organizacji pracodawców, podając uzasadnienie swojego stanowiska. W przypadku procedowanego projektu organ administracji rządowej nie odniósł się w żaden sposób do przekazanych krytycznych uwag partnerów społecznych. W świetle ww. art. 19 ust 3 ustawy o związkach zawodowych w razie odrzucenia w całości lub w części stanowiska związku, właściwy organ administracji rządowej lub samorządu terytorialnego informuje o tym związek na piśmie, podając uzasadnienie swojego stanowiska. Dokumenty przedstawione Sejmowi RP i Senatowi RP nie zawierały żadnego odniesienia do stanowisk partnerów społecznych </w:t>
      </w:r>
    </w:p>
    <w:p w:rsidR="0079060E" w:rsidRDefault="0079060E" w:rsidP="0079060E">
      <w:pPr>
        <w:ind w:left="108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W stanowisku Prokuratora Generalnego pojawia się elementem „nasilenia” naruszenia oraz „ogólnego charakteru regulowanej materii”. </w:t>
      </w: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spacing w:after="120"/>
        <w:ind w:left="10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można mieć wątpliwości, iż przedmiot badanej ustawy rodził po stornie obywateli, pomiotów zasadnicze skutki społeczno-gospodarcze. Proponowane zmiany mają bezsprzecznie systemowy charakter i wywołują poważne skutki w sferze ubezpieczeń społecznych, przychodów FUS, budżetu, jednostek samorządu terytorialnego, Narodowego Funduszu Zdrowia oraz rynku pracy. </w:t>
      </w:r>
      <w:r>
        <w:rPr>
          <w:rFonts w:ascii="Calibri" w:hAnsi="Calibri" w:cs="Calibri"/>
          <w:b/>
        </w:rPr>
        <w:t>Tym bardziej, w kontekście tej ustawy należy przyjąć bardzo krytyczny wzorzec właściwego działania organów administracji rządowej.</w:t>
      </w:r>
      <w:r>
        <w:rPr>
          <w:rFonts w:ascii="Calibri" w:hAnsi="Calibri" w:cs="Calibri"/>
        </w:rPr>
        <w:t xml:space="preserve"> </w:t>
      </w:r>
    </w:p>
    <w:p w:rsidR="0079060E" w:rsidRPr="0079060E" w:rsidRDefault="0079060E" w:rsidP="0079060E">
      <w:pPr>
        <w:spacing w:after="120"/>
        <w:jc w:val="both"/>
        <w:rPr>
          <w:rFonts w:ascii="Calibri" w:hAnsi="Calibri" w:cs="Calibri"/>
          <w:b/>
          <w:lang w:val="pl-PL"/>
        </w:rPr>
      </w:pPr>
    </w:p>
    <w:p w:rsidR="0079060E" w:rsidRDefault="0079060E" w:rsidP="0079060E">
      <w:pPr>
        <w:pStyle w:val="Akapitzlist"/>
        <w:numPr>
          <w:ilvl w:val="0"/>
          <w:numId w:val="18"/>
        </w:numPr>
        <w:spacing w:after="120" w:line="25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Konsekwencje dla ubezpieczeń społecznych </w:t>
      </w:r>
    </w:p>
    <w:p w:rsidR="0079060E" w:rsidRDefault="0079060E" w:rsidP="0079060E">
      <w:pPr>
        <w:pStyle w:val="Akapitzlist"/>
        <w:spacing w:after="120"/>
        <w:jc w:val="both"/>
        <w:rPr>
          <w:rFonts w:ascii="Calibri" w:hAnsi="Calibri" w:cs="Calibri"/>
          <w:b/>
        </w:rPr>
      </w:pPr>
    </w:p>
    <w:p w:rsidR="0079060E" w:rsidRDefault="0079060E" w:rsidP="0079060E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zniesienie ograniczenia podstawy wymiaru (zasada trzydziestokrotności) spowoduje w perspektywie długofalowej, problem wynikający z rozwarstwienia wysokości świadczeń emerytalnych. Zjawisko to, które można określić jako powstanie „kominów emerytalnych”, jest sprzeczne z zasadą solidarności społecznej i szkodliwe z punktu widzenia długofalowej stabilizacji wydatków z FUS. Powstawanie dużych rozbieżności wysokości świadczeń emerytalnych w przyszłości, będzie rodziło presję na zmianę sposobu waloryzacji świadczeń emerytalnych, co z kolei przyczyni się do braku możliwości adekwatnej waloryzacji najniższych świadczeń emerytalnych.</w:t>
      </w:r>
      <w:r>
        <w:rPr>
          <w:rFonts w:ascii="Calibri" w:hAnsi="Calibri" w:cs="Calibri"/>
          <w:color w:val="00A2FF" w:themeColor="accent1"/>
        </w:rPr>
        <w:t xml:space="preserve"> </w:t>
      </w:r>
      <w:r>
        <w:rPr>
          <w:rFonts w:ascii="Calibri" w:hAnsi="Calibri" w:cs="Calibri"/>
        </w:rPr>
        <w:t>Zrodzi to w przyszłości frustracje i niepokoje społeczne.</w:t>
      </w:r>
    </w:p>
    <w:p w:rsidR="0079060E" w:rsidRDefault="0079060E" w:rsidP="0079060E">
      <w:pPr>
        <w:pStyle w:val="Akapitzlist"/>
        <w:numPr>
          <w:ilvl w:val="0"/>
          <w:numId w:val="22"/>
        </w:numPr>
        <w:spacing w:after="120" w:line="240" w:lineRule="auto"/>
        <w:ind w:right="56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Projektowana zmiana zmniejszy obecnie deficyt Funduszu Ubezpieczeń Społecznych, ale w przyszłości znacznie go zwiększy, pogłębiając nierównowagę dochodów i wydatków FUS (nastąpi akumulacja przyszłych zobowiązań systemu).  Osoby o wysokich dochodach zazwyczaj bardziej dbają o zdrowie i żyją oraz pobierają świadczenia dłużej od średniej. Ponadto małżonkom osób pobierających wysokie emerytury przysługuje renta, zazwyczaj wyższa niż ich własna emerytura. </w:t>
      </w:r>
    </w:p>
    <w:p w:rsidR="00A61A2F" w:rsidRDefault="0079060E" w:rsidP="0079060E">
      <w:pPr>
        <w:pStyle w:val="Akapitzlist"/>
        <w:numPr>
          <w:ilvl w:val="0"/>
          <w:numId w:val="22"/>
        </w:numPr>
        <w:spacing w:after="120" w:line="240" w:lineRule="auto"/>
        <w:ind w:right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Proponowane w projekcie rozwiązanie spowoduje dalsze rozwarstwienie obowiązków składkowych i przenoszenie ciężarów utrzymania systemu ubezpieczeń społecznych na osoby posiadające status pracowników. </w:t>
      </w:r>
    </w:p>
    <w:p w:rsidR="00A61A2F" w:rsidRDefault="00A61A2F" w:rsidP="00A61A2F">
      <w:pPr>
        <w:pStyle w:val="Akapitzlist"/>
        <w:spacing w:after="120" w:line="240" w:lineRule="auto"/>
        <w:ind w:right="56"/>
        <w:jc w:val="both"/>
        <w:rPr>
          <w:rFonts w:ascii="Calibri" w:hAnsi="Calibri" w:cs="Calibri"/>
        </w:rPr>
      </w:pPr>
    </w:p>
    <w:p w:rsidR="0079060E" w:rsidRDefault="0079060E" w:rsidP="00A61A2F">
      <w:pPr>
        <w:pStyle w:val="Akapitzlist"/>
        <w:spacing w:after="120" w:line="240" w:lineRule="auto"/>
        <w:ind w:right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V.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 xml:space="preserve">Konsekwencje dla rynku pracy i gospodarki </w:t>
      </w:r>
    </w:p>
    <w:p w:rsidR="0079060E" w:rsidRDefault="0079060E" w:rsidP="0079060E">
      <w:pPr>
        <w:spacing w:after="120"/>
        <w:ind w:left="72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Koszty dla pracodawców i pracowników </w:t>
      </w:r>
    </w:p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Zniesienie limitu ma p</w:t>
      </w:r>
      <w:r w:rsidR="00A61A2F">
        <w:rPr>
          <w:rFonts w:ascii="Calibri" w:hAnsi="Calibri" w:cs="Calibri"/>
        </w:rPr>
        <w:t xml:space="preserve">rzynieść w przyszłym roku </w:t>
      </w:r>
      <w:r>
        <w:rPr>
          <w:rFonts w:ascii="Calibri" w:hAnsi="Calibri" w:cs="Calibri"/>
        </w:rPr>
        <w:t xml:space="preserve">5,5 mld zł. O tyle samo zmniejszą się wynagrodzenia netto pracowników o wysokich kwalifikacjach lub wzrosną koszty przedsiębiorstw ich zatrudniających. </w:t>
      </w:r>
    </w:p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Poniższa tabela pokazuje szacunkowy spadek wynagrodzenia netto i wzrost kosztów pracodawców. </w:t>
      </w:r>
    </w:p>
    <w:tbl>
      <w:tblPr>
        <w:tblW w:w="0" w:type="dxa"/>
        <w:tblInd w:w="849" w:type="dxa"/>
        <w:tblLayout w:type="fixed"/>
        <w:tblLook w:val="04A0" w:firstRow="1" w:lastRow="0" w:firstColumn="1" w:lastColumn="0" w:noHBand="0" w:noVBand="1"/>
      </w:tblPr>
      <w:tblGrid>
        <w:gridCol w:w="3026"/>
        <w:gridCol w:w="3026"/>
        <w:gridCol w:w="3026"/>
      </w:tblGrid>
      <w:tr w:rsidR="0079060E" w:rsidTr="0079060E">
        <w:trPr>
          <w:trHeight w:val="340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 xml:space="preserve">Wynagrodzenie brutto miesięczne pracownika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Różnica miesięcznie w dochodzie netto pracownika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Miesięczny wzrost kosztów pracodawcy </w:t>
            </w:r>
          </w:p>
        </w:tc>
      </w:tr>
      <w:tr w:rsidR="0079060E" w:rsidTr="0079060E">
        <w:trPr>
          <w:trHeight w:val="9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15 000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288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700 zł </w:t>
            </w:r>
          </w:p>
        </w:tc>
      </w:tr>
      <w:tr w:rsidR="0079060E" w:rsidTr="0079060E">
        <w:trPr>
          <w:trHeight w:val="9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20 000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753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1 519 zł </w:t>
            </w:r>
          </w:p>
        </w:tc>
      </w:tr>
      <w:tr w:rsidR="0079060E" w:rsidTr="0079060E">
        <w:trPr>
          <w:trHeight w:val="9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25 000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952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2 322 zł </w:t>
            </w:r>
          </w:p>
        </w:tc>
      </w:tr>
      <w:tr w:rsidR="0079060E" w:rsidTr="0079060E">
        <w:trPr>
          <w:trHeight w:val="96"/>
        </w:trPr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30 000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1285 zł 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060E" w:rsidRDefault="0079060E">
            <w:pPr>
              <w:pStyle w:val="Akapitzlist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3 145 zł </w:t>
            </w:r>
          </w:p>
        </w:tc>
      </w:tr>
    </w:tbl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</w:rPr>
      </w:pPr>
    </w:p>
    <w:p w:rsidR="0079060E" w:rsidRDefault="0079060E" w:rsidP="0079060E">
      <w:pPr>
        <w:pStyle w:val="Akapitzlist"/>
        <w:numPr>
          <w:ilvl w:val="0"/>
          <w:numId w:val="23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Zarówno pracownicy jak i pracodawcy będą silnie zmotywowani do unikania podwyższonych składek, co nie będzie sprzyjało zatrudnianiu specjalistów w ramach stosunku pracy, szczególnie w środowisku nowych technologii i wysokich kompetencji. Część firm będzie:</w:t>
      </w:r>
    </w:p>
    <w:p w:rsidR="0079060E" w:rsidRDefault="0079060E" w:rsidP="0079060E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poszukiwała alternatywnych rozwiązań, w tym przechodzenia pracowników do zatrudnienia pozakodeksowego oraz samozatrudnienia,</w:t>
      </w:r>
    </w:p>
    <w:p w:rsidR="0079060E" w:rsidRDefault="0079060E" w:rsidP="0079060E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zmuszona do obniżenia zaplanowanych podwyżek dla całej załogi,</w:t>
      </w:r>
    </w:p>
    <w:p w:rsidR="0079060E" w:rsidRDefault="0079060E" w:rsidP="0079060E">
      <w:pPr>
        <w:pStyle w:val="Akapitzlist"/>
        <w:numPr>
          <w:ilvl w:val="1"/>
          <w:numId w:val="23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zmuszona do pokrycia tych kosztów ze środków planowanych na inwestycje.  </w:t>
      </w:r>
    </w:p>
    <w:p w:rsidR="0079060E" w:rsidRDefault="0079060E" w:rsidP="0079060E">
      <w:pPr>
        <w:spacing w:after="120"/>
        <w:ind w:left="720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Skutki dla samorządów, NFZ</w:t>
      </w:r>
    </w:p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Wprowadzenie ustawy oznacza zmniejszeni</w:t>
      </w:r>
      <w:r w:rsidR="00A61A2F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 budżetów s</w:t>
      </w:r>
      <w:r w:rsidR="00A61A2F">
        <w:rPr>
          <w:rFonts w:ascii="Calibri" w:hAnsi="Calibri" w:cs="Calibri"/>
        </w:rPr>
        <w:t>amorządów o ok. 600 mln zł</w:t>
      </w:r>
      <w:r>
        <w:rPr>
          <w:rFonts w:ascii="Calibri" w:hAnsi="Calibri" w:cs="Calibri"/>
        </w:rPr>
        <w:t xml:space="preserve"> w sakli  roku </w:t>
      </w:r>
      <w:r w:rsidR="00A61A2F">
        <w:rPr>
          <w:rFonts w:ascii="Calibri" w:hAnsi="Calibri" w:cs="Calibri"/>
        </w:rPr>
        <w:t>i odpowiednio NFZ o ok. 270 mln</w:t>
      </w:r>
      <w:r>
        <w:rPr>
          <w:rFonts w:ascii="Calibri" w:hAnsi="Calibri" w:cs="Calibri"/>
        </w:rPr>
        <w:t xml:space="preserve"> zł.</w:t>
      </w:r>
    </w:p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</w:rPr>
      </w:pPr>
    </w:p>
    <w:p w:rsidR="0079060E" w:rsidRDefault="0079060E" w:rsidP="0079060E">
      <w:pPr>
        <w:pStyle w:val="Akapitzlist"/>
        <w:spacing w:after="12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Skutki dla rynku pracy </w:t>
      </w:r>
    </w:p>
    <w:p w:rsidR="0079060E" w:rsidRDefault="0079060E" w:rsidP="0079060E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Projekt ustawy jest sprzeczny z rządową Strategią Odpowiedzialnego Rozwoju, która zakłada tworzenie w naszym kraju miejsc pracy wysokiej jakości i wysoko wynagradzanych. Istnieje poważne ryzyko, że znaczący wzrost kosztu pracy wysokiej klasy specjalistów zmniejszy atrakcyjność tworzenia w naszym kraju właśnie takich miejsc pracy i skłoni inwestorów do zrewidowania dotychczasowej polityki inwestycji i zatrudnienia. </w:t>
      </w:r>
    </w:p>
    <w:p w:rsidR="0079060E" w:rsidRDefault="0079060E" w:rsidP="0079060E">
      <w:pPr>
        <w:pStyle w:val="Akapitzlist"/>
        <w:spacing w:after="120" w:line="240" w:lineRule="auto"/>
        <w:ind w:left="14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Zmiana dotknie w szczególności sektor  zaawansowanych procesów biznesowych oraz nowych technologii, które swoją działalność opierają na wysoko wykwalifikowanych specjalistach. W przypadku branży teleinformatycznej krytyczną cechą jest jej </w:t>
      </w:r>
      <w:proofErr w:type="spellStart"/>
      <w:r>
        <w:rPr>
          <w:rFonts w:ascii="Calibri" w:hAnsi="Calibri" w:cs="Calibri"/>
          <w:color w:val="000000"/>
        </w:rPr>
        <w:t>transgraniczność</w:t>
      </w:r>
      <w:proofErr w:type="spellEnd"/>
      <w:r>
        <w:rPr>
          <w:rFonts w:ascii="Calibri" w:hAnsi="Calibri" w:cs="Calibri"/>
          <w:color w:val="000000"/>
        </w:rPr>
        <w:t xml:space="preserve">, która polega możliwości łatwego przesunięcia niektórych usług poza granice Polski.  </w:t>
      </w:r>
    </w:p>
    <w:p w:rsidR="00075219" w:rsidRDefault="00075219" w:rsidP="0079060E">
      <w:pPr>
        <w:pStyle w:val="Akapitzlist"/>
        <w:spacing w:after="120" w:line="240" w:lineRule="auto"/>
        <w:ind w:left="1440"/>
        <w:jc w:val="both"/>
        <w:rPr>
          <w:rFonts w:ascii="Calibri" w:hAnsi="Calibri" w:cs="Calibri"/>
          <w:color w:val="000000"/>
        </w:rPr>
      </w:pPr>
    </w:p>
    <w:p w:rsidR="0079060E" w:rsidRDefault="00075219" w:rsidP="0079060E">
      <w:pPr>
        <w:pStyle w:val="Akapitzlist"/>
        <w:spacing w:after="120" w:line="240" w:lineRule="auto"/>
        <w:ind w:left="144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Istnieje obawa, ż</w:t>
      </w:r>
      <w:bookmarkStart w:id="0" w:name="_GoBack"/>
      <w:bookmarkEnd w:id="0"/>
      <w:r w:rsidR="0079060E">
        <w:rPr>
          <w:rFonts w:ascii="Calibri" w:hAnsi="Calibri" w:cs="Calibri"/>
          <w:color w:val="000000"/>
        </w:rPr>
        <w:t xml:space="preserve">e zwiększaniu kosztów będzie towarzyszyło przesuwanie za granicę stanowisk o najwyższej wartości (centrów badawczo-rozwojowych) a w Polsce pozostaną jedynie proste prace, które z łatwością w przyszłości ulegną automatyzacji. </w:t>
      </w:r>
    </w:p>
    <w:p w:rsid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pStyle w:val="Akapitzlist"/>
        <w:numPr>
          <w:ilvl w:val="0"/>
          <w:numId w:val="24"/>
        </w:numPr>
        <w:spacing w:after="12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wzrostowi kosztów pracy osób o najwyższych kwalifikacjach, w wyniku zniesienia limitu składek na ubezpieczenie emerytalne i rentowe, towarzyszyć będzie wzrost kosztów pracy wynikający z wprowadzenia zapowiadanej przez rząd instytucji Pracowniczych Planów Kapitałowych. Kumulacja wzrostu narzutów na wynagrodzenia istotnie ograniczy również skłonność pracowników do dobrowolnej partycypacji w PPK, co poważnie osłabi efekty reformy II i III filaru emerytalnego.</w:t>
      </w:r>
    </w:p>
    <w:p w:rsidR="0079060E" w:rsidRDefault="0079060E" w:rsidP="0079060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79060E" w:rsidRDefault="0079060E" w:rsidP="0079060E">
      <w:pPr>
        <w:pStyle w:val="Akapitzlist"/>
        <w:jc w:val="both"/>
        <w:rPr>
          <w:rFonts w:ascii="Calibri" w:hAnsi="Calibri" w:cs="Calibri"/>
        </w:rPr>
      </w:pPr>
    </w:p>
    <w:p w:rsidR="0079060E" w:rsidRDefault="0079060E" w:rsidP="00A86935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79060E" w:rsidRDefault="0079060E" w:rsidP="00A86935">
      <w:pPr>
        <w:spacing w:after="120" w:line="360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sectPr w:rsidR="0079060E" w:rsidSect="00FB6595">
      <w:headerReference w:type="default" r:id="rId7"/>
      <w:pgSz w:w="11906" w:h="16838"/>
      <w:pgMar w:top="1134" w:right="1191" w:bottom="1134" w:left="1191" w:header="0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58C" w:rsidRDefault="00A6358C">
      <w:r>
        <w:separator/>
      </w:r>
    </w:p>
  </w:endnote>
  <w:endnote w:type="continuationSeparator" w:id="0">
    <w:p w:rsidR="00A6358C" w:rsidRDefault="00A6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58C" w:rsidRDefault="00A6358C">
      <w:r>
        <w:separator/>
      </w:r>
    </w:p>
  </w:footnote>
  <w:footnote w:type="continuationSeparator" w:id="0">
    <w:p w:rsidR="00A6358C" w:rsidRDefault="00A6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4AA" w:rsidRDefault="004664AA">
    <w:pPr>
      <w:pStyle w:val="Nagwek"/>
    </w:pPr>
  </w:p>
  <w:p w:rsidR="004664AA" w:rsidRDefault="004664AA">
    <w:pPr>
      <w:pStyle w:val="Nagwek"/>
    </w:pPr>
  </w:p>
  <w:p w:rsidR="00516F8B" w:rsidRPr="00516F8B" w:rsidRDefault="004664AA">
    <w:pPr>
      <w:pStyle w:val="Nagwek"/>
    </w:pPr>
    <w:r w:rsidRPr="004664AA">
      <w:rPr>
        <w:rFonts w:eastAsia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pl-PL" w:eastAsia="pl-PL"/>
      </w:rPr>
      <w:t xml:space="preserve">     </w:t>
    </w:r>
  </w:p>
  <w:p w:rsidR="00516F8B" w:rsidRDefault="00516F8B">
    <w:pPr>
      <w:pStyle w:val="Nagwek"/>
      <w:rPr>
        <w:noProof/>
        <w:lang w:val="pl-PL" w:eastAsia="pl-PL"/>
      </w:rPr>
    </w:pPr>
  </w:p>
  <w:p w:rsidR="00516F8B" w:rsidRDefault="00516F8B">
    <w:pPr>
      <w:pStyle w:val="Nagwek"/>
      <w:rPr>
        <w:noProof/>
        <w:lang w:val="pl-PL" w:eastAsia="pl-PL"/>
      </w:rPr>
    </w:pPr>
  </w:p>
  <w:p w:rsidR="00516F8B" w:rsidRDefault="00516F8B">
    <w:pPr>
      <w:pStyle w:val="Nagwek"/>
      <w:rPr>
        <w:noProof/>
        <w:lang w:val="pl-PL" w:eastAsia="pl-PL"/>
      </w:rPr>
    </w:pPr>
  </w:p>
  <w:p w:rsidR="00516F8B" w:rsidRDefault="00516F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16F6"/>
    <w:multiLevelType w:val="hybridMultilevel"/>
    <w:tmpl w:val="510EF7CA"/>
    <w:lvl w:ilvl="0" w:tplc="3FC0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876"/>
    <w:multiLevelType w:val="hybridMultilevel"/>
    <w:tmpl w:val="E50E0AA8"/>
    <w:lvl w:ilvl="0" w:tplc="BF6AE88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1BF2762"/>
    <w:multiLevelType w:val="hybridMultilevel"/>
    <w:tmpl w:val="3CC0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25D8"/>
    <w:multiLevelType w:val="hybridMultilevel"/>
    <w:tmpl w:val="F940C7E0"/>
    <w:lvl w:ilvl="0" w:tplc="3FC03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E27C1"/>
    <w:multiLevelType w:val="hybridMultilevel"/>
    <w:tmpl w:val="FC607EA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930AF0"/>
    <w:multiLevelType w:val="hybridMultilevel"/>
    <w:tmpl w:val="75084226"/>
    <w:lvl w:ilvl="0" w:tplc="A2AE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B471BD"/>
    <w:multiLevelType w:val="hybridMultilevel"/>
    <w:tmpl w:val="56047392"/>
    <w:lvl w:ilvl="0" w:tplc="3FC0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81524"/>
    <w:multiLevelType w:val="hybridMultilevel"/>
    <w:tmpl w:val="8110DFAE"/>
    <w:lvl w:ilvl="0" w:tplc="BF6AE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0427B"/>
    <w:multiLevelType w:val="hybridMultilevel"/>
    <w:tmpl w:val="54407BCC"/>
    <w:lvl w:ilvl="0" w:tplc="3FC03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C20F5C"/>
    <w:multiLevelType w:val="hybridMultilevel"/>
    <w:tmpl w:val="98CAEBD4"/>
    <w:lvl w:ilvl="0" w:tplc="3FC033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49159A"/>
    <w:multiLevelType w:val="hybridMultilevel"/>
    <w:tmpl w:val="39CA62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85E76"/>
    <w:multiLevelType w:val="hybridMultilevel"/>
    <w:tmpl w:val="5C8A8EEC"/>
    <w:lvl w:ilvl="0" w:tplc="3FC03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254AD"/>
    <w:multiLevelType w:val="hybridMultilevel"/>
    <w:tmpl w:val="73064760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5B161605"/>
    <w:multiLevelType w:val="hybridMultilevel"/>
    <w:tmpl w:val="7FAC7A6C"/>
    <w:lvl w:ilvl="0" w:tplc="3FC03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AB743B"/>
    <w:multiLevelType w:val="hybridMultilevel"/>
    <w:tmpl w:val="8E328F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B55FD7"/>
    <w:multiLevelType w:val="hybridMultilevel"/>
    <w:tmpl w:val="2CCE22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362AE9"/>
    <w:multiLevelType w:val="hybridMultilevel"/>
    <w:tmpl w:val="FE720E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4"/>
  </w:num>
  <w:num w:numId="14">
    <w:abstractNumId w:val="12"/>
  </w:num>
  <w:num w:numId="15">
    <w:abstractNumId w:val="8"/>
  </w:num>
  <w:num w:numId="16">
    <w:abstractNumId w:val="16"/>
  </w:num>
  <w:num w:numId="17">
    <w:abstractNumId w:val="1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9"/>
  </w:num>
  <w:num w:numId="21">
    <w:abstractNumId w:val="12"/>
  </w:num>
  <w:num w:numId="22">
    <w:abstractNumId w:val="11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8A"/>
    <w:rsid w:val="00012EAB"/>
    <w:rsid w:val="00075219"/>
    <w:rsid w:val="00092A94"/>
    <w:rsid w:val="000968FF"/>
    <w:rsid w:val="0009692B"/>
    <w:rsid w:val="00167392"/>
    <w:rsid w:val="001A0033"/>
    <w:rsid w:val="001B2C01"/>
    <w:rsid w:val="001B7952"/>
    <w:rsid w:val="002069C1"/>
    <w:rsid w:val="0021358A"/>
    <w:rsid w:val="0024277D"/>
    <w:rsid w:val="00260F9F"/>
    <w:rsid w:val="00273460"/>
    <w:rsid w:val="002C0F42"/>
    <w:rsid w:val="002C5444"/>
    <w:rsid w:val="00323D7F"/>
    <w:rsid w:val="0038554A"/>
    <w:rsid w:val="003A0334"/>
    <w:rsid w:val="00457BD7"/>
    <w:rsid w:val="004664AA"/>
    <w:rsid w:val="004D77F5"/>
    <w:rsid w:val="00516680"/>
    <w:rsid w:val="00516F8B"/>
    <w:rsid w:val="005778A3"/>
    <w:rsid w:val="005F7981"/>
    <w:rsid w:val="00626683"/>
    <w:rsid w:val="00673293"/>
    <w:rsid w:val="006E18A8"/>
    <w:rsid w:val="00725A2E"/>
    <w:rsid w:val="00764C63"/>
    <w:rsid w:val="00786B38"/>
    <w:rsid w:val="0079060E"/>
    <w:rsid w:val="00794574"/>
    <w:rsid w:val="007B0AB1"/>
    <w:rsid w:val="007C0013"/>
    <w:rsid w:val="00802862"/>
    <w:rsid w:val="00822B64"/>
    <w:rsid w:val="00830AFE"/>
    <w:rsid w:val="00837654"/>
    <w:rsid w:val="00842116"/>
    <w:rsid w:val="008A29F2"/>
    <w:rsid w:val="008B40C6"/>
    <w:rsid w:val="008D317B"/>
    <w:rsid w:val="008F559C"/>
    <w:rsid w:val="009207C6"/>
    <w:rsid w:val="009469A4"/>
    <w:rsid w:val="00950847"/>
    <w:rsid w:val="00951E7E"/>
    <w:rsid w:val="009C1C68"/>
    <w:rsid w:val="009D0708"/>
    <w:rsid w:val="009E1848"/>
    <w:rsid w:val="009F019D"/>
    <w:rsid w:val="00A61A2F"/>
    <w:rsid w:val="00A6358C"/>
    <w:rsid w:val="00A86935"/>
    <w:rsid w:val="00AC7059"/>
    <w:rsid w:val="00B467B3"/>
    <w:rsid w:val="00BB76BD"/>
    <w:rsid w:val="00C4225C"/>
    <w:rsid w:val="00C57789"/>
    <w:rsid w:val="00C66FA4"/>
    <w:rsid w:val="00C87C0A"/>
    <w:rsid w:val="00CB4693"/>
    <w:rsid w:val="00D07E51"/>
    <w:rsid w:val="00D217AB"/>
    <w:rsid w:val="00D61292"/>
    <w:rsid w:val="00D75B5F"/>
    <w:rsid w:val="00DB71CD"/>
    <w:rsid w:val="00DF3079"/>
    <w:rsid w:val="00E41E31"/>
    <w:rsid w:val="00E548E7"/>
    <w:rsid w:val="00E631DC"/>
    <w:rsid w:val="00E65FB0"/>
    <w:rsid w:val="00EE71E7"/>
    <w:rsid w:val="00F24071"/>
    <w:rsid w:val="00F5442E"/>
    <w:rsid w:val="00F7391E"/>
    <w:rsid w:val="00F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A04037-8ABE-4A69-AB5F-4DD7CFA9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66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4A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664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4AA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508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1835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Baczewski</dc:creator>
  <cp:lastModifiedBy>Zbigniew Maciąg</cp:lastModifiedBy>
  <cp:revision>2</cp:revision>
  <dcterms:created xsi:type="dcterms:W3CDTF">2018-10-29T16:20:00Z</dcterms:created>
  <dcterms:modified xsi:type="dcterms:W3CDTF">2018-10-29T16:20:00Z</dcterms:modified>
</cp:coreProperties>
</file>