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21" w:rsidRPr="00132879" w:rsidRDefault="005A6DF1" w:rsidP="00A95C74">
      <w:pPr>
        <w:jc w:val="center"/>
      </w:pPr>
      <w:bookmarkStart w:id="0" w:name="_GoBack"/>
      <w:bookmarkEnd w:id="0"/>
      <w:r w:rsidRPr="001328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271D41" wp14:editId="299A203B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21" w:rsidRPr="00D072A5" w:rsidRDefault="00C05E21" w:rsidP="00D0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71D4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C05E21" w:rsidRPr="00D072A5" w:rsidRDefault="00C05E21" w:rsidP="00D072A5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32879">
        <w:rPr>
          <w:noProof/>
          <w:lang w:eastAsia="pl-PL"/>
        </w:rPr>
        <w:drawing>
          <wp:inline distT="0" distB="0" distL="0" distR="0" wp14:anchorId="18D33434" wp14:editId="79866E47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21" w:rsidRPr="00132879" w:rsidRDefault="00C05E21" w:rsidP="00A95C74">
      <w:pPr>
        <w:jc w:val="center"/>
      </w:pPr>
      <w:r>
        <w:rPr>
          <w:rFonts w:ascii="Arial" w:hAnsi="Arial"/>
          <w:b/>
          <w:i/>
          <w:sz w:val="20"/>
        </w:rPr>
        <w:t>Europejski Komitet Ekonomiczno-Społeczny</w:t>
      </w:r>
    </w:p>
    <w:p w:rsidR="00C05E21" w:rsidRPr="00132879" w:rsidRDefault="00C05E21" w:rsidP="00A95C74"/>
    <w:p w:rsidR="00C05E21" w:rsidRPr="00132879" w:rsidRDefault="00C05E21" w:rsidP="00A95C74">
      <w:pPr>
        <w:jc w:val="right"/>
      </w:pPr>
      <w:r>
        <w:rPr>
          <w:b/>
        </w:rPr>
        <w:t>ECO/454</w:t>
      </w:r>
    </w:p>
    <w:p w:rsidR="00C05E21" w:rsidRPr="00132879" w:rsidRDefault="00C05E21" w:rsidP="00A95C74">
      <w:pPr>
        <w:jc w:val="right"/>
      </w:pPr>
      <w:r>
        <w:rPr>
          <w:b/>
        </w:rPr>
        <w:t>Technologia finansowa (komunikat)</w:t>
      </w:r>
    </w:p>
    <w:p w:rsidR="00C05E21" w:rsidRPr="00132879" w:rsidRDefault="00C05E21" w:rsidP="00A95C74"/>
    <w:p w:rsidR="00C05E21" w:rsidRPr="00132879" w:rsidRDefault="00C05E21" w:rsidP="00A95C74"/>
    <w:p w:rsidR="00C05E21" w:rsidRPr="00132879" w:rsidRDefault="00C05E21" w:rsidP="00D1679D">
      <w:pPr>
        <w:jc w:val="center"/>
        <w:rPr>
          <w:b/>
        </w:rPr>
      </w:pPr>
      <w:r>
        <w:rPr>
          <w:b/>
          <w:sz w:val="28"/>
          <w:szCs w:val="28"/>
        </w:rPr>
        <w:t>PROJEKT OPINII</w:t>
      </w:r>
      <w:r>
        <w:br/>
      </w:r>
      <w:r>
        <w:br/>
        <w:t>Sekcja ds. Unii Gospodarczej i Walutowej oraz Spójności Gospodarczej i Społecznej</w:t>
      </w:r>
      <w:r>
        <w:br/>
      </w:r>
      <w:r>
        <w:br/>
      </w:r>
      <w:r>
        <w:rPr>
          <w:b/>
        </w:rPr>
        <w:t>Komunikat Komisji do Parlamentu Europejskiego, Rady, Europejskiego Banku Centralnego, Europejskiego Komitetu Ekonomiczno-Społecznego, Komitetu Regionów</w:t>
      </w:r>
      <w:r>
        <w:br/>
      </w:r>
      <w:r>
        <w:rPr>
          <w:b/>
        </w:rPr>
        <w:t>„Plan działania w zakresie technologii finansowej: w kierunku bardziej konkurencyjnego i</w:t>
      </w:r>
      <w:r w:rsidR="00E55658">
        <w:rPr>
          <w:b/>
        </w:rPr>
        <w:t> </w:t>
      </w:r>
      <w:r>
        <w:rPr>
          <w:b/>
        </w:rPr>
        <w:t>innowacyjnego europejskiego sektora finansowego”</w:t>
      </w:r>
    </w:p>
    <w:p w:rsidR="00C05E21" w:rsidRPr="00132879" w:rsidRDefault="00E55658" w:rsidP="006C0FD2">
      <w:pPr>
        <w:jc w:val="center"/>
      </w:pPr>
      <w:r>
        <w:t>[COM(2018) 109 final]</w:t>
      </w:r>
    </w:p>
    <w:p w:rsidR="00C05E21" w:rsidRPr="00132879" w:rsidRDefault="00C05E21" w:rsidP="00A95C74">
      <w:pPr>
        <w:jc w:val="center"/>
      </w:pPr>
    </w:p>
    <w:tbl>
      <w:tblPr>
        <w:tblpPr w:leftFromText="181" w:rightFromText="181" w:tblpYSpec="bottom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369"/>
        <w:gridCol w:w="5920"/>
      </w:tblGrid>
      <w:tr w:rsidR="00C05E21" w:rsidRPr="00132879" w:rsidTr="00677B8C">
        <w:tc>
          <w:tcPr>
            <w:tcW w:w="9289" w:type="dxa"/>
            <w:gridSpan w:val="2"/>
          </w:tcPr>
          <w:p w:rsidR="00C05E21" w:rsidRPr="00132879" w:rsidRDefault="00C05E21">
            <w:r>
              <w:t>Do członków sekcji</w:t>
            </w:r>
          </w:p>
        </w:tc>
      </w:tr>
      <w:tr w:rsidR="00C05E21" w:rsidRPr="00132879" w:rsidTr="00677B8C">
        <w:tc>
          <w:tcPr>
            <w:tcW w:w="9289" w:type="dxa"/>
            <w:gridSpan w:val="2"/>
          </w:tcPr>
          <w:p w:rsidR="00C05E21" w:rsidRPr="00132879" w:rsidRDefault="00C05E21" w:rsidP="00D072A5"/>
        </w:tc>
      </w:tr>
      <w:tr w:rsidR="00C05E21" w:rsidRPr="00132879" w:rsidTr="00C7502D">
        <w:tc>
          <w:tcPr>
            <w:tcW w:w="3369" w:type="dxa"/>
          </w:tcPr>
          <w:p w:rsidR="00C05E21" w:rsidRPr="00132879" w:rsidRDefault="00C05E21" w:rsidP="00D072A5">
            <w:r>
              <w:t>Posiedzenie sekcji</w:t>
            </w:r>
          </w:p>
        </w:tc>
        <w:tc>
          <w:tcPr>
            <w:tcW w:w="5920" w:type="dxa"/>
          </w:tcPr>
          <w:p w:rsidR="00C05E21" w:rsidRPr="00132879" w:rsidRDefault="00C05E21">
            <w:r>
              <w:t>27/06/2018, 10:00</w:t>
            </w:r>
          </w:p>
        </w:tc>
      </w:tr>
      <w:tr w:rsidR="00C05E21" w:rsidRPr="00132879" w:rsidTr="00C7502D">
        <w:tc>
          <w:tcPr>
            <w:tcW w:w="3369" w:type="dxa"/>
          </w:tcPr>
          <w:p w:rsidR="00C05E21" w:rsidRPr="00132879" w:rsidRDefault="00C05E21" w:rsidP="00106EB5">
            <w:pPr>
              <w:jc w:val="left"/>
            </w:pPr>
            <w:r>
              <w:rPr>
                <w:b/>
              </w:rPr>
              <w:t>Termin zgłaszania poprawek</w:t>
            </w:r>
          </w:p>
        </w:tc>
        <w:tc>
          <w:tcPr>
            <w:tcW w:w="5920" w:type="dxa"/>
          </w:tcPr>
          <w:p w:rsidR="00C05E21" w:rsidRPr="00132879" w:rsidRDefault="00C05E21">
            <w:r>
              <w:rPr>
                <w:b/>
              </w:rPr>
              <w:t>21/06/2018, 17:30</w:t>
            </w:r>
          </w:p>
        </w:tc>
      </w:tr>
      <w:tr w:rsidR="00C05E21" w:rsidRPr="00132879" w:rsidTr="00C7502D">
        <w:tc>
          <w:tcPr>
            <w:tcW w:w="3369" w:type="dxa"/>
          </w:tcPr>
          <w:p w:rsidR="00C05E21" w:rsidRPr="00132879" w:rsidRDefault="00C05E21" w:rsidP="00D072A5">
            <w:r>
              <w:t>Kontakt</w:t>
            </w:r>
          </w:p>
        </w:tc>
        <w:tc>
          <w:tcPr>
            <w:tcW w:w="5920" w:type="dxa"/>
          </w:tcPr>
          <w:p w:rsidR="00C05E21" w:rsidRPr="00132879" w:rsidRDefault="00A12DF9" w:rsidP="00D072A5">
            <w:hyperlink r:id="rId13" w:history="1">
              <w:r w:rsidR="00B24CBD">
                <w:rPr>
                  <w:rStyle w:val="Hipercze"/>
                </w:rPr>
                <w:t>eco@eesc.europa.eu</w:t>
              </w:r>
            </w:hyperlink>
          </w:p>
        </w:tc>
      </w:tr>
      <w:tr w:rsidR="00C05E21" w:rsidRPr="00132879" w:rsidTr="00C7502D">
        <w:tc>
          <w:tcPr>
            <w:tcW w:w="3369" w:type="dxa"/>
          </w:tcPr>
          <w:p w:rsidR="00C05E21" w:rsidRPr="00132879" w:rsidRDefault="00C05E21" w:rsidP="00D072A5">
            <w:r>
              <w:t>Administrator</w:t>
            </w:r>
          </w:p>
        </w:tc>
        <w:tc>
          <w:tcPr>
            <w:tcW w:w="5920" w:type="dxa"/>
          </w:tcPr>
          <w:p w:rsidR="00C05E21" w:rsidRPr="00132879" w:rsidRDefault="00C05E21" w:rsidP="00D072A5">
            <w:r>
              <w:t>Gerald KLEC</w:t>
            </w:r>
          </w:p>
        </w:tc>
      </w:tr>
      <w:tr w:rsidR="00C05E21" w:rsidRPr="00132879" w:rsidTr="00C7502D">
        <w:tc>
          <w:tcPr>
            <w:tcW w:w="3369" w:type="dxa"/>
          </w:tcPr>
          <w:p w:rsidR="00C05E21" w:rsidRPr="00132879" w:rsidRDefault="00C05E21" w:rsidP="00D072A5">
            <w:r>
              <w:t>Data dokumentu</w:t>
            </w:r>
          </w:p>
        </w:tc>
        <w:tc>
          <w:tcPr>
            <w:tcW w:w="5920" w:type="dxa"/>
          </w:tcPr>
          <w:p w:rsidR="00C05E21" w:rsidRPr="00132879" w:rsidRDefault="005D0E60" w:rsidP="00106EB5">
            <w:r>
              <w:t>18/06/2018</w:t>
            </w:r>
          </w:p>
        </w:tc>
      </w:tr>
    </w:tbl>
    <w:p w:rsidR="00C05E21" w:rsidRPr="00132879" w:rsidRDefault="00C05E21" w:rsidP="00A95C74">
      <w:pPr>
        <w:jc w:val="center"/>
        <w:rPr>
          <w:b/>
        </w:rPr>
      </w:pPr>
      <w:r>
        <w:t xml:space="preserve">Sprawozdawca: </w:t>
      </w:r>
      <w:r>
        <w:rPr>
          <w:b/>
        </w:rPr>
        <w:t>Petru Sorin DANDEA</w:t>
      </w:r>
    </w:p>
    <w:p w:rsidR="00C05E21" w:rsidRPr="00132879" w:rsidRDefault="00C05E21" w:rsidP="00EC5006">
      <w:pPr>
        <w:jc w:val="center"/>
      </w:pPr>
    </w:p>
    <w:p w:rsidR="00C05E21" w:rsidRPr="00132879" w:rsidRDefault="00C05E21" w:rsidP="00A95C74"/>
    <w:p w:rsidR="00C05E21" w:rsidRPr="00132879" w:rsidRDefault="00C05E21" w:rsidP="00A95C74"/>
    <w:p w:rsidR="00C05E21" w:rsidRPr="00132879" w:rsidRDefault="00C05E21" w:rsidP="00A95C74">
      <w:pPr>
        <w:sectPr w:rsidR="00C05E21" w:rsidRPr="00132879" w:rsidSect="00106EB5">
          <w:footerReference w:type="default" r:id="rId14"/>
          <w:pgSz w:w="11907" w:h="16839" w:code="9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4"/>
      </w:tblGrid>
      <w:tr w:rsidR="00C05E21" w:rsidRPr="00132879" w:rsidTr="00CD4855">
        <w:tc>
          <w:tcPr>
            <w:tcW w:w="3085" w:type="dxa"/>
          </w:tcPr>
          <w:p w:rsidR="00C05E21" w:rsidRPr="00132879" w:rsidRDefault="00C05E21" w:rsidP="00A95C74">
            <w:r>
              <w:lastRenderedPageBreak/>
              <w:t>Grupa analityczna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Technologia finansowa (komunikat)</w:t>
            </w:r>
          </w:p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/>
        </w:tc>
        <w:tc>
          <w:tcPr>
            <w:tcW w:w="6204" w:type="dxa"/>
          </w:tcPr>
          <w:p w:rsidR="00C05E21" w:rsidRPr="00132879" w:rsidRDefault="00C05E21" w:rsidP="00D072A5"/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>
            <w:r>
              <w:t>Przewodniczący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Mihai IVAȘCU (RO-III)</w:t>
            </w:r>
          </w:p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>
            <w:r>
              <w:t>Sprawozdawca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Petru Sorin DANDEA (RO-II)</w:t>
            </w:r>
          </w:p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/>
        </w:tc>
        <w:tc>
          <w:tcPr>
            <w:tcW w:w="6204" w:type="dxa"/>
          </w:tcPr>
          <w:p w:rsidR="00C05E21" w:rsidRPr="00132879" w:rsidRDefault="00C05E21" w:rsidP="00D072A5"/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>
            <w:r>
              <w:t>Członkowie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Krister ANDERSSON (SE-I)</w:t>
            </w:r>
          </w:p>
          <w:p w:rsidR="00C05E21" w:rsidRPr="00132879" w:rsidRDefault="00C05E21" w:rsidP="00D072A5">
            <w:r>
              <w:t>Henri MALOSSE (FR-I)</w:t>
            </w:r>
          </w:p>
          <w:p w:rsidR="00C05E21" w:rsidRPr="00132879" w:rsidRDefault="00C05E21" w:rsidP="00D072A5">
            <w:r>
              <w:t>Płamen DIMITROW (BG-II)</w:t>
            </w:r>
          </w:p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A95C74"/>
        </w:tc>
        <w:tc>
          <w:tcPr>
            <w:tcW w:w="6204" w:type="dxa"/>
          </w:tcPr>
          <w:p w:rsidR="00C05E21" w:rsidRPr="00132879" w:rsidRDefault="00C05E21" w:rsidP="00D072A5">
            <w:r>
              <w:t>Pirkko RAUNEMAA (FI-III)</w:t>
            </w:r>
          </w:p>
        </w:tc>
      </w:tr>
    </w:tbl>
    <w:p w:rsidR="00C05E21" w:rsidRPr="00132879" w:rsidRDefault="00C05E21" w:rsidP="00A95C74"/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04"/>
      </w:tblGrid>
      <w:tr w:rsidR="00C05E21" w:rsidRPr="00132879" w:rsidTr="00CD4855">
        <w:tc>
          <w:tcPr>
            <w:tcW w:w="3085" w:type="dxa"/>
          </w:tcPr>
          <w:p w:rsidR="00C05E21" w:rsidRPr="00132879" w:rsidRDefault="00C05E21" w:rsidP="00D072A5">
            <w:r>
              <w:t>Wniosek o konsultację</w:t>
            </w:r>
          </w:p>
        </w:tc>
        <w:tc>
          <w:tcPr>
            <w:tcW w:w="6204" w:type="dxa"/>
          </w:tcPr>
          <w:p w:rsidR="00C05E21" w:rsidRPr="00132879" w:rsidRDefault="00C05E21" w:rsidP="00163F5F">
            <w:r>
              <w:t>Komisja Europejska, 10/04/2018</w:t>
            </w:r>
          </w:p>
        </w:tc>
      </w:tr>
      <w:tr w:rsidR="00C05E21" w:rsidRPr="00132879" w:rsidTr="00CD4855">
        <w:trPr>
          <w:trHeight w:val="251"/>
        </w:trPr>
        <w:tc>
          <w:tcPr>
            <w:tcW w:w="3085" w:type="dxa"/>
          </w:tcPr>
          <w:p w:rsidR="00C05E21" w:rsidRPr="00132879" w:rsidRDefault="00C05E21" w:rsidP="00D072A5">
            <w:r>
              <w:t>Podstawa prawna</w:t>
            </w:r>
          </w:p>
        </w:tc>
        <w:tc>
          <w:tcPr>
            <w:tcW w:w="6204" w:type="dxa"/>
          </w:tcPr>
          <w:p w:rsidR="00C05E21" w:rsidRPr="00132879" w:rsidRDefault="00C05E21" w:rsidP="00AC02B8">
            <w:r>
              <w:t>Artykuł 304 Traktatu o funkcjonowaniu Unii Europejskiej</w:t>
            </w:r>
          </w:p>
        </w:tc>
      </w:tr>
      <w:tr w:rsidR="00C05E21" w:rsidRPr="00132879" w:rsidTr="00CD4855">
        <w:trPr>
          <w:trHeight w:val="251"/>
        </w:trPr>
        <w:tc>
          <w:tcPr>
            <w:tcW w:w="3085" w:type="dxa"/>
          </w:tcPr>
          <w:p w:rsidR="00C05E21" w:rsidRPr="00132879" w:rsidRDefault="00C05E21" w:rsidP="00D072A5"/>
        </w:tc>
        <w:tc>
          <w:tcPr>
            <w:tcW w:w="6204" w:type="dxa"/>
          </w:tcPr>
          <w:p w:rsidR="00C05E21" w:rsidRPr="00132879" w:rsidRDefault="00C05E21" w:rsidP="00D072A5"/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D072A5">
            <w:r>
              <w:t>Sekcja odpowiedzialna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Sekcja ds. Unii Gospodarczej i Walutowej oraz Spójności Gospodarczej i Społecznej</w:t>
            </w:r>
          </w:p>
        </w:tc>
      </w:tr>
      <w:tr w:rsidR="00C05E21" w:rsidRPr="00132879" w:rsidTr="00CD4855">
        <w:tc>
          <w:tcPr>
            <w:tcW w:w="3085" w:type="dxa"/>
          </w:tcPr>
          <w:p w:rsidR="00C05E21" w:rsidRPr="00132879" w:rsidRDefault="00C05E21" w:rsidP="00D072A5">
            <w:r>
              <w:t>Data przyjęcia przez sekcję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DD/MM/YYYY</w:t>
            </w:r>
          </w:p>
        </w:tc>
      </w:tr>
      <w:tr w:rsidR="00C05E21" w:rsidRPr="00132879" w:rsidTr="00197DC3">
        <w:tc>
          <w:tcPr>
            <w:tcW w:w="3085" w:type="dxa"/>
          </w:tcPr>
          <w:p w:rsidR="00C05E21" w:rsidRPr="00132879" w:rsidRDefault="00C05E21" w:rsidP="00D072A5">
            <w:pPr>
              <w:jc w:val="left"/>
            </w:pPr>
            <w:r>
              <w:t>Data przyjęcia na sesji plenarnej</w:t>
            </w:r>
          </w:p>
        </w:tc>
        <w:tc>
          <w:tcPr>
            <w:tcW w:w="6204" w:type="dxa"/>
            <w:vAlign w:val="bottom"/>
          </w:tcPr>
          <w:p w:rsidR="00C05E21" w:rsidRPr="00132879" w:rsidRDefault="00C05E21" w:rsidP="00D072A5">
            <w:r>
              <w:t>DD/MM/YYYY</w:t>
            </w:r>
          </w:p>
        </w:tc>
      </w:tr>
      <w:tr w:rsidR="00C05E21" w:rsidRPr="00132879" w:rsidTr="00677B8C">
        <w:tc>
          <w:tcPr>
            <w:tcW w:w="3085" w:type="dxa"/>
          </w:tcPr>
          <w:p w:rsidR="00C05E21" w:rsidRPr="00132879" w:rsidRDefault="00C05E21" w:rsidP="00D072A5">
            <w:r>
              <w:t>Sesja plenarna nr</w:t>
            </w:r>
          </w:p>
        </w:tc>
        <w:tc>
          <w:tcPr>
            <w:tcW w:w="6204" w:type="dxa"/>
          </w:tcPr>
          <w:p w:rsidR="00C05E21" w:rsidRPr="00132879" w:rsidRDefault="00C05E21" w:rsidP="00D072A5">
            <w:r>
              <w:t>…</w:t>
            </w:r>
          </w:p>
        </w:tc>
      </w:tr>
      <w:tr w:rsidR="00C05E21" w:rsidRPr="00132879" w:rsidTr="00F20987">
        <w:tc>
          <w:tcPr>
            <w:tcW w:w="3085" w:type="dxa"/>
          </w:tcPr>
          <w:p w:rsidR="00C05E21" w:rsidRPr="00132879" w:rsidRDefault="00C05E21" w:rsidP="00D072A5">
            <w:pPr>
              <w:jc w:val="left"/>
            </w:pPr>
            <w:r>
              <w:t>Wynik głosowania</w:t>
            </w:r>
            <w:r>
              <w:cr/>
            </w:r>
            <w:r>
              <w:br/>
              <w:t>(za / przeciw / wstrzymało się)</w:t>
            </w:r>
          </w:p>
        </w:tc>
        <w:tc>
          <w:tcPr>
            <w:tcW w:w="6204" w:type="dxa"/>
            <w:vAlign w:val="bottom"/>
          </w:tcPr>
          <w:p w:rsidR="00C05E21" w:rsidRPr="00132879" w:rsidRDefault="00C05E21" w:rsidP="00D072A5">
            <w:r>
              <w:t>…/…/…</w:t>
            </w:r>
          </w:p>
        </w:tc>
      </w:tr>
    </w:tbl>
    <w:p w:rsidR="00C05E21" w:rsidRPr="00132879" w:rsidRDefault="00C05E21" w:rsidP="00A95C74"/>
    <w:p w:rsidR="00C05E21" w:rsidRPr="00132879" w:rsidRDefault="00C05E21" w:rsidP="00A95C74">
      <w:r>
        <w:br w:type="page"/>
      </w:r>
    </w:p>
    <w:p w:rsidR="00C05E21" w:rsidRPr="00132879" w:rsidRDefault="00C05E21" w:rsidP="004E6BF7">
      <w:pPr>
        <w:pStyle w:val="Nagwek1"/>
        <w:keepNext/>
        <w:keepLines/>
        <w:rPr>
          <w:b/>
        </w:rPr>
      </w:pPr>
      <w:r>
        <w:rPr>
          <w:b/>
        </w:rPr>
        <w:lastRenderedPageBreak/>
        <w:t>Wnioski i zalecenia</w:t>
      </w:r>
    </w:p>
    <w:p w:rsidR="00C05E21" w:rsidRPr="00132879" w:rsidRDefault="00C05E21" w:rsidP="004E6BF7">
      <w:pPr>
        <w:keepNext/>
        <w:keepLines/>
      </w:pPr>
    </w:p>
    <w:p w:rsidR="00C05E21" w:rsidRPr="00132879" w:rsidRDefault="00C05E21" w:rsidP="004E6BF7">
      <w:pPr>
        <w:pStyle w:val="Nagwek2"/>
        <w:ind w:left="567" w:hanging="567"/>
      </w:pPr>
      <w:r>
        <w:t>Komitet popiera plan Komisji i uważa, że rozwój technologii finansowej w europejskim sektorze finansowym może przynieść szereg korzyści zarówno europejskim przedsiębiorstwom, jak i ich klientom.</w:t>
      </w:r>
    </w:p>
    <w:p w:rsidR="00C05E21" w:rsidRPr="00132879" w:rsidRDefault="00C05E21" w:rsidP="007001D9"/>
    <w:p w:rsidR="00C05E21" w:rsidRPr="00132879" w:rsidRDefault="00C05E21" w:rsidP="00666AF3">
      <w:pPr>
        <w:pStyle w:val="Nagwek2"/>
        <w:ind w:left="567" w:hanging="567"/>
      </w:pPr>
      <w:r>
        <w:t>EKES jest zdania, że plan przedłożony przez Komisję może pobudzić rozwój rynków kapitałowych, jak też dodać bodźca MŚP działającym w sektorze finansowym.</w:t>
      </w:r>
    </w:p>
    <w:p w:rsidR="00C05E21" w:rsidRPr="007001D9" w:rsidRDefault="00C05E21" w:rsidP="007001D9"/>
    <w:p w:rsidR="00C05E21" w:rsidRPr="00132879" w:rsidRDefault="00C05E21" w:rsidP="004E6BF7">
      <w:pPr>
        <w:pStyle w:val="Nagwek2"/>
        <w:ind w:left="567" w:hanging="567"/>
      </w:pPr>
      <w:r>
        <w:t>Komitet uważa, że jeśli chodzi o poprawę cyberbezpieczeństwa oraz odporności sektora finansowego, środki przewidziane w planie działania – choć są one istotne – należy uzupełnić przepisami zapewniającymi jednolity rozwój technologii finansowej w UE. Jest również zdania, że poziom regulacji technologii finansowej powinien odpowiadać poziomowi regulacji sektora finansowego, w szczególności w odniesieniu do odporności i cyberbezpieczeństwa.</w:t>
      </w:r>
    </w:p>
    <w:p w:rsidR="00C05E21" w:rsidRPr="00132879" w:rsidRDefault="00C05E21" w:rsidP="004E6BF7">
      <w:pPr>
        <w:tabs>
          <w:tab w:val="left" w:pos="550"/>
        </w:tabs>
        <w:ind w:left="550" w:hanging="550"/>
      </w:pPr>
    </w:p>
    <w:p w:rsidR="00C05E21" w:rsidRPr="00132879" w:rsidRDefault="00C05E21" w:rsidP="00C63F56">
      <w:pPr>
        <w:pStyle w:val="Nagwek2"/>
        <w:ind w:left="567" w:hanging="567"/>
      </w:pPr>
      <w:r>
        <w:t>EKES uważa, że zasadnicze znaczenie dla ustanowienia w ramach dyrektywy w sprawie usług płatniczych, jak i w ramach rozporządzenia o ochronie danych osobowych równych warunków działania w zakresie dostępu do danych klientów ma wdrożenie prawa do przenoszenia danych osobowych w sposób zgodny z przedmiotową dyrektywą.</w:t>
      </w:r>
    </w:p>
    <w:p w:rsidR="00C05E21" w:rsidRPr="00132879" w:rsidRDefault="00C05E21" w:rsidP="004E6BF7">
      <w:pPr>
        <w:tabs>
          <w:tab w:val="left" w:pos="550"/>
        </w:tabs>
        <w:ind w:left="550" w:hanging="550"/>
      </w:pPr>
    </w:p>
    <w:p w:rsidR="00C05E21" w:rsidRPr="00132879" w:rsidRDefault="00C05E21" w:rsidP="00C63F56">
      <w:pPr>
        <w:pStyle w:val="Nagwek2"/>
        <w:ind w:left="567" w:hanging="567"/>
      </w:pPr>
      <w:r>
        <w:t>Biorąc pod uwagę znaczne wahania cen kryptowalut i związane z nimi poważne ryzyko dla klientów, EKES zaleca Komisji i państwom członkowskim przeanalizowanie metod, które należałoby wprowadzić w celu monitorowania transakcji z użyciem kryptowalut.</w:t>
      </w:r>
    </w:p>
    <w:p w:rsidR="00C05E21" w:rsidRPr="00132879" w:rsidRDefault="00C05E21" w:rsidP="004E6BF7">
      <w:pPr>
        <w:tabs>
          <w:tab w:val="left" w:pos="550"/>
        </w:tabs>
        <w:ind w:left="550" w:hanging="550"/>
      </w:pPr>
    </w:p>
    <w:p w:rsidR="00C05E21" w:rsidRPr="00132879" w:rsidRDefault="00C05E21" w:rsidP="00C63F56">
      <w:pPr>
        <w:pStyle w:val="Nagwek2"/>
        <w:ind w:left="567" w:hanging="567"/>
      </w:pPr>
      <w:r>
        <w:t>W szeregu niedawno opublikowanych badań wykazano, że wprowadzenie technologii finansowej skutkuje likwidacją wielu miejsc pracy w instytucjach sektora finansów. EKES zaleca, aby państwa członkowskie opracowały i wdrożyły aktywne programy środków dotyczących rynku pracy, tak aby pracownicy dotknięci skutkami wprowadzenia innowacji technologicznych w sektorze finansowym jak najszybciej znaleźli nowe zatrudnienie.</w:t>
      </w:r>
    </w:p>
    <w:p w:rsidR="00C05E21" w:rsidRPr="00132879" w:rsidRDefault="00C05E21" w:rsidP="004E6BF7">
      <w:pPr>
        <w:tabs>
          <w:tab w:val="left" w:pos="550"/>
        </w:tabs>
        <w:ind w:left="550" w:hanging="550"/>
      </w:pPr>
    </w:p>
    <w:p w:rsidR="00C05E21" w:rsidRPr="00132879" w:rsidRDefault="00C05E21" w:rsidP="00C63F56">
      <w:pPr>
        <w:pStyle w:val="Nagwek2"/>
        <w:ind w:left="567" w:hanging="567"/>
      </w:pPr>
      <w:r>
        <w:t>EKES zaleca Komisji, aby określiła, jakie ewentualne przepisy powinny mieć zastosowanie do przedsiębiorstw oferujących usługi przetwarzania w chmurze, jeśli chodzi o odpowiedzialność tych przedsiębiorstw za zabezpieczenie danych, które są przechowywane. Przedsiębiorstwa te muszą podlegać tym samym przepisom w zakresie ochrony danych osobowych, co przedsiębiorstwa, które dokonują outsourcingu niektórych rodzajów usług.</w:t>
      </w:r>
    </w:p>
    <w:p w:rsidR="00C05E21" w:rsidRPr="00132879" w:rsidRDefault="00C05E21" w:rsidP="00361135">
      <w:pPr>
        <w:tabs>
          <w:tab w:val="left" w:pos="550"/>
        </w:tabs>
        <w:ind w:left="550" w:hanging="550"/>
      </w:pPr>
    </w:p>
    <w:p w:rsidR="00C05E21" w:rsidRPr="00132879" w:rsidRDefault="00C05E21" w:rsidP="00C7502D">
      <w:pPr>
        <w:pStyle w:val="Nagwek1"/>
        <w:keepNext/>
        <w:keepLines/>
        <w:rPr>
          <w:b/>
        </w:rPr>
      </w:pPr>
      <w:r>
        <w:rPr>
          <w:b/>
        </w:rPr>
        <w:t>Wniosek Komisji</w:t>
      </w:r>
    </w:p>
    <w:p w:rsidR="00C05E21" w:rsidRPr="00132879" w:rsidRDefault="00C05E21" w:rsidP="00C7502D">
      <w:pPr>
        <w:keepNext/>
        <w:keepLines/>
      </w:pPr>
    </w:p>
    <w:p w:rsidR="00C05E21" w:rsidRPr="00132879" w:rsidRDefault="00C05E21" w:rsidP="00C7502D">
      <w:pPr>
        <w:pStyle w:val="Nagwek2"/>
        <w:keepNext/>
        <w:keepLines/>
        <w:ind w:left="567" w:hanging="567"/>
      </w:pPr>
      <w:r>
        <w:t>W celu zwiększenia konkurencyjności i innowacyjności rynku finansowego Komisja Europejska przedstawiła w dniu 8 marca 2018 r. plan działania dotyczący sposobów wykorzystania możliwości, jakie stwarzają innowacje oparte na technologiach w dziedzinie usług finansowych, zwanych „technologią finansową”.</w:t>
      </w:r>
    </w:p>
    <w:p w:rsidR="00C05E21" w:rsidRPr="00132879" w:rsidRDefault="00C05E21" w:rsidP="00B37F56"/>
    <w:p w:rsidR="00C05E21" w:rsidRPr="00132879" w:rsidRDefault="00C05E21" w:rsidP="00181D2D">
      <w:pPr>
        <w:pStyle w:val="Nagwek2"/>
        <w:keepNext/>
        <w:keepLines/>
        <w:ind w:left="567" w:hanging="567"/>
      </w:pPr>
      <w:r>
        <w:lastRenderedPageBreak/>
        <w:t>Plan działania opublikowany przez Komisję ma na celu zapewnienie sektorowi finansowemu możliwości integracji i wykorzystania znacznych postępów, jakich dokonano dzięki nowym technologiom, takim jak technologia łańcucha bloków</w:t>
      </w:r>
      <w:r w:rsidR="00872409">
        <w:rPr>
          <w:rStyle w:val="Odwoanieprzypisudolnego"/>
          <w:lang w:val="ro-RO"/>
        </w:rPr>
        <w:footnoteReference w:id="1"/>
      </w:r>
      <w:r>
        <w:t>, sztuczna inteligencja lub usługi przetwarzania w chmurze. Komisja uważa, że Europa powinna stać się światowym centrum technologii finansowej, a przedsiębiorstwa i inwestorzy powinni móc czerpać korzyści z</w:t>
      </w:r>
      <w:r w:rsidR="00181D2D">
        <w:t> </w:t>
      </w:r>
      <w:r>
        <w:t>jednolitego rynku w tej dynamicznie rozwijającej się dziedzinie.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ind w:left="567" w:hanging="567"/>
      </w:pPr>
      <w:r>
        <w:t>Na podstawie wyników konsultacji społecznych, które przeprowadzono w okresie od marca do czerwca 2017 r., Komisja uważa, że na obecnym etapie potrzeba reformy przepisów ustawowych i wykonawczych na szczeblu UE jest ograniczona. Niemniej UE musi podjąć szereg konkretnych inicjatyw, aby uwzględnić cyfryzację sektora finansowego.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t>Plan działania w zakresie technologii finansowej przewiduje w szczególności przyjęcie środków, dzięki którym innowacyjne modele biznesowe nabiorą wymiaru europejskiego, wspieranie wdrażania innowacji technologicznych w sektorze finansowym oraz poprawę bezpieczeństwa i odporności.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ind w:left="567" w:hanging="567"/>
      </w:pPr>
      <w:r>
        <w:t>W ramach planu działania i wraz z przedmiotowym komunikatem Komisja przedstawiła również wniosek ustawodawczy dotyczący unijnego rozporządzenia w sprawie europejskich dostawców usług w zakresie finansowania społecznościowego (ECSP) dla przedsiębiorstw opartego na inwestycjach lub pożyczkach.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t>Jeżeli chodzi o udzielanie zezwoleń przedsiębiorstwom z branży FinTech, Komisja wezwała europejskie urzędy nadzoru do oceny obecnych rozwiązań w tej dziedzinie oraz przedstawienie Komisji, w stosownych przypadkach, zaleceń dotyczących konieczności dostosowania unijnych przepisów w dziedzinie usług finansowych. W 2018 r. Komisja będzie kontynuować monitorowanie zmian w obszarze kryptoaktywów wraz z europejskimi urzędami nadzoru, Europejskim Bankiem Centralnym i Radą Stabilności Finansowej. Na podstawie oceny ryzyka Komisja zdecyduje, czy konieczne jest przyjęcie przepisów na szczeblu UE.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7502D">
      <w:pPr>
        <w:pStyle w:val="Nagwek2"/>
        <w:keepNext/>
        <w:keepLines/>
        <w:ind w:left="567" w:hanging="567"/>
      </w:pPr>
      <w:r>
        <w:t>Komisja będzie współpracować z Europejskim Komitetem Normalizacyjnym i</w:t>
      </w:r>
      <w:r w:rsidR="00181D2D">
        <w:t> </w:t>
      </w:r>
      <w:r>
        <w:t>Międzynarodową Organizacją Normalizacyjną przy opracowywaniu wspólnych standardów i</w:t>
      </w:r>
      <w:r w:rsidR="00181D2D">
        <w:t> </w:t>
      </w:r>
      <w:r>
        <w:t>interoperacyjnych rozwiązań w zakresie technologii finansowej, w tym w obszarze łańcucha bloków. Aby umożliwić rozwój innowacyjnych modeli biznesowych w całej UE, Komisja będzie zachęcać właściwe organy na szczeblu państw członkowskich do podejmowania inicjatyw ułatwiających innowacje. Komisja zwróci się również do europejskich urzędów nadzoru o ułatwienie współpracy w zakresie nadzoru, w tym koordynacji i rozpowszechniania informacji dotyczących innowacyjnych technologii, tworzenia centrów innowacji oraz tzw.</w:t>
      </w:r>
      <w:r w:rsidR="00181D2D">
        <w:t> </w:t>
      </w:r>
      <w:r>
        <w:t>piaskownic regulacyjnych.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lastRenderedPageBreak/>
        <w:t>Aby wspierać innowacje technologiczne w sektorze finansowym, Komisja powoła grupę ekspertów, która będzie miała za zadanie przeprowadzić analizę, czy w dziedzinie usług finansowych istnieją przeszkody regulacyjne w innowacji. Komisja zwraca się do europejskich urzędów nadzoru o zbadanie potrzeby wydania wytycznych dotyczących zlecania zadań dostawcom usług zaliczanych do kategorii przetwarzania w chmurze. Ułatwi ona opracowanie standardowych klauzul umownych na potrzeby dokonywanego przez instytucje finansowe outsourcingu usług przechowywania danych w chmurze.</w:t>
      </w:r>
    </w:p>
    <w:p w:rsidR="00C05E21" w:rsidRPr="00132879" w:rsidRDefault="00C05E21" w:rsidP="004E6BF7">
      <w:pPr>
        <w:ind w:left="567" w:hanging="567"/>
      </w:pPr>
    </w:p>
    <w:p w:rsidR="00C05E21" w:rsidRPr="00132879" w:rsidRDefault="00C05E21" w:rsidP="004E6BF7">
      <w:pPr>
        <w:pStyle w:val="Nagwek2"/>
        <w:ind w:left="567" w:hanging="567"/>
      </w:pPr>
      <w:r>
        <w:t>Zdaniem Komisji europejskie ramy regulacyjne i nadzorcze powinny umożliwiać przedsiębiorstwom działającym na jednolitym rynku UE czerpanie korzyści z innowacji finansowych oraz zapewnianie swoim klientom produktów wysokiej jakości.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t>Komisja przeprowadzi konsultacje publiczne w sprawie dalszej digitalizacji informacji regulacyjnych dotyczących przedsiębiorstw notowanych na rynkach regulowanych w UE, w tym w sprawie ewentualnego stworzenia europejskiej bramy przejrzystości finansowej w oparciu o technologię rozproszonego rejestru (RegTech).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t>Jeżeli chodzi o technologie łańcucha bloków, w lutym 2018 r. Komisja uruchomiła Unijne Obserwatorium i Forum ds. Łańcucha Bloków oraz zainicjowała studium wykonalności dotyczące unijnej publicznej infrastruktury łańcucha bloków umożliwiającej rozwój usług transgranicznych. Komisja zamierza poddać ocenie kwestię, w jakim stopniu technologię blockchain można wdrożyć jako infrastrukturę usług cyfrowych w ramach instrumentu „Łącząc Europę”. Będzie ona gospodarzem unijnego laboratorium FinTech.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ind w:left="567" w:hanging="567"/>
      </w:pPr>
      <w:r>
        <w:t>W celu zwiększenia bezpieczeństwa i odporności sektora finansowego Komisja zorganizuje publiczno-prywatne warsztaty, aby ocenić bariery utrudniające wymianę informacji na temat zagrożeń dla cyberbezpieczeństwa wśród uczestników rynku finansowego oraz określić potencjalne rozwiązania. Ponadto Komisja zwraca się do europejskich urzędów nadzoru o</w:t>
      </w:r>
      <w:r w:rsidR="00181D2D">
        <w:t> </w:t>
      </w:r>
      <w:r>
        <w:t>przeprowadzenie oceny kosztów i korzyści wynikających z opracowania spójnych ram dotyczących testów cyberodporności dla zainteresowanych stron i infrastruktur w całym sektorze finansowym UE.</w:t>
      </w:r>
    </w:p>
    <w:p w:rsidR="00C05E21" w:rsidRPr="00132879" w:rsidRDefault="00C05E21" w:rsidP="00B37F56"/>
    <w:p w:rsidR="00C05E21" w:rsidRPr="00132879" w:rsidRDefault="00C05E21" w:rsidP="004E6BF7">
      <w:pPr>
        <w:pStyle w:val="Nagwek1"/>
        <w:keepNext/>
        <w:keepLines/>
        <w:rPr>
          <w:b/>
        </w:rPr>
      </w:pPr>
      <w:r>
        <w:rPr>
          <w:b/>
        </w:rPr>
        <w:t>Uwagi ogólne i szczegółowe</w:t>
      </w:r>
    </w:p>
    <w:p w:rsidR="00C05E21" w:rsidRPr="00132879" w:rsidRDefault="00C05E21" w:rsidP="004E6BF7">
      <w:pPr>
        <w:keepNext/>
        <w:keepLines/>
      </w:pPr>
    </w:p>
    <w:p w:rsidR="00C05E21" w:rsidRPr="00132879" w:rsidRDefault="00C05E21" w:rsidP="00C63F56">
      <w:pPr>
        <w:pStyle w:val="Nagwek2"/>
        <w:ind w:left="567" w:hanging="567"/>
      </w:pPr>
      <w:r>
        <w:t>Komitet popiera plan Komisji, ponieważ uważa, że rozwój technologii finansowej w</w:t>
      </w:r>
      <w:r w:rsidR="00181D2D">
        <w:t> </w:t>
      </w:r>
      <w:r>
        <w:t>europejskim sektorze finansowym przynosi szereg istotnych korzyści zarówno przedsiębiorstwom, jak i konsumentom.</w:t>
      </w:r>
    </w:p>
    <w:p w:rsidR="00C05E21" w:rsidRPr="00132879" w:rsidRDefault="00C05E21" w:rsidP="007001D9"/>
    <w:p w:rsidR="00C05E21" w:rsidRPr="003C321E" w:rsidRDefault="00C05E21" w:rsidP="00D75A19">
      <w:pPr>
        <w:pStyle w:val="Nagwek2"/>
        <w:ind w:left="567" w:hanging="567"/>
      </w:pPr>
      <w:r>
        <w:t>EKES uważa, że plan działania w zakresie technologii finansowej ma fundamentalne znaczenie dla pogłębiania i poszerzania rynków kapitałowych dzięki uwzględnieniu cyfryzacji, a zatem także dla unii rynków kapitałowych, która jest ważnym priorytetem dla Unii Europejskiej. Sądzi również, że plan może dostarczać zasadniczego bodźca sektorowi MŚP, stanowiących 99 % wszystkich przedsiębiorstw na poziomie europejskim, gdyż zwiększa ich możliwości finansowania, a wobec tego umożliwi im przyjęcie prostszych i łatwiej dostępnych rozwiązań.</w:t>
      </w:r>
    </w:p>
    <w:p w:rsidR="00C05E21" w:rsidRPr="00132879" w:rsidRDefault="00C05E21" w:rsidP="00B37F56">
      <w:pPr>
        <w:pStyle w:val="Nagwek2"/>
        <w:numPr>
          <w:ilvl w:val="0"/>
          <w:numId w:val="0"/>
        </w:numPr>
        <w:rPr>
          <w:lang w:val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lastRenderedPageBreak/>
        <w:t>Komitet uważa, że jeśli chodzi o poprawę cyberbezpieczeństwa oraz odporności sektora finansowego, środki przewidziane w planie działania – choć są one istotne – należy uzupełnić regulacjami zapewniającymi jednolity rozwój technologii finansowej w UE.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widowControl w:val="0"/>
        <w:ind w:left="567" w:hanging="567"/>
      </w:pPr>
      <w:r>
        <w:t>W następstwie ostatniego kryzysu finansowego zaostrzono, zarówno na szczeblu europejskim, jak i krajowym, przepisy mające wpływ na instytucje finansowe. Dotyczą one również cyberbezpieczeństwa i ustanawiają obowiązkowe przepisy i normy bezpieczeństwa dla instytucji sektora finansowego. EKES uważa, że normy dotyczące cyberbezpieczeństwa należy również wdrożyć na szczeblu UE w odniesieniu do przedsiębiorstw oferujących usługi FinTech. Aby zapewnić jednolite stosowanie, normy te należy ustanowić na szczeblu europejskim, a</w:t>
      </w:r>
      <w:r w:rsidR="00181D2D">
        <w:t> </w:t>
      </w:r>
      <w:r>
        <w:t>nawet rozszerzyć na cały świat.</w:t>
      </w:r>
    </w:p>
    <w:p w:rsidR="00C05E21" w:rsidRPr="00132879" w:rsidRDefault="00C05E21" w:rsidP="007001D9"/>
    <w:p w:rsidR="00C05E21" w:rsidRPr="00132879" w:rsidRDefault="00C05E21" w:rsidP="00B25B20">
      <w:pPr>
        <w:pStyle w:val="Nagwek2"/>
        <w:ind w:left="567" w:hanging="567"/>
      </w:pPr>
      <w:r>
        <w:t>EKES przypomina, że cyberataki z reguły mają charakter transgraniczny. Obecnie wymiana informacji między organami państw członkowskich w sprawie zagrożeń informatycznych i</w:t>
      </w:r>
      <w:r w:rsidR="00181D2D">
        <w:t> </w:t>
      </w:r>
      <w:r>
        <w:t>cyberataków jest dość ograniczona, z uwagi na przepisy prawa krajowego. Należy wzmóc wysiłki w zakresie koordynacji, regulacji i nadzoru na szczeblu Unii.</w:t>
      </w:r>
    </w:p>
    <w:p w:rsidR="00B25B20" w:rsidRPr="00132879" w:rsidRDefault="00B25B20" w:rsidP="00B25B20">
      <w:pPr>
        <w:shd w:val="clear" w:color="auto" w:fill="FFFFFF"/>
        <w:spacing w:line="220" w:lineRule="atLeast"/>
        <w:ind w:left="567" w:hanging="567"/>
        <w:rPr>
          <w:color w:val="333333"/>
          <w:lang w:eastAsia="ro-RO"/>
        </w:rPr>
      </w:pPr>
    </w:p>
    <w:p w:rsidR="00C05E21" w:rsidRPr="00132879" w:rsidRDefault="00C05E21" w:rsidP="00C63F56">
      <w:pPr>
        <w:pStyle w:val="Nagwek2"/>
        <w:ind w:left="567" w:hanging="567"/>
      </w:pPr>
      <w:r>
        <w:t>Ogólne rozporządzenie o ochronie danych (RODO) wprowadzi w odniesieniu do osób zainteresowanych prawo do przekazywania danych osobowych, które osoby te dostarczyły wszelkim przedsiębiorstwom, z którymi się kontaktują. Nowa dyrektywa w sprawie usług płatniczych (PSD2) umożliwi również klientom będącym osobami fizycznymi lub prawnymi przekazywanie danych dotyczących ich rachunków bankowych w znormalizowanym formacie bezpośrednio do zewnętrznych dostawców usług płatniczych (PSP). EKES uważa, że zasadnicze znaczenie dla ustanowienia w ramach dyrektywy w sprawie usług płatniczych, jak i</w:t>
      </w:r>
      <w:r w:rsidR="00181D2D">
        <w:t> </w:t>
      </w:r>
      <w:r>
        <w:t>w ramach rozporządzenia o ochronie danych osobowych równych warunków działania w</w:t>
      </w:r>
      <w:r w:rsidR="00181D2D">
        <w:t> </w:t>
      </w:r>
      <w:r>
        <w:t>zakresie dostępu do danych klientów ma wdrożenie prawa do przenoszenia danych osobowych w sposób zgodny z przedmiotową dyrektywą.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ind w:left="567" w:hanging="567"/>
      </w:pPr>
      <w:r>
        <w:t>W obszarze kryptoaktywów zaobserwowano, że innowacje technologiczne mogą wykorzystać luki w prawodawstwie, nawet jeśli w praktyce waluty te funkcjonują na ściśle regulowanym rynku. Biorąc pod uwagę, że sektor charakteryzuje się znacznymi wahaniami cen i brakiem przejrzystości, a także fakt, że owe aktywa wiążą się z wysokim ryzykiem dla inwestorów, EKES zaleca Komisji i państwom członkowskim przeanalizowanie metod, które należałoby wprowadzić w celu monitorowania transakcji z użyciem kryptowalut.</w:t>
      </w:r>
    </w:p>
    <w:p w:rsidR="00C05E21" w:rsidRPr="00132879" w:rsidRDefault="00C05E21" w:rsidP="00B37F56"/>
    <w:p w:rsidR="00C05E21" w:rsidRPr="00106EB5" w:rsidRDefault="00C05E21" w:rsidP="00C63F56">
      <w:pPr>
        <w:pStyle w:val="Nagwek2"/>
        <w:ind w:left="567" w:hanging="567"/>
      </w:pPr>
      <w:r>
        <w:t>Komisja zaproponowała uruchomienie Unijnego Obserwatorium ds. Łańcucha Bloków. EKES uważa, że zakres uprawnień tego organu należy rozszerzyć na cały sektor FinTech, ze względu silną dynamikę rozwoju powiązanych z nim zastosowań. Ponadto zastosowania takie jak technologia łańcucha bloków pociągają za sobą problemy z zakresu kompetencji i</w:t>
      </w:r>
      <w:r w:rsidR="00181D2D">
        <w:t> </w:t>
      </w:r>
      <w:r>
        <w:t>odpowiedzialności odnośnie do obowiązującego ustawodawstwa. EKES popiera pomysł Komisji, by podjąć na szczeblu UE inicjatywę dotyczącą łańcucha bloków, aby wyjaśnić sposób korzystania z tej technologii i przeciwdziałać obecnemu rozdrobnieniu.</w:t>
      </w:r>
    </w:p>
    <w:p w:rsidR="00C05E21" w:rsidRPr="00132879" w:rsidRDefault="00C05E21" w:rsidP="00B37F56"/>
    <w:p w:rsidR="00C05E21" w:rsidRPr="00132879" w:rsidRDefault="00C05E21" w:rsidP="00181D2D">
      <w:pPr>
        <w:pStyle w:val="Nagwek2"/>
        <w:keepNext/>
        <w:keepLines/>
        <w:ind w:left="567" w:hanging="567"/>
      </w:pPr>
      <w:r>
        <w:lastRenderedPageBreak/>
        <w:t>Wykazano, że wprowadzenie technologii finansowej skutkuje likwidacją wielu miejsc pracy w</w:t>
      </w:r>
      <w:r w:rsidR="00181D2D">
        <w:t> </w:t>
      </w:r>
      <w:r>
        <w:t>instytucjach finansowych. EKES zaleca, aby państwa członkowskie opracowały i wdrożyły aktywne programy środków dotyczących rynku pracy, tak aby pracownicy dotknięci skutkami wprowadzenia innowacji technologicznych w sektorze finansowym jak najszybciej znaleźli nowe zatrudnienie.</w:t>
      </w:r>
    </w:p>
    <w:p w:rsidR="00C05E21" w:rsidRPr="00132879" w:rsidRDefault="00C05E21" w:rsidP="00B37F56"/>
    <w:p w:rsidR="00C05E21" w:rsidRPr="00132879" w:rsidRDefault="00C05E21" w:rsidP="00C63F56">
      <w:pPr>
        <w:pStyle w:val="Nagwek2"/>
        <w:ind w:left="567" w:hanging="567"/>
      </w:pPr>
      <w:r>
        <w:t>Komisja wyraża obawę, że po dokonaniu przez instytucje finansowe outsourcingu usług przetwarzania w chmurze przekazywanie informacji i danych będzie nadmiernie skoncentrowane w rękach działających na tym rynku przedsiębiorstw, których liczba jest niewielka i które zasadniczo nie są przedsiębiorstwami europejskimi. EKES zaleca Komisji, aby określiła, jakie ewentualne przepisy powinny mieć zastosowanie do przedsiębiorstw oferujących usługi przetwarzania w chmurze, jeśli chodzi o odpowiedzialność tych przedsiębiorstw za zabezpieczenie danych, które są przechowywane.</w:t>
      </w:r>
    </w:p>
    <w:p w:rsidR="00C05E21" w:rsidRPr="00132879" w:rsidRDefault="00C05E21" w:rsidP="00A95C74"/>
    <w:p w:rsidR="00C05E21" w:rsidRPr="00132879" w:rsidRDefault="00C05E21" w:rsidP="00A95C74">
      <w:pPr>
        <w:jc w:val="center"/>
      </w:pPr>
      <w:r>
        <w:t>____________</w:t>
      </w:r>
    </w:p>
    <w:sectPr w:rsidR="00C05E21" w:rsidRPr="00132879" w:rsidSect="00106EB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F9" w:rsidRDefault="00A12DF9">
      <w:r>
        <w:separator/>
      </w:r>
    </w:p>
  </w:endnote>
  <w:endnote w:type="continuationSeparator" w:id="0">
    <w:p w:rsidR="00A12DF9" w:rsidRDefault="00A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106EB5" w:rsidP="00106EB5">
    <w:pPr>
      <w:pStyle w:val="Stopka"/>
    </w:pPr>
    <w:r>
      <w:t xml:space="preserve">ECO/454 – EESC-2018-01056-00-01-PA-TRA (EN/RO) </w:t>
    </w:r>
    <w:r>
      <w:fldChar w:fldCharType="begin"/>
    </w:r>
    <w:r>
      <w:instrText xml:space="preserve"> PAGE  \* Arabic  \* MERGEFORMAT </w:instrText>
    </w:r>
    <w:r>
      <w:fldChar w:fldCharType="separate"/>
    </w:r>
    <w:r w:rsidR="00B12269">
      <w:rPr>
        <w:noProof/>
      </w:rPr>
      <w:t>1</w:t>
    </w:r>
    <w:r>
      <w:fldChar w:fldCharType="end"/>
    </w:r>
    <w:r>
      <w:t>/</w:t>
    </w:r>
    <w:fldSimple w:instr=" NUMPAGES ">
      <w:r w:rsidR="00B12269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C05E21" w:rsidP="00106E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106EB5" w:rsidP="00106EB5">
    <w:pPr>
      <w:pStyle w:val="Stopka"/>
    </w:pPr>
    <w:r>
      <w:t xml:space="preserve">ECO/454 – EESC-2018-01056-00-01-PA-TRA (EN/RO) </w:t>
    </w:r>
    <w:r>
      <w:fldChar w:fldCharType="begin"/>
    </w:r>
    <w:r>
      <w:instrText xml:space="preserve"> PAGE  \* Arabic  \* MERGEFORMAT </w:instrText>
    </w:r>
    <w:r>
      <w:fldChar w:fldCharType="separate"/>
    </w:r>
    <w:r w:rsidR="00B12269">
      <w:rPr>
        <w:noProof/>
      </w:rPr>
      <w:t>2</w:t>
    </w:r>
    <w:r>
      <w:fldChar w:fldCharType="end"/>
    </w:r>
    <w:r>
      <w:t>/</w:t>
    </w:r>
    <w:fldSimple w:instr=" NUMPAGES ">
      <w:r w:rsidR="00B12269">
        <w:rPr>
          <w:noProof/>
        </w:rPr>
        <w:t>7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C05E21" w:rsidP="00106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F9" w:rsidRDefault="00A12DF9">
      <w:r>
        <w:separator/>
      </w:r>
    </w:p>
  </w:footnote>
  <w:footnote w:type="continuationSeparator" w:id="0">
    <w:p w:rsidR="00A12DF9" w:rsidRDefault="00A12DF9">
      <w:r>
        <w:continuationSeparator/>
      </w:r>
    </w:p>
  </w:footnote>
  <w:footnote w:id="1">
    <w:p w:rsidR="00872409" w:rsidRPr="007001D9" w:rsidRDefault="00872409" w:rsidP="00872409">
      <w:pPr>
        <w:pStyle w:val="Tekstprzypisudolnego"/>
      </w:pPr>
      <w:r>
        <w:rPr>
          <w:rStyle w:val="Odwoanieprzypisudolnego"/>
        </w:rPr>
        <w:footnoteRef/>
      </w:r>
      <w:r>
        <w:tab/>
        <w:t xml:space="preserve">Łańcuch bloków to stale rosnąca lista informacji (rekordów), zwanych „blokami”, które są ze sobą powiązane i zabezpieczone za pomocą kryptografii. Sama koncepcja łańcucha bloków zapewnia, że jest on chroniony przed modyfikacją danych. Łańcuch bloków stanowi otwarty i rozproszony rejestr, który pozwala na skuteczne, możliwe do zweryfikowania i ciągłe rejestrowanie transakcji między dwiema stronami. Po zarejestrowaniu dane zawarte w bloku nie mogą zostać zmienione wstecznie bez zmiany wszystkich następnych bloków, co z kolei wymaga zgody większości uczestników sieci. (Źródło: </w:t>
      </w:r>
      <w:hyperlink r:id="rId1" w:history="1">
        <w:r>
          <w:rPr>
            <w:rStyle w:val="Hipercze"/>
          </w:rPr>
          <w:t>Wikipedia EN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C05E21" w:rsidP="00106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C05E21" w:rsidP="00106E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E21" w:rsidRPr="00106EB5" w:rsidRDefault="00C05E21" w:rsidP="00106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4C8E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7CC62A2"/>
    <w:lvl w:ilvl="0">
      <w:start w:val="1"/>
      <w:numFmt w:val="decimal"/>
      <w:pStyle w:val="Nagwek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Nagwek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gwek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F"/>
    <w:rsid w:val="00001189"/>
    <w:rsid w:val="000043A2"/>
    <w:rsid w:val="00005AB9"/>
    <w:rsid w:val="00005EB9"/>
    <w:rsid w:val="00006E24"/>
    <w:rsid w:val="00007A40"/>
    <w:rsid w:val="00011D33"/>
    <w:rsid w:val="00020E6E"/>
    <w:rsid w:val="00031A4B"/>
    <w:rsid w:val="000331A4"/>
    <w:rsid w:val="00033913"/>
    <w:rsid w:val="00033E5B"/>
    <w:rsid w:val="000357A8"/>
    <w:rsid w:val="000430A6"/>
    <w:rsid w:val="00044923"/>
    <w:rsid w:val="000505EE"/>
    <w:rsid w:val="0005249C"/>
    <w:rsid w:val="000534A5"/>
    <w:rsid w:val="000556D2"/>
    <w:rsid w:val="000561DD"/>
    <w:rsid w:val="0005680D"/>
    <w:rsid w:val="00063FB4"/>
    <w:rsid w:val="0006793E"/>
    <w:rsid w:val="00072E0F"/>
    <w:rsid w:val="000735E5"/>
    <w:rsid w:val="0007392F"/>
    <w:rsid w:val="000758B8"/>
    <w:rsid w:val="00083E9F"/>
    <w:rsid w:val="00087B39"/>
    <w:rsid w:val="00096502"/>
    <w:rsid w:val="000A071E"/>
    <w:rsid w:val="000A31C6"/>
    <w:rsid w:val="000A49BB"/>
    <w:rsid w:val="000C3441"/>
    <w:rsid w:val="000C7F53"/>
    <w:rsid w:val="000D2F8E"/>
    <w:rsid w:val="000F196B"/>
    <w:rsid w:val="00100D61"/>
    <w:rsid w:val="00105361"/>
    <w:rsid w:val="00106EB5"/>
    <w:rsid w:val="001101F8"/>
    <w:rsid w:val="0011206F"/>
    <w:rsid w:val="0011656A"/>
    <w:rsid w:val="0012220C"/>
    <w:rsid w:val="0012558E"/>
    <w:rsid w:val="00132879"/>
    <w:rsid w:val="00136EA3"/>
    <w:rsid w:val="00137575"/>
    <w:rsid w:val="001416CA"/>
    <w:rsid w:val="0014338D"/>
    <w:rsid w:val="00144231"/>
    <w:rsid w:val="00150434"/>
    <w:rsid w:val="00155721"/>
    <w:rsid w:val="001605AE"/>
    <w:rsid w:val="00163F5F"/>
    <w:rsid w:val="0016503F"/>
    <w:rsid w:val="0016674F"/>
    <w:rsid w:val="00167CA0"/>
    <w:rsid w:val="0017120D"/>
    <w:rsid w:val="001714F6"/>
    <w:rsid w:val="00176168"/>
    <w:rsid w:val="00177158"/>
    <w:rsid w:val="001808A5"/>
    <w:rsid w:val="00181D2D"/>
    <w:rsid w:val="00184FD4"/>
    <w:rsid w:val="00186B04"/>
    <w:rsid w:val="00186F1E"/>
    <w:rsid w:val="0019036F"/>
    <w:rsid w:val="00190836"/>
    <w:rsid w:val="00193930"/>
    <w:rsid w:val="001963A5"/>
    <w:rsid w:val="00196F1E"/>
    <w:rsid w:val="00197DC3"/>
    <w:rsid w:val="00197FCA"/>
    <w:rsid w:val="001A27DB"/>
    <w:rsid w:val="001A6852"/>
    <w:rsid w:val="001B286A"/>
    <w:rsid w:val="001B2D02"/>
    <w:rsid w:val="001B3529"/>
    <w:rsid w:val="001B3647"/>
    <w:rsid w:val="001B43AA"/>
    <w:rsid w:val="001B57F3"/>
    <w:rsid w:val="001B77FA"/>
    <w:rsid w:val="001C0ABE"/>
    <w:rsid w:val="001C5852"/>
    <w:rsid w:val="001D0532"/>
    <w:rsid w:val="001D45F0"/>
    <w:rsid w:val="001E4A33"/>
    <w:rsid w:val="001E5C27"/>
    <w:rsid w:val="001F602B"/>
    <w:rsid w:val="001F686E"/>
    <w:rsid w:val="001F6AC8"/>
    <w:rsid w:val="002037D5"/>
    <w:rsid w:val="00206F90"/>
    <w:rsid w:val="00212B03"/>
    <w:rsid w:val="002131AE"/>
    <w:rsid w:val="002153D7"/>
    <w:rsid w:val="00215C10"/>
    <w:rsid w:val="00215C2D"/>
    <w:rsid w:val="002252C4"/>
    <w:rsid w:val="0023183E"/>
    <w:rsid w:val="00235138"/>
    <w:rsid w:val="00243E36"/>
    <w:rsid w:val="0024540B"/>
    <w:rsid w:val="00245EF4"/>
    <w:rsid w:val="00250E11"/>
    <w:rsid w:val="00251383"/>
    <w:rsid w:val="002522C9"/>
    <w:rsid w:val="00252A21"/>
    <w:rsid w:val="00253E4F"/>
    <w:rsid w:val="0025427C"/>
    <w:rsid w:val="002542E4"/>
    <w:rsid w:val="00261053"/>
    <w:rsid w:val="00262FDE"/>
    <w:rsid w:val="00263629"/>
    <w:rsid w:val="00263EEE"/>
    <w:rsid w:val="00272164"/>
    <w:rsid w:val="002769BD"/>
    <w:rsid w:val="00276A75"/>
    <w:rsid w:val="002809EA"/>
    <w:rsid w:val="00284962"/>
    <w:rsid w:val="00287B0E"/>
    <w:rsid w:val="00296869"/>
    <w:rsid w:val="002A0B53"/>
    <w:rsid w:val="002A0EEF"/>
    <w:rsid w:val="002B2DF7"/>
    <w:rsid w:val="002C3BF4"/>
    <w:rsid w:val="002C749F"/>
    <w:rsid w:val="002D1723"/>
    <w:rsid w:val="002D42E6"/>
    <w:rsid w:val="002E7B33"/>
    <w:rsid w:val="002F059B"/>
    <w:rsid w:val="002F5B0B"/>
    <w:rsid w:val="00300924"/>
    <w:rsid w:val="00302784"/>
    <w:rsid w:val="0030596E"/>
    <w:rsid w:val="003073C3"/>
    <w:rsid w:val="00321212"/>
    <w:rsid w:val="00323637"/>
    <w:rsid w:val="00324E8A"/>
    <w:rsid w:val="00331D87"/>
    <w:rsid w:val="00332850"/>
    <w:rsid w:val="00334478"/>
    <w:rsid w:val="003346B4"/>
    <w:rsid w:val="00334AE6"/>
    <w:rsid w:val="003365D0"/>
    <w:rsid w:val="00337B37"/>
    <w:rsid w:val="003439AB"/>
    <w:rsid w:val="0035034C"/>
    <w:rsid w:val="003539A0"/>
    <w:rsid w:val="00354695"/>
    <w:rsid w:val="0035549B"/>
    <w:rsid w:val="00361135"/>
    <w:rsid w:val="003755C8"/>
    <w:rsid w:val="00375687"/>
    <w:rsid w:val="00380AE0"/>
    <w:rsid w:val="00383324"/>
    <w:rsid w:val="00387596"/>
    <w:rsid w:val="00387A75"/>
    <w:rsid w:val="003904FD"/>
    <w:rsid w:val="00394254"/>
    <w:rsid w:val="003B39F4"/>
    <w:rsid w:val="003C2BFB"/>
    <w:rsid w:val="003C321E"/>
    <w:rsid w:val="003C436B"/>
    <w:rsid w:val="003C5337"/>
    <w:rsid w:val="003C599A"/>
    <w:rsid w:val="003C5F92"/>
    <w:rsid w:val="003D31E5"/>
    <w:rsid w:val="003D43DA"/>
    <w:rsid w:val="003D7A8C"/>
    <w:rsid w:val="003D7C00"/>
    <w:rsid w:val="003E558B"/>
    <w:rsid w:val="003E56E5"/>
    <w:rsid w:val="003E7E60"/>
    <w:rsid w:val="003F00D4"/>
    <w:rsid w:val="003F2209"/>
    <w:rsid w:val="003F3D39"/>
    <w:rsid w:val="003F646A"/>
    <w:rsid w:val="003F6761"/>
    <w:rsid w:val="003F6A0A"/>
    <w:rsid w:val="004018A8"/>
    <w:rsid w:val="004024F5"/>
    <w:rsid w:val="00402DE1"/>
    <w:rsid w:val="00403D8B"/>
    <w:rsid w:val="004058F1"/>
    <w:rsid w:val="004077B3"/>
    <w:rsid w:val="00407E7D"/>
    <w:rsid w:val="0041283D"/>
    <w:rsid w:val="00413AB4"/>
    <w:rsid w:val="00415105"/>
    <w:rsid w:val="00421373"/>
    <w:rsid w:val="00421FB7"/>
    <w:rsid w:val="00424540"/>
    <w:rsid w:val="00424597"/>
    <w:rsid w:val="0042763B"/>
    <w:rsid w:val="0043024C"/>
    <w:rsid w:val="00435A97"/>
    <w:rsid w:val="00436706"/>
    <w:rsid w:val="00440B1A"/>
    <w:rsid w:val="00443D38"/>
    <w:rsid w:val="00450C75"/>
    <w:rsid w:val="00450E7A"/>
    <w:rsid w:val="00456AF8"/>
    <w:rsid w:val="00470B15"/>
    <w:rsid w:val="00475869"/>
    <w:rsid w:val="00475A77"/>
    <w:rsid w:val="00476331"/>
    <w:rsid w:val="004805D7"/>
    <w:rsid w:val="004866A9"/>
    <w:rsid w:val="00492774"/>
    <w:rsid w:val="00496D7A"/>
    <w:rsid w:val="004A2AC9"/>
    <w:rsid w:val="004A31BC"/>
    <w:rsid w:val="004A3F1A"/>
    <w:rsid w:val="004A3F45"/>
    <w:rsid w:val="004B1AFA"/>
    <w:rsid w:val="004B7088"/>
    <w:rsid w:val="004C287F"/>
    <w:rsid w:val="004C4D12"/>
    <w:rsid w:val="004C5B76"/>
    <w:rsid w:val="004D02CD"/>
    <w:rsid w:val="004D0B24"/>
    <w:rsid w:val="004D4B90"/>
    <w:rsid w:val="004D6B95"/>
    <w:rsid w:val="004D7F41"/>
    <w:rsid w:val="004E03A2"/>
    <w:rsid w:val="004E2487"/>
    <w:rsid w:val="004E317E"/>
    <w:rsid w:val="004E3954"/>
    <w:rsid w:val="004E5856"/>
    <w:rsid w:val="004E6BF7"/>
    <w:rsid w:val="004F2330"/>
    <w:rsid w:val="004F53C6"/>
    <w:rsid w:val="004F55C6"/>
    <w:rsid w:val="004F69DB"/>
    <w:rsid w:val="004F6B87"/>
    <w:rsid w:val="00501C2D"/>
    <w:rsid w:val="00502637"/>
    <w:rsid w:val="005034D7"/>
    <w:rsid w:val="00511140"/>
    <w:rsid w:val="00513CFE"/>
    <w:rsid w:val="0051647C"/>
    <w:rsid w:val="00523B6A"/>
    <w:rsid w:val="00523E16"/>
    <w:rsid w:val="00525F6C"/>
    <w:rsid w:val="0053125D"/>
    <w:rsid w:val="00546AB4"/>
    <w:rsid w:val="005514E5"/>
    <w:rsid w:val="00563C84"/>
    <w:rsid w:val="00571AA1"/>
    <w:rsid w:val="005750E5"/>
    <w:rsid w:val="005762F6"/>
    <w:rsid w:val="00583D45"/>
    <w:rsid w:val="00584FBE"/>
    <w:rsid w:val="00585483"/>
    <w:rsid w:val="00587378"/>
    <w:rsid w:val="00587C05"/>
    <w:rsid w:val="00590AAB"/>
    <w:rsid w:val="00590AC9"/>
    <w:rsid w:val="005938C3"/>
    <w:rsid w:val="0059468C"/>
    <w:rsid w:val="00595125"/>
    <w:rsid w:val="00596F21"/>
    <w:rsid w:val="005A6DF1"/>
    <w:rsid w:val="005A7EBC"/>
    <w:rsid w:val="005B17FB"/>
    <w:rsid w:val="005B1A63"/>
    <w:rsid w:val="005B1CDD"/>
    <w:rsid w:val="005B1E19"/>
    <w:rsid w:val="005B55FC"/>
    <w:rsid w:val="005C2D5E"/>
    <w:rsid w:val="005C3B81"/>
    <w:rsid w:val="005C650C"/>
    <w:rsid w:val="005D086C"/>
    <w:rsid w:val="005D0E60"/>
    <w:rsid w:val="005D11D3"/>
    <w:rsid w:val="005D4E1F"/>
    <w:rsid w:val="005D4FB3"/>
    <w:rsid w:val="005E099B"/>
    <w:rsid w:val="005E2F07"/>
    <w:rsid w:val="005E2FEA"/>
    <w:rsid w:val="005E4F2D"/>
    <w:rsid w:val="005E7DEB"/>
    <w:rsid w:val="005F314B"/>
    <w:rsid w:val="00611AF2"/>
    <w:rsid w:val="0061212B"/>
    <w:rsid w:val="006127AF"/>
    <w:rsid w:val="00613A98"/>
    <w:rsid w:val="00615FB2"/>
    <w:rsid w:val="00617BD1"/>
    <w:rsid w:val="00617CE8"/>
    <w:rsid w:val="00620D5B"/>
    <w:rsid w:val="006278A0"/>
    <w:rsid w:val="0063095F"/>
    <w:rsid w:val="006313D2"/>
    <w:rsid w:val="00631CBD"/>
    <w:rsid w:val="0063704F"/>
    <w:rsid w:val="006462CD"/>
    <w:rsid w:val="00646AC2"/>
    <w:rsid w:val="00650390"/>
    <w:rsid w:val="00654DAB"/>
    <w:rsid w:val="00655183"/>
    <w:rsid w:val="00661554"/>
    <w:rsid w:val="0066204A"/>
    <w:rsid w:val="00664355"/>
    <w:rsid w:val="00666AF3"/>
    <w:rsid w:val="00667927"/>
    <w:rsid w:val="00670E3C"/>
    <w:rsid w:val="006765F8"/>
    <w:rsid w:val="00677B8C"/>
    <w:rsid w:val="00677F57"/>
    <w:rsid w:val="00680D34"/>
    <w:rsid w:val="00681088"/>
    <w:rsid w:val="00684AAA"/>
    <w:rsid w:val="006928E8"/>
    <w:rsid w:val="0069577E"/>
    <w:rsid w:val="0069634B"/>
    <w:rsid w:val="00696623"/>
    <w:rsid w:val="006A04E9"/>
    <w:rsid w:val="006A3302"/>
    <w:rsid w:val="006A4A03"/>
    <w:rsid w:val="006A5C26"/>
    <w:rsid w:val="006A7543"/>
    <w:rsid w:val="006B3FFE"/>
    <w:rsid w:val="006B411B"/>
    <w:rsid w:val="006B4E3B"/>
    <w:rsid w:val="006B725C"/>
    <w:rsid w:val="006C0FD2"/>
    <w:rsid w:val="006C1F9F"/>
    <w:rsid w:val="006C273D"/>
    <w:rsid w:val="006C5C4F"/>
    <w:rsid w:val="006C6282"/>
    <w:rsid w:val="006C762A"/>
    <w:rsid w:val="006D5FF9"/>
    <w:rsid w:val="006E0772"/>
    <w:rsid w:val="006E0F86"/>
    <w:rsid w:val="006F0B15"/>
    <w:rsid w:val="006F0DCC"/>
    <w:rsid w:val="007001D9"/>
    <w:rsid w:val="00703780"/>
    <w:rsid w:val="00703DF9"/>
    <w:rsid w:val="007048EB"/>
    <w:rsid w:val="00704FBB"/>
    <w:rsid w:val="0070726A"/>
    <w:rsid w:val="0071226B"/>
    <w:rsid w:val="00714E9F"/>
    <w:rsid w:val="00717040"/>
    <w:rsid w:val="007200D7"/>
    <w:rsid w:val="00723184"/>
    <w:rsid w:val="00732841"/>
    <w:rsid w:val="007353B8"/>
    <w:rsid w:val="00743253"/>
    <w:rsid w:val="00753658"/>
    <w:rsid w:val="00756DBC"/>
    <w:rsid w:val="007622A7"/>
    <w:rsid w:val="0076406B"/>
    <w:rsid w:val="007720AF"/>
    <w:rsid w:val="007750A2"/>
    <w:rsid w:val="007817D6"/>
    <w:rsid w:val="00781E1C"/>
    <w:rsid w:val="00787912"/>
    <w:rsid w:val="0079177A"/>
    <w:rsid w:val="00794836"/>
    <w:rsid w:val="007948D5"/>
    <w:rsid w:val="007A15C9"/>
    <w:rsid w:val="007A5039"/>
    <w:rsid w:val="007A6676"/>
    <w:rsid w:val="007B4170"/>
    <w:rsid w:val="007B7FF5"/>
    <w:rsid w:val="007C3FC6"/>
    <w:rsid w:val="007D2CE9"/>
    <w:rsid w:val="007D4FED"/>
    <w:rsid w:val="007D69DA"/>
    <w:rsid w:val="007D70B1"/>
    <w:rsid w:val="007D7140"/>
    <w:rsid w:val="007E1CDB"/>
    <w:rsid w:val="007E408C"/>
    <w:rsid w:val="007E7E21"/>
    <w:rsid w:val="007F0460"/>
    <w:rsid w:val="007F0DA2"/>
    <w:rsid w:val="007F361A"/>
    <w:rsid w:val="007F39CE"/>
    <w:rsid w:val="007F48CD"/>
    <w:rsid w:val="007F5E0D"/>
    <w:rsid w:val="00801085"/>
    <w:rsid w:val="00801A89"/>
    <w:rsid w:val="00810968"/>
    <w:rsid w:val="00812138"/>
    <w:rsid w:val="008151F2"/>
    <w:rsid w:val="0081777A"/>
    <w:rsid w:val="008210E0"/>
    <w:rsid w:val="00824079"/>
    <w:rsid w:val="00831F0A"/>
    <w:rsid w:val="00833A78"/>
    <w:rsid w:val="0084585F"/>
    <w:rsid w:val="00853E53"/>
    <w:rsid w:val="0085535C"/>
    <w:rsid w:val="00864D76"/>
    <w:rsid w:val="008656C9"/>
    <w:rsid w:val="0086711C"/>
    <w:rsid w:val="00867535"/>
    <w:rsid w:val="00872409"/>
    <w:rsid w:val="00875C5B"/>
    <w:rsid w:val="00883C5F"/>
    <w:rsid w:val="00887114"/>
    <w:rsid w:val="00891C7D"/>
    <w:rsid w:val="00892FA7"/>
    <w:rsid w:val="0089362C"/>
    <w:rsid w:val="008A01F0"/>
    <w:rsid w:val="008A0552"/>
    <w:rsid w:val="008A3301"/>
    <w:rsid w:val="008A4DF1"/>
    <w:rsid w:val="008A5636"/>
    <w:rsid w:val="008B125E"/>
    <w:rsid w:val="008B241C"/>
    <w:rsid w:val="008B408B"/>
    <w:rsid w:val="008B4F11"/>
    <w:rsid w:val="008C1AA3"/>
    <w:rsid w:val="008C2362"/>
    <w:rsid w:val="008C3049"/>
    <w:rsid w:val="008D3F49"/>
    <w:rsid w:val="008D48A8"/>
    <w:rsid w:val="008D4AE9"/>
    <w:rsid w:val="008D5CF3"/>
    <w:rsid w:val="008D7D39"/>
    <w:rsid w:val="008E4574"/>
    <w:rsid w:val="008F4016"/>
    <w:rsid w:val="008F42FE"/>
    <w:rsid w:val="008F4A00"/>
    <w:rsid w:val="008F5402"/>
    <w:rsid w:val="0090053A"/>
    <w:rsid w:val="00901C2A"/>
    <w:rsid w:val="009118C7"/>
    <w:rsid w:val="00916F29"/>
    <w:rsid w:val="009225B6"/>
    <w:rsid w:val="00925397"/>
    <w:rsid w:val="00933A21"/>
    <w:rsid w:val="00934C10"/>
    <w:rsid w:val="0093662A"/>
    <w:rsid w:val="0094060C"/>
    <w:rsid w:val="00942C4B"/>
    <w:rsid w:val="00944196"/>
    <w:rsid w:val="0094742F"/>
    <w:rsid w:val="00953947"/>
    <w:rsid w:val="009606A5"/>
    <w:rsid w:val="00962F1F"/>
    <w:rsid w:val="00965304"/>
    <w:rsid w:val="0096648D"/>
    <w:rsid w:val="00971293"/>
    <w:rsid w:val="00973A3B"/>
    <w:rsid w:val="00983EAE"/>
    <w:rsid w:val="0098760B"/>
    <w:rsid w:val="00997BE8"/>
    <w:rsid w:val="00997F23"/>
    <w:rsid w:val="009A036F"/>
    <w:rsid w:val="009A11DD"/>
    <w:rsid w:val="009B30AA"/>
    <w:rsid w:val="009B5217"/>
    <w:rsid w:val="009C042B"/>
    <w:rsid w:val="009C48DE"/>
    <w:rsid w:val="009C5F13"/>
    <w:rsid w:val="009D60D9"/>
    <w:rsid w:val="009D6C5C"/>
    <w:rsid w:val="009E1E1E"/>
    <w:rsid w:val="009E33E3"/>
    <w:rsid w:val="009E68B0"/>
    <w:rsid w:val="009E7F16"/>
    <w:rsid w:val="009F045C"/>
    <w:rsid w:val="009F5052"/>
    <w:rsid w:val="00A03083"/>
    <w:rsid w:val="00A04C85"/>
    <w:rsid w:val="00A04F9F"/>
    <w:rsid w:val="00A100F0"/>
    <w:rsid w:val="00A12DF9"/>
    <w:rsid w:val="00A156E6"/>
    <w:rsid w:val="00A177C5"/>
    <w:rsid w:val="00A250F8"/>
    <w:rsid w:val="00A27D86"/>
    <w:rsid w:val="00A30A3D"/>
    <w:rsid w:val="00A33151"/>
    <w:rsid w:val="00A3402F"/>
    <w:rsid w:val="00A34D7D"/>
    <w:rsid w:val="00A36970"/>
    <w:rsid w:val="00A41EB4"/>
    <w:rsid w:val="00A44BFF"/>
    <w:rsid w:val="00A47259"/>
    <w:rsid w:val="00A501E3"/>
    <w:rsid w:val="00A50BDF"/>
    <w:rsid w:val="00A50F0C"/>
    <w:rsid w:val="00A56441"/>
    <w:rsid w:val="00A57CA5"/>
    <w:rsid w:val="00A736DD"/>
    <w:rsid w:val="00A74A6A"/>
    <w:rsid w:val="00A7758E"/>
    <w:rsid w:val="00A82869"/>
    <w:rsid w:val="00A8296C"/>
    <w:rsid w:val="00A8758C"/>
    <w:rsid w:val="00A95C74"/>
    <w:rsid w:val="00AA127E"/>
    <w:rsid w:val="00AA19AE"/>
    <w:rsid w:val="00AA423D"/>
    <w:rsid w:val="00AA62CE"/>
    <w:rsid w:val="00AA6A95"/>
    <w:rsid w:val="00AB10DE"/>
    <w:rsid w:val="00AB3668"/>
    <w:rsid w:val="00AB491F"/>
    <w:rsid w:val="00AB5ED7"/>
    <w:rsid w:val="00AB7E0C"/>
    <w:rsid w:val="00AC02B8"/>
    <w:rsid w:val="00AC0B4C"/>
    <w:rsid w:val="00AD0AEE"/>
    <w:rsid w:val="00AD49E3"/>
    <w:rsid w:val="00AD4B4F"/>
    <w:rsid w:val="00AF0616"/>
    <w:rsid w:val="00AF0E28"/>
    <w:rsid w:val="00AF6F9B"/>
    <w:rsid w:val="00B01409"/>
    <w:rsid w:val="00B10DBD"/>
    <w:rsid w:val="00B12269"/>
    <w:rsid w:val="00B12D35"/>
    <w:rsid w:val="00B15629"/>
    <w:rsid w:val="00B2372C"/>
    <w:rsid w:val="00B24CBD"/>
    <w:rsid w:val="00B25B20"/>
    <w:rsid w:val="00B32F70"/>
    <w:rsid w:val="00B373D0"/>
    <w:rsid w:val="00B37F56"/>
    <w:rsid w:val="00B43AAA"/>
    <w:rsid w:val="00B53139"/>
    <w:rsid w:val="00B562CE"/>
    <w:rsid w:val="00B62DE2"/>
    <w:rsid w:val="00B73F17"/>
    <w:rsid w:val="00B74417"/>
    <w:rsid w:val="00B77246"/>
    <w:rsid w:val="00B8290A"/>
    <w:rsid w:val="00B866CD"/>
    <w:rsid w:val="00B91518"/>
    <w:rsid w:val="00B93034"/>
    <w:rsid w:val="00B97C5D"/>
    <w:rsid w:val="00BA1290"/>
    <w:rsid w:val="00BA2CB8"/>
    <w:rsid w:val="00BB2792"/>
    <w:rsid w:val="00BB2D0C"/>
    <w:rsid w:val="00BB76BF"/>
    <w:rsid w:val="00BC1999"/>
    <w:rsid w:val="00BC1AD1"/>
    <w:rsid w:val="00BC3DA4"/>
    <w:rsid w:val="00BC4A58"/>
    <w:rsid w:val="00BC613B"/>
    <w:rsid w:val="00BD51D9"/>
    <w:rsid w:val="00BD635D"/>
    <w:rsid w:val="00BD64E2"/>
    <w:rsid w:val="00BD7F8F"/>
    <w:rsid w:val="00BE4995"/>
    <w:rsid w:val="00BE6E21"/>
    <w:rsid w:val="00BF2E61"/>
    <w:rsid w:val="00BF41F9"/>
    <w:rsid w:val="00BF429A"/>
    <w:rsid w:val="00BF62BE"/>
    <w:rsid w:val="00C05E21"/>
    <w:rsid w:val="00C07126"/>
    <w:rsid w:val="00C16853"/>
    <w:rsid w:val="00C258BD"/>
    <w:rsid w:val="00C263F0"/>
    <w:rsid w:val="00C33D41"/>
    <w:rsid w:val="00C40AFD"/>
    <w:rsid w:val="00C41E20"/>
    <w:rsid w:val="00C42E3E"/>
    <w:rsid w:val="00C51C13"/>
    <w:rsid w:val="00C525A5"/>
    <w:rsid w:val="00C5300F"/>
    <w:rsid w:val="00C54594"/>
    <w:rsid w:val="00C63F56"/>
    <w:rsid w:val="00C66CE0"/>
    <w:rsid w:val="00C71BED"/>
    <w:rsid w:val="00C737B2"/>
    <w:rsid w:val="00C7502D"/>
    <w:rsid w:val="00C81B53"/>
    <w:rsid w:val="00C82AD2"/>
    <w:rsid w:val="00C90FB6"/>
    <w:rsid w:val="00C9220E"/>
    <w:rsid w:val="00C932BD"/>
    <w:rsid w:val="00C93429"/>
    <w:rsid w:val="00CA16C5"/>
    <w:rsid w:val="00CA415A"/>
    <w:rsid w:val="00CA49B8"/>
    <w:rsid w:val="00CA7A35"/>
    <w:rsid w:val="00CB1536"/>
    <w:rsid w:val="00CB6E3B"/>
    <w:rsid w:val="00CB7FB8"/>
    <w:rsid w:val="00CC0BBD"/>
    <w:rsid w:val="00CC1F71"/>
    <w:rsid w:val="00CC5588"/>
    <w:rsid w:val="00CC5EB3"/>
    <w:rsid w:val="00CD0E7B"/>
    <w:rsid w:val="00CD2ABD"/>
    <w:rsid w:val="00CD4024"/>
    <w:rsid w:val="00CD4617"/>
    <w:rsid w:val="00CD4855"/>
    <w:rsid w:val="00CE6B16"/>
    <w:rsid w:val="00CE6D43"/>
    <w:rsid w:val="00CE7888"/>
    <w:rsid w:val="00D051D6"/>
    <w:rsid w:val="00D05761"/>
    <w:rsid w:val="00D072A5"/>
    <w:rsid w:val="00D10E1C"/>
    <w:rsid w:val="00D11F70"/>
    <w:rsid w:val="00D15BB2"/>
    <w:rsid w:val="00D161A3"/>
    <w:rsid w:val="00D1679D"/>
    <w:rsid w:val="00D22E49"/>
    <w:rsid w:val="00D23716"/>
    <w:rsid w:val="00D25ED8"/>
    <w:rsid w:val="00D27F8F"/>
    <w:rsid w:val="00D316B8"/>
    <w:rsid w:val="00D31CFC"/>
    <w:rsid w:val="00D3255D"/>
    <w:rsid w:val="00D340C3"/>
    <w:rsid w:val="00D409CD"/>
    <w:rsid w:val="00D423D4"/>
    <w:rsid w:val="00D42CAF"/>
    <w:rsid w:val="00D5310F"/>
    <w:rsid w:val="00D601EF"/>
    <w:rsid w:val="00D61533"/>
    <w:rsid w:val="00D63B2F"/>
    <w:rsid w:val="00D70747"/>
    <w:rsid w:val="00D71013"/>
    <w:rsid w:val="00D7261D"/>
    <w:rsid w:val="00D727EB"/>
    <w:rsid w:val="00D755FC"/>
    <w:rsid w:val="00D75A19"/>
    <w:rsid w:val="00D76B6D"/>
    <w:rsid w:val="00D813B6"/>
    <w:rsid w:val="00D84D07"/>
    <w:rsid w:val="00D8526A"/>
    <w:rsid w:val="00D90E91"/>
    <w:rsid w:val="00D90EB1"/>
    <w:rsid w:val="00D96DDB"/>
    <w:rsid w:val="00DA4259"/>
    <w:rsid w:val="00DA5AF7"/>
    <w:rsid w:val="00DB43E2"/>
    <w:rsid w:val="00DB60E1"/>
    <w:rsid w:val="00DC1347"/>
    <w:rsid w:val="00DC39F1"/>
    <w:rsid w:val="00DE4B35"/>
    <w:rsid w:val="00DF19C1"/>
    <w:rsid w:val="00DF54CA"/>
    <w:rsid w:val="00DF56C9"/>
    <w:rsid w:val="00DF5B64"/>
    <w:rsid w:val="00DF6DF5"/>
    <w:rsid w:val="00E02794"/>
    <w:rsid w:val="00E043E3"/>
    <w:rsid w:val="00E0505B"/>
    <w:rsid w:val="00E11280"/>
    <w:rsid w:val="00E12359"/>
    <w:rsid w:val="00E13E39"/>
    <w:rsid w:val="00E152FF"/>
    <w:rsid w:val="00E2461B"/>
    <w:rsid w:val="00E24886"/>
    <w:rsid w:val="00E276FB"/>
    <w:rsid w:val="00E32595"/>
    <w:rsid w:val="00E32DC6"/>
    <w:rsid w:val="00E33A74"/>
    <w:rsid w:val="00E35D32"/>
    <w:rsid w:val="00E4030B"/>
    <w:rsid w:val="00E41D56"/>
    <w:rsid w:val="00E457DF"/>
    <w:rsid w:val="00E46642"/>
    <w:rsid w:val="00E5139A"/>
    <w:rsid w:val="00E5413D"/>
    <w:rsid w:val="00E55658"/>
    <w:rsid w:val="00E57977"/>
    <w:rsid w:val="00E635D7"/>
    <w:rsid w:val="00E70576"/>
    <w:rsid w:val="00E70C32"/>
    <w:rsid w:val="00E71DED"/>
    <w:rsid w:val="00E736BB"/>
    <w:rsid w:val="00E83954"/>
    <w:rsid w:val="00E91730"/>
    <w:rsid w:val="00E958A5"/>
    <w:rsid w:val="00E96F04"/>
    <w:rsid w:val="00E97A4B"/>
    <w:rsid w:val="00E97AEC"/>
    <w:rsid w:val="00EA20FE"/>
    <w:rsid w:val="00EA2B74"/>
    <w:rsid w:val="00EB491E"/>
    <w:rsid w:val="00EB681B"/>
    <w:rsid w:val="00EC33D3"/>
    <w:rsid w:val="00EC4FAD"/>
    <w:rsid w:val="00EC5006"/>
    <w:rsid w:val="00ED28C8"/>
    <w:rsid w:val="00ED58C9"/>
    <w:rsid w:val="00EE0F4D"/>
    <w:rsid w:val="00EE3CFA"/>
    <w:rsid w:val="00EE69E4"/>
    <w:rsid w:val="00EF2A7F"/>
    <w:rsid w:val="00EF7E90"/>
    <w:rsid w:val="00F002B6"/>
    <w:rsid w:val="00F10AFE"/>
    <w:rsid w:val="00F10F91"/>
    <w:rsid w:val="00F15C6C"/>
    <w:rsid w:val="00F17173"/>
    <w:rsid w:val="00F20987"/>
    <w:rsid w:val="00F224DC"/>
    <w:rsid w:val="00F2687F"/>
    <w:rsid w:val="00F26A5E"/>
    <w:rsid w:val="00F27F29"/>
    <w:rsid w:val="00F31466"/>
    <w:rsid w:val="00F32D54"/>
    <w:rsid w:val="00F36C54"/>
    <w:rsid w:val="00F418EA"/>
    <w:rsid w:val="00F41A29"/>
    <w:rsid w:val="00F44C1C"/>
    <w:rsid w:val="00F517DA"/>
    <w:rsid w:val="00F518DF"/>
    <w:rsid w:val="00F544DB"/>
    <w:rsid w:val="00F6502E"/>
    <w:rsid w:val="00F65663"/>
    <w:rsid w:val="00F70663"/>
    <w:rsid w:val="00F75147"/>
    <w:rsid w:val="00F756C0"/>
    <w:rsid w:val="00F75A40"/>
    <w:rsid w:val="00F77637"/>
    <w:rsid w:val="00F8435D"/>
    <w:rsid w:val="00F86147"/>
    <w:rsid w:val="00F862E5"/>
    <w:rsid w:val="00F87DD0"/>
    <w:rsid w:val="00F93360"/>
    <w:rsid w:val="00F93FE4"/>
    <w:rsid w:val="00F97E4E"/>
    <w:rsid w:val="00FA1A40"/>
    <w:rsid w:val="00FA217B"/>
    <w:rsid w:val="00FA2547"/>
    <w:rsid w:val="00FA4A2A"/>
    <w:rsid w:val="00FB0BC5"/>
    <w:rsid w:val="00FB0BCC"/>
    <w:rsid w:val="00FC0FE5"/>
    <w:rsid w:val="00FC5F38"/>
    <w:rsid w:val="00FD1A73"/>
    <w:rsid w:val="00FD1ABC"/>
    <w:rsid w:val="00FD58FD"/>
    <w:rsid w:val="00FD5BA3"/>
    <w:rsid w:val="00FD64FB"/>
    <w:rsid w:val="00FD7DDF"/>
    <w:rsid w:val="00FE4C92"/>
    <w:rsid w:val="00FF0FAA"/>
    <w:rsid w:val="00FF375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C4F354-164A-4287-A295-EFC7665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A5"/>
    <w:pPr>
      <w:spacing w:line="288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72A5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72A5"/>
    <w:pPr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D072A5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D072A5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072A5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D072A5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D072A5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072A5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072A5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B1536"/>
    <w:rPr>
      <w:rFonts w:cs="Times New Roman"/>
      <w:kern w:val="28"/>
      <w:sz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B1536"/>
    <w:rPr>
      <w:rFonts w:cs="Times New Roman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B1536"/>
    <w:rPr>
      <w:rFonts w:cs="Times New Roman"/>
      <w:sz w:val="22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B1536"/>
    <w:rPr>
      <w:rFonts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D072A5"/>
  </w:style>
  <w:style w:type="character" w:customStyle="1" w:styleId="StopkaZnak">
    <w:name w:val="Stopka Znak"/>
    <w:basedOn w:val="Domylnaczcionkaakapitu"/>
    <w:link w:val="Stopka"/>
    <w:uiPriority w:val="99"/>
    <w:locked/>
    <w:rsid w:val="00CB153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D072A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536"/>
    <w:rPr>
      <w:rFonts w:cs="Times New Roman"/>
      <w:sz w:val="22"/>
      <w:lang w:val="pl-PL" w:eastAsia="en-US"/>
    </w:rPr>
  </w:style>
  <w:style w:type="paragraph" w:styleId="Nagwek">
    <w:name w:val="header"/>
    <w:basedOn w:val="Normalny"/>
    <w:link w:val="NagwekZnak"/>
    <w:uiPriority w:val="99"/>
    <w:rsid w:val="00D072A5"/>
  </w:style>
  <w:style w:type="character" w:customStyle="1" w:styleId="NagwekZnak">
    <w:name w:val="Nagłówek Znak"/>
    <w:basedOn w:val="Domylnaczcionkaakapitu"/>
    <w:link w:val="Nagwek"/>
    <w:uiPriority w:val="99"/>
    <w:locked/>
    <w:rsid w:val="00CB1536"/>
    <w:rPr>
      <w:lang w:eastAsia="en-US"/>
    </w:rPr>
  </w:style>
  <w:style w:type="character" w:styleId="Hipercze">
    <w:name w:val="Hyperlink"/>
    <w:basedOn w:val="Domylnaczcionkaakapitu"/>
    <w:uiPriority w:val="99"/>
    <w:rsid w:val="00934C10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sid w:val="00D072A5"/>
    <w:rPr>
      <w:rFonts w:cs="Times New Roman"/>
      <w:sz w:val="24"/>
      <w:vertAlign w:val="superscript"/>
    </w:rPr>
  </w:style>
  <w:style w:type="character" w:styleId="UyteHipercze">
    <w:name w:val="FollowedHyperlink"/>
    <w:basedOn w:val="Domylnaczcionkaakapitu"/>
    <w:uiPriority w:val="99"/>
    <w:rsid w:val="00934C10"/>
    <w:rPr>
      <w:rFonts w:cs="Times New Roman"/>
      <w:color w:val="800080"/>
      <w:u w:val="single"/>
    </w:rPr>
  </w:style>
  <w:style w:type="paragraph" w:customStyle="1" w:styleId="LOGO">
    <w:name w:val="LOGO"/>
    <w:basedOn w:val="Normalny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customStyle="1" w:styleId="ColorfulShading-Accent11">
    <w:name w:val="Colorful Shading - Accent 11"/>
    <w:hidden/>
    <w:uiPriority w:val="99"/>
    <w:semiHidden/>
    <w:rsid w:val="00B2372C"/>
  </w:style>
  <w:style w:type="paragraph" w:styleId="Tekstdymka">
    <w:name w:val="Balloon Text"/>
    <w:basedOn w:val="Normalny"/>
    <w:link w:val="TekstdymkaZnak"/>
    <w:uiPriority w:val="99"/>
    <w:semiHidden/>
    <w:rsid w:val="00D07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72A5"/>
    <w:rPr>
      <w:rFonts w:ascii="Tahoma" w:hAnsi="Tahoma" w:cs="Tahoma"/>
      <w:sz w:val="16"/>
      <w:szCs w:val="16"/>
      <w:lang w:val="pl-PL" w:eastAsia="en-US"/>
    </w:rPr>
  </w:style>
  <w:style w:type="paragraph" w:customStyle="1" w:styleId="quotes">
    <w:name w:val="quotes"/>
    <w:basedOn w:val="Normalny"/>
    <w:next w:val="Normalny"/>
    <w:uiPriority w:val="99"/>
    <w:rsid w:val="00D072A5"/>
    <w:pPr>
      <w:ind w:left="720"/>
    </w:pPr>
    <w:rPr>
      <w:i/>
    </w:rPr>
  </w:style>
  <w:style w:type="paragraph" w:styleId="Poprawka">
    <w:name w:val="Revision"/>
    <w:hidden/>
    <w:uiPriority w:val="99"/>
    <w:semiHidden/>
    <w:rsid w:val="009C04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o@eesc.europa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Block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RCSZ5D2JPTA3-4-7239</_dlc_DocId>
    <_dlc_DocIdUrl xmlns="8975caae-a2e4-4a1b-856a-87d8a7cad937">
      <Url>http://dm/EESC/2018/_layouts/DocIdRedir.aspx?ID=RCSZ5D2JPTA3-4-7239</Url>
      <Description>RCSZ5D2JPTA3-4-7239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ef6fd07e-7d84-45ad-8a75-9a9414a8759c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2018-06-18T12:00:00+00:00</ProductionDate>
    <DocumentNumber xmlns="72fbe377-228b-440d-9c80-c8fc7584a534">1056</DocumentNumber>
    <FicheYear xmlns="8975caae-a2e4-4a1b-856a-87d8a7cad937">2018</FicheYear>
    <DocumentVersion xmlns="8975caae-a2e4-4a1b-856a-87d8a7cad937">1</DocumentVersion>
    <DossierNumber xmlns="8975caae-a2e4-4a1b-856a-87d8a7cad937">454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2018-06-27T12:00:00+00:00</MeetingDate>
    <TaxCatchAll xmlns="8975caae-a2e4-4a1b-856a-87d8a7cad937">
      <Value>45</Value>
      <Value>41</Value>
      <Value>40</Value>
      <Value>39</Value>
      <Value>38</Value>
      <Value>37</Value>
      <Value>83</Value>
      <Value>33</Value>
      <Value>31</Value>
      <Value>28</Value>
      <Value>27</Value>
      <Value>18</Value>
      <Value>24</Value>
      <Value>23</Value>
      <Value>22</Value>
      <Value>21</Value>
      <Value>20</Value>
      <Value>19</Value>
      <Value>16</Value>
      <Value>14</Value>
      <Value>108</Value>
      <Value>13</Value>
      <Value>56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975caae-a2e4-4a1b-856a-87d8a7cad937">DANDEA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7249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2803afd0-d11f-44e6-8d45-5072ec0aeb4a</TermId>
        </TermInfo>
      </Terms>
    </MeetingName_0>
    <RequestingService xmlns="8975caae-a2e4-4a1b-856a-87d8a7cad937">Union économique et monétaire, cohésion economique et sociale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B847-FB07-446E-88FF-AE340D562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00F2D2-686A-40BA-841E-AAAA2D12EBB6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customXml/itemProps3.xml><?xml version="1.0" encoding="utf-8"?>
<ds:datastoreItem xmlns:ds="http://schemas.openxmlformats.org/officeDocument/2006/customXml" ds:itemID="{8EDC872A-DEE6-4822-AA4B-55EE51B40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C6384-E445-40B3-8A46-8818CA8863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8A3820-57B8-4EEA-BA23-EC48051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1934</Words>
  <Characters>11610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Technologia finansowa (komunikat)</vt:lpstr>
      <vt:lpstr>Tehnologia financiară (Fin Tech)</vt:lpstr>
    </vt:vector>
  </TitlesOfParts>
  <Company>CESE-CdR</Company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Technologia finansowa (komunikat)</dc:title>
  <dc:creator>Emma Nieddu</dc:creator>
  <cp:keywords>EESC-2018-01056-00-01-PA-TRA-EN</cp:keywords>
  <dc:description>Rapporteur: DANDEA - Original language: EN, RO - Date of document: 18/06/2018 - Date of meeting: 27/06/2018 - External documents: COM(2018)109-final - Administrator: M. Klec Gerald</dc:description>
  <cp:lastModifiedBy>Lech Pilawski</cp:lastModifiedBy>
  <cp:revision>2</cp:revision>
  <cp:lastPrinted>2018-06-08T12:50:00Z</cp:lastPrinted>
  <dcterms:created xsi:type="dcterms:W3CDTF">2018-06-28T07:18:00Z</dcterms:created>
  <dcterms:modified xsi:type="dcterms:W3CDTF">2018-06-28T07:18:00Z</dcterms:modified>
  <cp:category>ECO/454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13/06/2018, 11/06/2018, 14/05/2018, 09/04/2018, 25/09/2017, 21/09/2017, 04/11/2015, 27/10/2015, 19/10/2015, 09/10/2015, 05/10/2015, 05/10/2015, 26/08/2015, 26/08/2015, 25/08/2015</vt:lpwstr>
  </property>
  <property fmtid="{D5CDD505-2E9C-101B-9397-08002B2CF9AE}" pid="4" name="Pref_Time">
    <vt:lpwstr>16:45:35, 10:54:04, 09:31:34, 16:12:41, 11:44:52, 16:07:09, 12/10/07, 14:44:02, 16/04/16, 14:09:30, 16:24:55, 16:04:02, 08:56:14, 07:27:56, 17:31:53</vt:lpwstr>
  </property>
  <property fmtid="{D5CDD505-2E9C-101B-9397-08002B2CF9AE}" pid="5" name="Pref_User">
    <vt:lpwstr>hnic, amett, amett, hnic, mreg, enied, ssex, enied, amett, tvoc, mreg, mreg, amett, enied, ssex</vt:lpwstr>
  </property>
  <property fmtid="{D5CDD505-2E9C-101B-9397-08002B2CF9AE}" pid="6" name="Pref_FileName">
    <vt:lpwstr>EESC-2018-01056-00-01-PA-ORI.docx, EESC-2018-01056-00-00-PA-TRA-RO-CRR.docx, EESC-2018-01056-00-00-APA-TRA-RO-CRR.docx, EESC-2018-01056-00-00-DT-TRA-RO-CRR.docx, EESC-2017-03232-00-01-DT-TRA-RO-CRR.docx, EESC-2017-03232-00-00-DT-TRA-RO-CRR.docx, EESC-2015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46acff76-d943-4885-9354-1018c7d26a35</vt:lpwstr>
  </property>
  <property fmtid="{D5CDD505-2E9C-101B-9397-08002B2CF9AE}" pid="9" name="DocumentType_0">
    <vt:lpwstr>PA|ef6fd07e-7d84-45ad-8a75-9a9414a8759c</vt:lpwstr>
  </property>
  <property fmtid="{D5CDD505-2E9C-101B-9397-08002B2CF9AE}" pid="10" name="AvailableTranslations">
    <vt:lpwstr>40;#HR|2f555653-ed1a-4fe6-8362-9082d95989e5;#20;#PL|1e03da61-4678-4e07-b136-b5024ca9197b;#33;#EL|6d4f4d51-af9b-4650-94b4-4276bee85c91;#22;#FI|87606a43-d45f-42d6-b8c9-e1a3457db5b7;#19;#SL|98a412ae-eb01-49e9-ae3d-585a81724cfc;#28;#BG|1a1b3951-7821-4e6a-85f5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1056</vt:i4>
  </property>
  <property fmtid="{D5CDD505-2E9C-101B-9397-08002B2CF9AE}" pid="15" name="DocumentVersion">
    <vt:i4>1</vt:i4>
  </property>
  <property fmtid="{D5CDD505-2E9C-101B-9397-08002B2CF9AE}" pid="16" name="DossierNumber">
    <vt:i4>454</vt:i4>
  </property>
  <property fmtid="{D5CDD505-2E9C-101B-9397-08002B2CF9AE}" pid="17" name="DocumentSource">
    <vt:lpwstr>1;#EESC|422833ec-8d7e-4e65-8e4e-8bed07ffb729</vt:lpwstr>
  </property>
  <property fmtid="{D5CDD505-2E9C-101B-9397-08002B2CF9AE}" pid="18" name="DocumentType">
    <vt:lpwstr>83;#PA|ef6fd07e-7d84-45ad-8a75-9a9414a8759c</vt:lpwstr>
  </property>
  <property fmtid="{D5CDD505-2E9C-101B-9397-08002B2CF9AE}" pid="19" name="DocumentStatus">
    <vt:lpwstr>7;#TRA|150d2a88-1431-44e6-a8ca-0bb753ab8672</vt:lpwstr>
  </property>
  <property fmtid="{D5CDD505-2E9C-101B-9397-08002B2CF9AE}" pid="20" name="DossierName">
    <vt:lpwstr>108;#ECO|8df351f5-c957-404c-8cf3-8ffb22c9cba2</vt:lpwstr>
  </property>
  <property fmtid="{D5CDD505-2E9C-101B-9397-08002B2CF9AE}" pid="21" name="DocumentPart">
    <vt:i4>0</vt:i4>
  </property>
  <property fmtid="{D5CDD505-2E9C-101B-9397-08002B2CF9AE}" pid="22" name="RequestingService">
    <vt:lpwstr>Union économique et monétaire, cohésion economique et sociale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ECO|2803afd0-d11f-44e6-8d45-5072ec0aeb4a</vt:lpwstr>
  </property>
  <property fmtid="{D5CDD505-2E9C-101B-9397-08002B2CF9AE}" pid="26" name="OriginalLanguage">
    <vt:lpwstr>4;#EN|f2175f21-25d7-44a3-96da-d6a61b075e1b;#31;#RO|feb747a2-64cd-4299-af12-4833ddc30497</vt:lpwstr>
  </property>
  <property fmtid="{D5CDD505-2E9C-101B-9397-08002B2CF9AE}" pid="27" name="MeetingName">
    <vt:lpwstr>56;#ECO|2803afd0-d11f-44e6-8d45-5072ec0aeb4a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EN|f2175f21-25d7-44a3-96da-d6a61b075e1b;RO|feb747a2-64cd-4299-af12-4833ddc30497</vt:lpwstr>
  </property>
  <property fmtid="{D5CDD505-2E9C-101B-9397-08002B2CF9AE}" pid="30" name="MeetingDate">
    <vt:filetime>2018-06-27T12:00:00Z</vt:filetime>
  </property>
  <property fmtid="{D5CDD505-2E9C-101B-9397-08002B2CF9AE}" pid="31" name="TaxCatchAll">
    <vt:lpwstr>45;#MT|7df99101-6854-4a26-b53a-b88c0da02c26;#39;#LV|46f7e311-5d9f-4663-b433-18aeccb7ace7;#38;#IT|0774613c-01ed-4e5d-a25d-11d2388de825;#83;#PA|ef6fd07e-7d84-45ad-8a75-9a9414a8759c;#33;#EL|6d4f4d51-af9b-4650-94b4-4276bee85c91;#31;#RO|feb747a2-64cd-4299-af12</vt:lpwstr>
  </property>
  <property fmtid="{D5CDD505-2E9C-101B-9397-08002B2CF9AE}" pid="32" name="AvailableTranslations_0">
    <vt:lpwstr>EL|6d4f4d51-af9b-4650-94b4-4276bee85c91;FI|87606a43-d45f-42d6-b8c9-e1a3457db5b7;BG|1a1b3951-7821-4e6a-85f5-5673fc08bd2c;PT|50ccc04a-eadd-42ae-a0cb-acaf45f812ba;NL|55c6556c-b4f4-441d-9acf-c498d4f838bd;IT|0774613c-01ed-4e5d-a25d-11d2388de825;RO|feb747a2-64c</vt:lpwstr>
  </property>
  <property fmtid="{D5CDD505-2E9C-101B-9397-08002B2CF9AE}" pid="33" name="VersionStatus">
    <vt:lpwstr>6;#Final|ea5e6674-7b27-4bac-b091-73adbb394efe</vt:lpwstr>
  </property>
  <property fmtid="{D5CDD505-2E9C-101B-9397-08002B2CF9AE}" pid="34" name="Rapporteur">
    <vt:lpwstr>DANDEA</vt:lpwstr>
  </property>
  <property fmtid="{D5CDD505-2E9C-101B-9397-08002B2CF9AE}" pid="35" name="VersionStatus_0">
    <vt:lpwstr>Final|ea5e6674-7b27-4bac-b091-73adbb394efe</vt:lpwstr>
  </property>
  <property fmtid="{D5CDD505-2E9C-101B-9397-08002B2CF9AE}" pid="36" name="FicheNumber">
    <vt:i4>7249</vt:i4>
  </property>
  <property fmtid="{D5CDD505-2E9C-101B-9397-08002B2CF9AE}" pid="37" name="DocumentYear">
    <vt:i4>2018</vt:i4>
  </property>
  <property fmtid="{D5CDD505-2E9C-101B-9397-08002B2CF9AE}" pid="38" name="DocumentLanguage">
    <vt:lpwstr>20;#PL|1e03da61-4678-4e07-b136-b5024ca9197b</vt:lpwstr>
  </property>
</Properties>
</file>