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CC" w:rsidRPr="002E1997" w:rsidRDefault="006F0DCC" w:rsidP="00D326F7">
      <w:pPr>
        <w:suppressAutoHyphens/>
        <w:jc w:val="center"/>
      </w:pPr>
      <w:bookmarkStart w:id="0" w:name="_GoBack"/>
      <w:bookmarkEnd w:id="0"/>
      <w:r w:rsidRPr="002E1997">
        <w:rPr>
          <w:noProof/>
          <w:lang w:val="fr-BE" w:eastAsia="fr-BE" w:bidi="ar-SA"/>
        </w:rPr>
        <w:drawing>
          <wp:inline distT="0" distB="0" distL="0" distR="0" wp14:anchorId="1553657B" wp14:editId="3B68D183">
            <wp:extent cx="874395" cy="56451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97"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3A6069" wp14:editId="3D918379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DCC" w:rsidRPr="006C6420" w:rsidRDefault="006F0DCC" w:rsidP="000F6D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6C6420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    <v:textbox>
                  <w:txbxContent>
                    <w:p w:rsidR="006F0DCC" w:rsidRPr="006C6420" w:rsidRDefault="006F0DCC" w:rsidP="000F6D6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6C6420">
                        <w:rPr>
                          <w:rFonts w:ascii="Arial" w:hAnsi="Arial"/>
                          <w:b/>
                          <w:sz w:val="48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63C84" w:rsidRPr="002E1997" w:rsidRDefault="006F0DCC" w:rsidP="00D326F7">
      <w:pPr>
        <w:suppressAutoHyphens/>
        <w:jc w:val="center"/>
      </w:pPr>
      <w:r w:rsidRPr="002E1997">
        <w:rPr>
          <w:rFonts w:ascii="Arial" w:hAnsi="Arial"/>
          <w:b/>
          <w:i/>
          <w:sz w:val="20"/>
        </w:rPr>
        <w:t>Europejski Komitet Ekonomiczno-Społeczny</w:t>
      </w:r>
    </w:p>
    <w:p w:rsidR="00646AC2" w:rsidRPr="002E1997" w:rsidRDefault="00646AC2" w:rsidP="00D326F7">
      <w:pPr>
        <w:suppressAutoHyphens/>
      </w:pPr>
    </w:p>
    <w:p w:rsidR="00646AC2" w:rsidRPr="002E1997" w:rsidRDefault="009300C5" w:rsidP="00D326F7">
      <w:pPr>
        <w:suppressAutoHyphens/>
        <w:jc w:val="right"/>
      </w:pPr>
      <w:r w:rsidRPr="002E1997">
        <w:rPr>
          <w:b/>
        </w:rPr>
        <w:t>TEN/635</w:t>
      </w:r>
    </w:p>
    <w:p w:rsidR="00563C84" w:rsidRPr="002E1997" w:rsidRDefault="009300C5" w:rsidP="00D326F7">
      <w:pPr>
        <w:suppressAutoHyphens/>
        <w:jc w:val="right"/>
      </w:pPr>
      <w:r w:rsidRPr="002E1997">
        <w:rPr>
          <w:b/>
        </w:rPr>
        <w:t>Europejskie ramy interoperacyjności –</w:t>
      </w:r>
      <w:r w:rsidR="006C6420" w:rsidRPr="002E1997">
        <w:rPr>
          <w:b/>
        </w:rPr>
        <w:t xml:space="preserve"> </w:t>
      </w:r>
      <w:r w:rsidRPr="002E1997">
        <w:rPr>
          <w:b/>
        </w:rPr>
        <w:t xml:space="preserve">strategia wdrażania </w:t>
      </w:r>
    </w:p>
    <w:p w:rsidR="009B30AA" w:rsidRPr="002E1997" w:rsidRDefault="009B30AA" w:rsidP="00D326F7">
      <w:pPr>
        <w:suppressAutoHyphens/>
      </w:pPr>
    </w:p>
    <w:p w:rsidR="009B30AA" w:rsidRPr="002E1997" w:rsidRDefault="009B30AA" w:rsidP="00D326F7">
      <w:pPr>
        <w:suppressAutoHyphens/>
      </w:pPr>
    </w:p>
    <w:p w:rsidR="00646AC2" w:rsidRPr="002E1997" w:rsidRDefault="00D27DCD" w:rsidP="00D326F7">
      <w:pPr>
        <w:suppressAutoHyphens/>
        <w:jc w:val="center"/>
      </w:pPr>
      <w:r w:rsidRPr="002E1997">
        <w:rPr>
          <w:b/>
          <w:sz w:val="28"/>
        </w:rPr>
        <w:t>WSTĘPNY PROJEKT OPINII</w:t>
      </w:r>
      <w:r w:rsidR="00964778" w:rsidRPr="002E1997">
        <w:br/>
      </w:r>
      <w:r w:rsidRPr="002E1997">
        <w:br/>
        <w:t>Sekcja Transportu, Energii, Infrastruktury</w:t>
      </w:r>
      <w:r w:rsidR="00964778" w:rsidRPr="002E1997">
        <w:t xml:space="preserve"> i Społeczeństwa Informacyjnego</w:t>
      </w:r>
      <w:r w:rsidR="00964778" w:rsidRPr="002E1997">
        <w:br/>
      </w:r>
      <w:r w:rsidRPr="002E1997">
        <w:br/>
      </w:r>
      <w:r w:rsidRPr="002E1997">
        <w:rPr>
          <w:b/>
        </w:rPr>
        <w:t>Komunikat Komisji do Parlamentu Europejskiego, Rady,</w:t>
      </w:r>
      <w:r w:rsidRPr="002E1997">
        <w:rPr>
          <w:b/>
        </w:rPr>
        <w:br/>
        <w:t>Europejskiego Komitetu Ekonomiczno-Społecznego i Komitetu Regionów</w:t>
      </w:r>
      <w:r w:rsidRPr="002E1997">
        <w:rPr>
          <w:b/>
        </w:rPr>
        <w:br/>
        <w:t>„Europejskie ramy interoperacyjności – strategia wdrażania”</w:t>
      </w:r>
      <w:r w:rsidRPr="002E1997">
        <w:br/>
        <w:t>[COM(2017) 134 final]</w:t>
      </w:r>
    </w:p>
    <w:p w:rsidR="009B30AA" w:rsidRPr="002E1997" w:rsidRDefault="009B30AA" w:rsidP="00D326F7">
      <w:pPr>
        <w:suppressAutoHyphens/>
        <w:jc w:val="center"/>
      </w:pPr>
    </w:p>
    <w:tbl>
      <w:tblPr>
        <w:tblpPr w:leftFromText="181" w:rightFromText="181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04"/>
      </w:tblGrid>
      <w:tr w:rsidR="00BE58DE" w:rsidRPr="002E1997">
        <w:tc>
          <w:tcPr>
            <w:tcW w:w="9289" w:type="dxa"/>
            <w:gridSpan w:val="2"/>
          </w:tcPr>
          <w:p w:rsidR="00FF3759" w:rsidRPr="002E1997" w:rsidRDefault="00FF3759" w:rsidP="00D326F7">
            <w:pPr>
              <w:suppressAutoHyphens/>
            </w:pPr>
            <w:r w:rsidRPr="002E1997">
              <w:t>Do członków grupy analitycznej</w:t>
            </w:r>
          </w:p>
        </w:tc>
      </w:tr>
      <w:tr w:rsidR="00BE58DE" w:rsidRPr="002E1997">
        <w:tc>
          <w:tcPr>
            <w:tcW w:w="9289" w:type="dxa"/>
            <w:gridSpan w:val="2"/>
          </w:tcPr>
          <w:p w:rsidR="00FF3759" w:rsidRPr="002E1997" w:rsidRDefault="00FF3759" w:rsidP="00D326F7">
            <w:pPr>
              <w:suppressAutoHyphens/>
            </w:pPr>
          </w:p>
        </w:tc>
      </w:tr>
      <w:tr w:rsidR="00BE58DE" w:rsidRPr="002E1997">
        <w:tc>
          <w:tcPr>
            <w:tcW w:w="3085" w:type="dxa"/>
          </w:tcPr>
          <w:p w:rsidR="00FF3759" w:rsidRPr="002E1997" w:rsidRDefault="00FF3759" w:rsidP="00D326F7">
            <w:pPr>
              <w:suppressAutoHyphens/>
            </w:pPr>
            <w:r w:rsidRPr="002E1997">
              <w:t>Posiedzenie grupy analitycznej</w:t>
            </w:r>
          </w:p>
        </w:tc>
        <w:tc>
          <w:tcPr>
            <w:tcW w:w="6204" w:type="dxa"/>
          </w:tcPr>
          <w:p w:rsidR="00FF3759" w:rsidRPr="002E1997" w:rsidRDefault="00D27DCD" w:rsidP="00D326F7">
            <w:pPr>
              <w:suppressAutoHyphens/>
            </w:pPr>
            <w:r w:rsidRPr="002E1997">
              <w:t>18/07/2017, 09:30</w:t>
            </w:r>
          </w:p>
        </w:tc>
      </w:tr>
      <w:tr w:rsidR="00BE58DE" w:rsidRPr="002E1997">
        <w:tc>
          <w:tcPr>
            <w:tcW w:w="3085" w:type="dxa"/>
          </w:tcPr>
          <w:p w:rsidR="00FF3759" w:rsidRPr="002E1997" w:rsidRDefault="00FF3759" w:rsidP="00D326F7">
            <w:pPr>
              <w:suppressAutoHyphens/>
            </w:pPr>
            <w:r w:rsidRPr="002E1997">
              <w:t>Kontakt</w:t>
            </w:r>
          </w:p>
        </w:tc>
        <w:tc>
          <w:tcPr>
            <w:tcW w:w="6204" w:type="dxa"/>
          </w:tcPr>
          <w:p w:rsidR="00FF3759" w:rsidRPr="002E1997" w:rsidRDefault="00EB70C8" w:rsidP="00D326F7">
            <w:pPr>
              <w:suppressAutoHyphens/>
            </w:pPr>
            <w:hyperlink r:id="rId14">
              <w:r w:rsidR="00A02D31" w:rsidRPr="002E1997">
                <w:rPr>
                  <w:rStyle w:val="Hyperlink"/>
                </w:rPr>
                <w:t>ten@eesc.europa.eu</w:t>
              </w:r>
            </w:hyperlink>
          </w:p>
        </w:tc>
      </w:tr>
      <w:tr w:rsidR="00BE58DE" w:rsidRPr="002E1997">
        <w:tc>
          <w:tcPr>
            <w:tcW w:w="3085" w:type="dxa"/>
          </w:tcPr>
          <w:p w:rsidR="00FF3759" w:rsidRPr="002E1997" w:rsidRDefault="00FF3759" w:rsidP="00D326F7">
            <w:pPr>
              <w:suppressAutoHyphens/>
            </w:pPr>
            <w:r w:rsidRPr="002E1997">
              <w:t>Administrator</w:t>
            </w:r>
          </w:p>
        </w:tc>
        <w:tc>
          <w:tcPr>
            <w:tcW w:w="6204" w:type="dxa"/>
          </w:tcPr>
          <w:p w:rsidR="00FF3759" w:rsidRPr="002E1997" w:rsidRDefault="009300C5" w:rsidP="00D326F7">
            <w:pPr>
              <w:suppressAutoHyphens/>
            </w:pPr>
            <w:r w:rsidRPr="002E1997">
              <w:t>Andrei POPESCU</w:t>
            </w:r>
          </w:p>
        </w:tc>
      </w:tr>
      <w:tr w:rsidR="00BE58DE" w:rsidRPr="002E1997">
        <w:tc>
          <w:tcPr>
            <w:tcW w:w="3085" w:type="dxa"/>
          </w:tcPr>
          <w:p w:rsidR="00FF3759" w:rsidRPr="002E1997" w:rsidRDefault="00FF3759" w:rsidP="00D326F7">
            <w:pPr>
              <w:suppressAutoHyphens/>
            </w:pPr>
            <w:r w:rsidRPr="002E1997">
              <w:t>Data dokumentu</w:t>
            </w:r>
          </w:p>
        </w:tc>
        <w:tc>
          <w:tcPr>
            <w:tcW w:w="6204" w:type="dxa"/>
          </w:tcPr>
          <w:p w:rsidR="00FF3759" w:rsidRPr="002E1997" w:rsidRDefault="00B62B46" w:rsidP="00D326F7">
            <w:pPr>
              <w:suppressAutoHyphens/>
            </w:pPr>
            <w:r w:rsidRPr="002E1997">
              <w:t>10/07/2017</w:t>
            </w:r>
          </w:p>
        </w:tc>
      </w:tr>
    </w:tbl>
    <w:p w:rsidR="00E32DC6" w:rsidRPr="002E1997" w:rsidRDefault="007F5E0D" w:rsidP="00D326F7">
      <w:pPr>
        <w:suppressAutoHyphens/>
        <w:jc w:val="center"/>
        <w:rPr>
          <w:b/>
        </w:rPr>
      </w:pPr>
      <w:r w:rsidRPr="002E1997">
        <w:t xml:space="preserve">Sprawozdawca: </w:t>
      </w:r>
      <w:r w:rsidRPr="002E1997">
        <w:rPr>
          <w:b/>
        </w:rPr>
        <w:t>Brian CURTIS</w:t>
      </w:r>
    </w:p>
    <w:p w:rsidR="00E32DC6" w:rsidRPr="002E1997" w:rsidRDefault="00E32DC6" w:rsidP="00D326F7">
      <w:pPr>
        <w:suppressAutoHyphens/>
      </w:pPr>
    </w:p>
    <w:p w:rsidR="00E32DC6" w:rsidRPr="002E1997" w:rsidRDefault="00E32DC6" w:rsidP="00D326F7">
      <w:pPr>
        <w:suppressAutoHyphens/>
        <w:sectPr w:rsidR="00E32DC6" w:rsidRPr="002E1997" w:rsidSect="006C64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4"/>
      </w:tblGrid>
      <w:tr w:rsidR="00BE58DE" w:rsidRPr="002E1997">
        <w:tc>
          <w:tcPr>
            <w:tcW w:w="3085" w:type="dxa"/>
          </w:tcPr>
          <w:p w:rsidR="0011656A" w:rsidRPr="002E1997" w:rsidRDefault="0011656A" w:rsidP="00D326F7">
            <w:pPr>
              <w:suppressAutoHyphens/>
            </w:pPr>
            <w:r w:rsidRPr="002E1997">
              <w:lastRenderedPageBreak/>
              <w:t>Posiedzenie grupy analitycznej</w:t>
            </w:r>
          </w:p>
        </w:tc>
        <w:tc>
          <w:tcPr>
            <w:tcW w:w="6204" w:type="dxa"/>
          </w:tcPr>
          <w:p w:rsidR="0011656A" w:rsidRPr="002E1997" w:rsidRDefault="009300C5" w:rsidP="00D326F7">
            <w:pPr>
              <w:suppressAutoHyphens/>
            </w:pPr>
            <w:r w:rsidRPr="002E1997">
              <w:t>Europejskie ramy interoperacyjności – strategia wdrażania</w:t>
            </w:r>
          </w:p>
        </w:tc>
      </w:tr>
      <w:tr w:rsidR="00BE58DE" w:rsidRPr="002E1997">
        <w:tc>
          <w:tcPr>
            <w:tcW w:w="3085" w:type="dxa"/>
          </w:tcPr>
          <w:p w:rsidR="00033913" w:rsidRPr="002E1997" w:rsidRDefault="00033913" w:rsidP="00D326F7">
            <w:pPr>
              <w:suppressAutoHyphens/>
            </w:pPr>
          </w:p>
        </w:tc>
        <w:tc>
          <w:tcPr>
            <w:tcW w:w="6204" w:type="dxa"/>
          </w:tcPr>
          <w:p w:rsidR="00033913" w:rsidRPr="002E1997" w:rsidRDefault="00033913" w:rsidP="00D326F7">
            <w:pPr>
              <w:suppressAutoHyphens/>
            </w:pPr>
          </w:p>
        </w:tc>
      </w:tr>
      <w:tr w:rsidR="00BE58DE" w:rsidRPr="002E1997">
        <w:tc>
          <w:tcPr>
            <w:tcW w:w="3085" w:type="dxa"/>
          </w:tcPr>
          <w:p w:rsidR="0011656A" w:rsidRPr="002E1997" w:rsidRDefault="0011656A" w:rsidP="00D326F7">
            <w:pPr>
              <w:suppressAutoHyphens/>
            </w:pPr>
            <w:r w:rsidRPr="002E1997">
              <w:t>Przewodniczący</w:t>
            </w:r>
          </w:p>
        </w:tc>
        <w:tc>
          <w:tcPr>
            <w:tcW w:w="6204" w:type="dxa"/>
          </w:tcPr>
          <w:p w:rsidR="0011656A" w:rsidRPr="002E1997" w:rsidRDefault="009300C5" w:rsidP="00D326F7">
            <w:pPr>
              <w:suppressAutoHyphens/>
            </w:pPr>
            <w:r w:rsidRPr="002E1997">
              <w:t>Bernardo HERNÁNDEZ BATALLER (ES-III)</w:t>
            </w:r>
          </w:p>
        </w:tc>
      </w:tr>
      <w:tr w:rsidR="00BE58DE" w:rsidRPr="002E1997">
        <w:tc>
          <w:tcPr>
            <w:tcW w:w="3085" w:type="dxa"/>
          </w:tcPr>
          <w:p w:rsidR="0011656A" w:rsidRPr="002E1997" w:rsidRDefault="0011656A" w:rsidP="00D326F7">
            <w:pPr>
              <w:suppressAutoHyphens/>
            </w:pPr>
            <w:r w:rsidRPr="002E1997">
              <w:t>Sprawozdawca</w:t>
            </w:r>
          </w:p>
        </w:tc>
        <w:tc>
          <w:tcPr>
            <w:tcW w:w="6204" w:type="dxa"/>
          </w:tcPr>
          <w:p w:rsidR="0011656A" w:rsidRPr="002E1997" w:rsidRDefault="009300C5" w:rsidP="00D326F7">
            <w:pPr>
              <w:suppressAutoHyphens/>
            </w:pPr>
            <w:r w:rsidRPr="002E1997">
              <w:t>Brian CURTIS (UK-II)</w:t>
            </w:r>
          </w:p>
        </w:tc>
      </w:tr>
      <w:tr w:rsidR="00BE58DE" w:rsidRPr="002E1997">
        <w:tc>
          <w:tcPr>
            <w:tcW w:w="3085" w:type="dxa"/>
          </w:tcPr>
          <w:p w:rsidR="008C3049" w:rsidRPr="002E1997" w:rsidRDefault="008C3049" w:rsidP="00D326F7">
            <w:pPr>
              <w:suppressAutoHyphens/>
            </w:pPr>
          </w:p>
        </w:tc>
        <w:tc>
          <w:tcPr>
            <w:tcW w:w="6204" w:type="dxa"/>
          </w:tcPr>
          <w:p w:rsidR="008C3049" w:rsidRPr="002E1997" w:rsidRDefault="008C3049" w:rsidP="00D326F7">
            <w:pPr>
              <w:suppressAutoHyphens/>
            </w:pPr>
          </w:p>
        </w:tc>
      </w:tr>
      <w:tr w:rsidR="00BE58DE" w:rsidRPr="002E1997">
        <w:tc>
          <w:tcPr>
            <w:tcW w:w="3085" w:type="dxa"/>
          </w:tcPr>
          <w:p w:rsidR="0011656A" w:rsidRPr="002E1997" w:rsidRDefault="0011656A" w:rsidP="00D326F7">
            <w:pPr>
              <w:suppressAutoHyphens/>
            </w:pPr>
            <w:r w:rsidRPr="002E1997">
              <w:t>Członkowie</w:t>
            </w:r>
          </w:p>
        </w:tc>
        <w:tc>
          <w:tcPr>
            <w:tcW w:w="6204" w:type="dxa"/>
          </w:tcPr>
          <w:p w:rsidR="009300C5" w:rsidRPr="002E1997" w:rsidRDefault="009300C5" w:rsidP="00D326F7">
            <w:pPr>
              <w:suppressAutoHyphens/>
            </w:pPr>
            <w:r w:rsidRPr="002E1997">
              <w:t>Laure BATUT (FR-II)</w:t>
            </w:r>
          </w:p>
          <w:p w:rsidR="009300C5" w:rsidRPr="002E1997" w:rsidRDefault="009300C5" w:rsidP="00D326F7">
            <w:pPr>
              <w:suppressAutoHyphens/>
            </w:pPr>
            <w:r w:rsidRPr="002E1997">
              <w:t>Isabel CAÑO AGUILAR (ES-II)</w:t>
            </w:r>
          </w:p>
          <w:p w:rsidR="009300C5" w:rsidRPr="002E1997" w:rsidRDefault="009300C5" w:rsidP="00D326F7">
            <w:pPr>
              <w:suppressAutoHyphens/>
            </w:pPr>
            <w:r w:rsidRPr="002E1997">
              <w:t>Philippe DE BRAUER (FR-I)</w:t>
            </w:r>
          </w:p>
          <w:p w:rsidR="009300C5" w:rsidRPr="002E1997" w:rsidRDefault="009300C5" w:rsidP="00D326F7">
            <w:pPr>
              <w:suppressAutoHyphens/>
            </w:pPr>
            <w:r w:rsidRPr="002E1997">
              <w:t>Renate HEINISCH (DE-III)</w:t>
            </w:r>
          </w:p>
          <w:p w:rsidR="009300C5" w:rsidRPr="002E1997" w:rsidRDefault="009300C5" w:rsidP="00D326F7">
            <w:pPr>
              <w:suppressAutoHyphens/>
            </w:pPr>
            <w:r w:rsidRPr="002E1997">
              <w:t>Antonio LONGO (IT-III)</w:t>
            </w:r>
          </w:p>
          <w:p w:rsidR="009300C5" w:rsidRPr="002E1997" w:rsidRDefault="009300C5" w:rsidP="00D326F7">
            <w:pPr>
              <w:suppressAutoHyphens/>
            </w:pPr>
            <w:r w:rsidRPr="002E1997">
              <w:t xml:space="preserve">Lech PILAWSKI (PL-I) </w:t>
            </w:r>
            <w:r w:rsidRPr="002E1997">
              <w:rPr>
                <w:sz w:val="18"/>
              </w:rPr>
              <w:t>(art. 62 – Krzysztof OSTROWSKI)</w:t>
            </w:r>
          </w:p>
          <w:p w:rsidR="00C737B2" w:rsidRPr="002E1997" w:rsidRDefault="009300C5" w:rsidP="00D326F7">
            <w:pPr>
              <w:suppressAutoHyphens/>
            </w:pPr>
            <w:r w:rsidRPr="002E1997">
              <w:t>Gundars STRAUTMANIS (LV-I)</w:t>
            </w:r>
          </w:p>
        </w:tc>
      </w:tr>
      <w:tr w:rsidR="00BE58DE" w:rsidRPr="002E1997">
        <w:tc>
          <w:tcPr>
            <w:tcW w:w="3085" w:type="dxa"/>
          </w:tcPr>
          <w:p w:rsidR="00033913" w:rsidRPr="002E1997" w:rsidRDefault="00033913" w:rsidP="00D326F7">
            <w:pPr>
              <w:suppressAutoHyphens/>
            </w:pPr>
          </w:p>
        </w:tc>
        <w:tc>
          <w:tcPr>
            <w:tcW w:w="6204" w:type="dxa"/>
          </w:tcPr>
          <w:p w:rsidR="00033913" w:rsidRPr="002E1997" w:rsidRDefault="00033913" w:rsidP="00D326F7">
            <w:pPr>
              <w:suppressAutoHyphens/>
            </w:pPr>
          </w:p>
        </w:tc>
      </w:tr>
      <w:tr w:rsidR="00BE58DE" w:rsidRPr="002E1997">
        <w:tc>
          <w:tcPr>
            <w:tcW w:w="3085" w:type="dxa"/>
          </w:tcPr>
          <w:p w:rsidR="0011656A" w:rsidRPr="002E1997" w:rsidRDefault="0090053A" w:rsidP="00D326F7">
            <w:pPr>
              <w:suppressAutoHyphens/>
            </w:pPr>
            <w:r w:rsidRPr="002E1997">
              <w:t>Ekspert</w:t>
            </w:r>
          </w:p>
        </w:tc>
        <w:tc>
          <w:tcPr>
            <w:tcW w:w="6204" w:type="dxa"/>
          </w:tcPr>
          <w:p w:rsidR="0090053A" w:rsidRPr="002E1997" w:rsidRDefault="009300C5" w:rsidP="00D326F7">
            <w:pPr>
              <w:suppressAutoHyphens/>
            </w:pPr>
            <w:r w:rsidRPr="002E1997">
              <w:t>Richard ADAMS (z ramienia sprawozdawcy)</w:t>
            </w:r>
          </w:p>
        </w:tc>
      </w:tr>
    </w:tbl>
    <w:p w:rsidR="0012220C" w:rsidRPr="002E1997" w:rsidRDefault="0012220C" w:rsidP="00D326F7">
      <w:pPr>
        <w:suppressAutoHyphens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BE58DE" w:rsidRPr="002E1997">
        <w:tc>
          <w:tcPr>
            <w:tcW w:w="3085" w:type="dxa"/>
          </w:tcPr>
          <w:p w:rsidR="0011656A" w:rsidRPr="002E1997" w:rsidRDefault="0090053A" w:rsidP="00D326F7">
            <w:pPr>
              <w:suppressAutoHyphens/>
            </w:pPr>
            <w:r w:rsidRPr="002E1997">
              <w:t xml:space="preserve">Wniosek o konsultację </w:t>
            </w:r>
          </w:p>
        </w:tc>
        <w:tc>
          <w:tcPr>
            <w:tcW w:w="6202" w:type="dxa"/>
          </w:tcPr>
          <w:p w:rsidR="0011656A" w:rsidRPr="002E1997" w:rsidRDefault="002B0276" w:rsidP="00D326F7">
            <w:pPr>
              <w:suppressAutoHyphens/>
            </w:pPr>
            <w:r w:rsidRPr="002E1997">
              <w:t>Komisja Europejska, 31/05/2017</w:t>
            </w:r>
          </w:p>
        </w:tc>
      </w:tr>
      <w:tr w:rsidR="00BE58DE" w:rsidRPr="002E1997">
        <w:trPr>
          <w:trHeight w:val="251"/>
        </w:trPr>
        <w:tc>
          <w:tcPr>
            <w:tcW w:w="3085" w:type="dxa"/>
          </w:tcPr>
          <w:p w:rsidR="0016503F" w:rsidRPr="002E1997" w:rsidRDefault="0016503F" w:rsidP="00D326F7">
            <w:pPr>
              <w:suppressAutoHyphens/>
            </w:pPr>
            <w:r w:rsidRPr="002E1997">
              <w:t>Podstawa prawna</w:t>
            </w:r>
          </w:p>
        </w:tc>
        <w:tc>
          <w:tcPr>
            <w:tcW w:w="6202" w:type="dxa"/>
          </w:tcPr>
          <w:p w:rsidR="0016503F" w:rsidRPr="002E1997" w:rsidRDefault="0016503F" w:rsidP="00D326F7">
            <w:pPr>
              <w:suppressAutoHyphens/>
            </w:pPr>
            <w:r w:rsidRPr="002E1997">
              <w:t>Artykuł 304 Traktatu o funkcjonowaniu Unii Europejskiej</w:t>
            </w:r>
          </w:p>
        </w:tc>
      </w:tr>
      <w:tr w:rsidR="00BE58DE" w:rsidRPr="002E1997">
        <w:tc>
          <w:tcPr>
            <w:tcW w:w="3085" w:type="dxa"/>
          </w:tcPr>
          <w:p w:rsidR="00BA1290" w:rsidRPr="002E1997" w:rsidRDefault="00BA1290" w:rsidP="00D326F7">
            <w:pPr>
              <w:suppressAutoHyphens/>
            </w:pPr>
          </w:p>
        </w:tc>
        <w:tc>
          <w:tcPr>
            <w:tcW w:w="6202" w:type="dxa"/>
          </w:tcPr>
          <w:p w:rsidR="00BA1290" w:rsidRPr="002E1997" w:rsidRDefault="00BA1290" w:rsidP="00D326F7">
            <w:pPr>
              <w:suppressAutoHyphens/>
            </w:pPr>
          </w:p>
        </w:tc>
      </w:tr>
      <w:tr w:rsidR="00BE58DE" w:rsidRPr="002E1997">
        <w:tc>
          <w:tcPr>
            <w:tcW w:w="3085" w:type="dxa"/>
          </w:tcPr>
          <w:p w:rsidR="00DF5B64" w:rsidRPr="002E1997" w:rsidRDefault="00AD4B4F" w:rsidP="00D326F7">
            <w:pPr>
              <w:suppressAutoHyphens/>
            </w:pPr>
            <w:r w:rsidRPr="002E1997">
              <w:t>Sekcja odpowiedzialna</w:t>
            </w:r>
          </w:p>
        </w:tc>
        <w:tc>
          <w:tcPr>
            <w:tcW w:w="6202" w:type="dxa"/>
          </w:tcPr>
          <w:p w:rsidR="00DF5B64" w:rsidRPr="002E1997" w:rsidRDefault="00474A0E" w:rsidP="00D326F7">
            <w:pPr>
              <w:suppressAutoHyphens/>
            </w:pPr>
            <w:r w:rsidRPr="002E1997">
              <w:t>Sekcja Transportu, Energii, Infrastruktury i Społeczeństwa Informacyjnego</w:t>
            </w:r>
          </w:p>
        </w:tc>
      </w:tr>
      <w:tr w:rsidR="00BE58DE" w:rsidRPr="002E1997">
        <w:tc>
          <w:tcPr>
            <w:tcW w:w="3085" w:type="dxa"/>
          </w:tcPr>
          <w:p w:rsidR="00A156E6" w:rsidRPr="002E1997" w:rsidRDefault="00A156E6" w:rsidP="00D326F7">
            <w:pPr>
              <w:suppressAutoHyphens/>
            </w:pPr>
            <w:r w:rsidRPr="002E1997">
              <w:t>Data przyjęcia przez sekcję</w:t>
            </w:r>
          </w:p>
        </w:tc>
        <w:tc>
          <w:tcPr>
            <w:tcW w:w="6202" w:type="dxa"/>
          </w:tcPr>
          <w:p w:rsidR="00A156E6" w:rsidRPr="002E1997" w:rsidRDefault="003439AB" w:rsidP="00D326F7">
            <w:pPr>
              <w:suppressAutoHyphens/>
            </w:pPr>
            <w:r w:rsidRPr="002E1997">
              <w:t>DD/MM/YYYY</w:t>
            </w:r>
          </w:p>
        </w:tc>
      </w:tr>
      <w:tr w:rsidR="00BE58DE" w:rsidRPr="002E1997">
        <w:tc>
          <w:tcPr>
            <w:tcW w:w="3085" w:type="dxa"/>
          </w:tcPr>
          <w:p w:rsidR="00A156E6" w:rsidRPr="002E1997" w:rsidRDefault="00A156E6" w:rsidP="00D326F7">
            <w:pPr>
              <w:suppressAutoHyphens/>
            </w:pPr>
            <w:r w:rsidRPr="002E1997">
              <w:t>Data przyjęcia na sesji plenarnej</w:t>
            </w:r>
          </w:p>
        </w:tc>
        <w:tc>
          <w:tcPr>
            <w:tcW w:w="6202" w:type="dxa"/>
          </w:tcPr>
          <w:p w:rsidR="00A156E6" w:rsidRPr="002E1997" w:rsidRDefault="003439AB" w:rsidP="00D326F7">
            <w:pPr>
              <w:suppressAutoHyphens/>
            </w:pPr>
            <w:r w:rsidRPr="002E1997">
              <w:t>DD/MM/YYYY</w:t>
            </w:r>
          </w:p>
        </w:tc>
      </w:tr>
      <w:tr w:rsidR="00BE58DE" w:rsidRPr="002E1997">
        <w:tc>
          <w:tcPr>
            <w:tcW w:w="3085" w:type="dxa"/>
          </w:tcPr>
          <w:p w:rsidR="00BA1290" w:rsidRPr="002E1997" w:rsidRDefault="00BA1290" w:rsidP="00D326F7">
            <w:pPr>
              <w:suppressAutoHyphens/>
            </w:pPr>
            <w:r w:rsidRPr="002E1997">
              <w:t>Sesja plenarna nr</w:t>
            </w:r>
          </w:p>
        </w:tc>
        <w:tc>
          <w:tcPr>
            <w:tcW w:w="6202" w:type="dxa"/>
          </w:tcPr>
          <w:p w:rsidR="00BA1290" w:rsidRPr="002E1997" w:rsidRDefault="00BA1290" w:rsidP="00D326F7">
            <w:pPr>
              <w:suppressAutoHyphens/>
            </w:pPr>
            <w:r w:rsidRPr="002E1997">
              <w:t>…</w:t>
            </w:r>
          </w:p>
        </w:tc>
      </w:tr>
      <w:tr w:rsidR="00BE58DE" w:rsidRPr="002E1997">
        <w:tc>
          <w:tcPr>
            <w:tcW w:w="3085" w:type="dxa"/>
          </w:tcPr>
          <w:p w:rsidR="00D423D4" w:rsidRPr="002E1997" w:rsidRDefault="0043024C" w:rsidP="00D326F7">
            <w:pPr>
              <w:suppressAutoHyphens/>
              <w:jc w:val="left"/>
            </w:pPr>
            <w:r w:rsidRPr="002E1997">
              <w:t xml:space="preserve">Wynik głosowania </w:t>
            </w:r>
            <w:r w:rsidRPr="002E1997">
              <w:br/>
              <w:t>(za / przeciw / wstrzymało się)</w:t>
            </w:r>
          </w:p>
        </w:tc>
        <w:tc>
          <w:tcPr>
            <w:tcW w:w="6202" w:type="dxa"/>
            <w:vAlign w:val="bottom"/>
          </w:tcPr>
          <w:p w:rsidR="00A156E6" w:rsidRPr="002E1997" w:rsidRDefault="00A156E6" w:rsidP="00D326F7">
            <w:pPr>
              <w:suppressAutoHyphens/>
            </w:pPr>
            <w:r w:rsidRPr="002E1997">
              <w:t>…/…/…</w:t>
            </w:r>
          </w:p>
        </w:tc>
      </w:tr>
    </w:tbl>
    <w:p w:rsidR="00646AC2" w:rsidRPr="002E1997" w:rsidRDefault="00646AC2" w:rsidP="00D326F7">
      <w:pPr>
        <w:suppressAutoHyphens/>
      </w:pPr>
      <w:r w:rsidRPr="002E1997">
        <w:br w:type="page"/>
      </w:r>
    </w:p>
    <w:p w:rsidR="00011D33" w:rsidRPr="002E1997" w:rsidRDefault="00011D33" w:rsidP="00D326F7">
      <w:pPr>
        <w:pStyle w:val="Heading1"/>
        <w:suppressAutoHyphens/>
      </w:pPr>
      <w:r w:rsidRPr="002E1997">
        <w:rPr>
          <w:b/>
        </w:rPr>
        <w:lastRenderedPageBreak/>
        <w:t>Wnioski i zalecenia</w:t>
      </w:r>
    </w:p>
    <w:p w:rsidR="00011D33" w:rsidRPr="002E1997" w:rsidRDefault="00011D33" w:rsidP="00D326F7">
      <w:pPr>
        <w:suppressAutoHyphens/>
      </w:pPr>
    </w:p>
    <w:p w:rsidR="00451A83" w:rsidRPr="002E1997" w:rsidRDefault="00451A83" w:rsidP="00D326F7">
      <w:pPr>
        <w:pStyle w:val="Heading2"/>
        <w:suppressAutoHyphens/>
        <w:ind w:left="567" w:hanging="567"/>
      </w:pPr>
      <w:r w:rsidRPr="002E1997">
        <w:t xml:space="preserve">Gospodarka cyfrowa, a zwłaszcza związane z nią i wspierające ją ramy usług publicznych, mają kluczowe znaczenie dla sprawnego i skutecznego funkcjonowania społeczeństwa obywatelskiego w UE. Komitet z zadowoleniem przyjmuje nieustanny postęp i wsparcie zapewniane przez Komisję Europejską w dalszym rozwoju europejskich ram interoperacyjności (ang. </w:t>
      </w:r>
      <w:r w:rsidRPr="002E1997">
        <w:rPr>
          <w:i/>
        </w:rPr>
        <w:t>European Interoperability Framework</w:t>
      </w:r>
      <w:r w:rsidRPr="002E1997">
        <w:t xml:space="preserve">, EIF). </w:t>
      </w:r>
    </w:p>
    <w:p w:rsidR="00451A83" w:rsidRPr="002E1997" w:rsidRDefault="00451A83" w:rsidP="00D326F7">
      <w:pPr>
        <w:suppressAutoHyphens/>
        <w:ind w:left="567" w:hanging="567"/>
      </w:pPr>
    </w:p>
    <w:p w:rsidR="00451A83" w:rsidRPr="002E1997" w:rsidRDefault="00451A83" w:rsidP="00D326F7">
      <w:pPr>
        <w:pStyle w:val="Heading2"/>
        <w:suppressAutoHyphens/>
        <w:ind w:left="567" w:hanging="567"/>
      </w:pPr>
      <w:r w:rsidRPr="002E1997">
        <w:t>W komunikacie wskazano na rosnącą rolę doradczą i integrującą DG DIGIT w zachęcaniu państw członkowskich oraz administracji publicznych wszystkich szczebli do tworzenia sprawnych powiązań.</w:t>
      </w:r>
    </w:p>
    <w:p w:rsidR="00451A83" w:rsidRPr="002E1997" w:rsidRDefault="00451A83" w:rsidP="00D326F7">
      <w:pPr>
        <w:suppressAutoHyphens/>
        <w:ind w:left="567" w:hanging="567"/>
      </w:pPr>
    </w:p>
    <w:p w:rsidR="00451A83" w:rsidRPr="002E1997" w:rsidRDefault="00451A83" w:rsidP="00D326F7">
      <w:pPr>
        <w:pStyle w:val="Heading2"/>
        <w:suppressAutoHyphens/>
        <w:ind w:left="567" w:hanging="567"/>
      </w:pPr>
      <w:r w:rsidRPr="002E1997">
        <w:t>EKES przyjąłby z zadowoleniem zaangażowanie państw członkowskich i instytucji Unii Europejskiej we wdrażanie EIF.</w:t>
      </w:r>
    </w:p>
    <w:p w:rsidR="00451A83" w:rsidRPr="002E1997" w:rsidRDefault="00451A83" w:rsidP="00D326F7">
      <w:pPr>
        <w:suppressAutoHyphens/>
        <w:ind w:left="567" w:hanging="567"/>
      </w:pPr>
    </w:p>
    <w:p w:rsidR="00451A83" w:rsidRPr="002E1997" w:rsidRDefault="00451A83" w:rsidP="00D326F7">
      <w:pPr>
        <w:pStyle w:val="Heading2"/>
        <w:suppressAutoHyphens/>
        <w:ind w:left="567" w:hanging="567"/>
      </w:pPr>
      <w:r w:rsidRPr="002E1997">
        <w:t xml:space="preserve">Niemniej odnotowuje, że zdolności w zakresie interoperacyjności istotnie różnią się między państwami członkowskimi oraz w obrębie ich samych. Obecny konsensus stanowi, że wciąż niemożliwe jest wprowadzenie w tej dziedzinie regulacji bądź obowiązkowych procedur zarządzania. Nakłada to większą odpowiedzialność na państwa członkowskie, by dobrowolnie angażowały się w każdy możliwy sposób w realizację ducha i litery europejskich ram interoperacyjności oraz ich programów wdrażających. </w:t>
      </w:r>
    </w:p>
    <w:p w:rsidR="00451A83" w:rsidRPr="002E1997" w:rsidRDefault="00451A83" w:rsidP="00D326F7">
      <w:pPr>
        <w:suppressAutoHyphens/>
        <w:ind w:left="567" w:hanging="567"/>
      </w:pPr>
    </w:p>
    <w:p w:rsidR="00451A83" w:rsidRPr="002E1997" w:rsidRDefault="00451A83" w:rsidP="00D326F7">
      <w:pPr>
        <w:pStyle w:val="Heading2"/>
        <w:suppressAutoHyphens/>
        <w:ind w:left="567" w:hanging="567"/>
      </w:pPr>
      <w:r w:rsidRPr="002E1997">
        <w:t>Chociaż bezpieczeństwo cybernetyczne nie wchodzi w zakres omawianego komunikatu, to jest oczywiste, że inne instrumenty legislacyjne UE muszą zagwarantować, że większa interoperacyjność i publiczny dostęp nie oznaczają zwiększonej podatności na rosnące zagrożenie atakami cybernetycznymi poprzez penetrację.</w:t>
      </w:r>
    </w:p>
    <w:p w:rsidR="00451A83" w:rsidRPr="002E1997" w:rsidRDefault="00451A83" w:rsidP="00D326F7">
      <w:pPr>
        <w:suppressAutoHyphens/>
        <w:ind w:left="567" w:hanging="567"/>
      </w:pPr>
    </w:p>
    <w:p w:rsidR="00451A83" w:rsidRPr="002E1997" w:rsidRDefault="00451A83" w:rsidP="00D326F7">
      <w:pPr>
        <w:pStyle w:val="Heading2"/>
        <w:suppressAutoHyphens/>
        <w:ind w:left="567" w:hanging="567"/>
      </w:pPr>
      <w:r w:rsidRPr="002E1997">
        <w:t>Bezpieczeństwo i prywatność pozostają jednymi z 12 zasad EIF i Komitet aprobuje ich stosunkowo szczegółowy charakter oraz to, że uczyniono je przedmiotem dwóch jasnych zaleceń przedstawionych w planie na rzecz wdrażania interoperacyjności. Ze względu na swój charakter EIF zapewnia państwom członkowskim szerokie ramy korzystania z praw wynikających z zasady pomocniczości, ale nie ulega wątpliwości, że powszechne jest zaniepokojenie społeczeństwa kwestią własności danych osobowych oraz ich wykorzystywaniem i bezpieczeństwem. Nie ulega również wątpliwości, że w całej Europie występują podobne obawy. Kwestie te związane są z podstawowymi prawami zapisanymi w</w:t>
      </w:r>
      <w:r w:rsidR="005775E1" w:rsidRPr="002E1997">
        <w:t> </w:t>
      </w:r>
      <w:r w:rsidRPr="002E1997">
        <w:t xml:space="preserve">Traktatach UE. </w:t>
      </w:r>
    </w:p>
    <w:p w:rsidR="00451A83" w:rsidRPr="002E1997" w:rsidRDefault="00451A83" w:rsidP="00D326F7">
      <w:pPr>
        <w:suppressAutoHyphens/>
        <w:ind w:left="567" w:hanging="567"/>
      </w:pPr>
    </w:p>
    <w:p w:rsidR="00451A83" w:rsidRPr="002E1997" w:rsidRDefault="00451A83" w:rsidP="00D326F7">
      <w:pPr>
        <w:pStyle w:val="Heading2"/>
        <w:suppressAutoHyphens/>
        <w:ind w:left="567" w:hanging="567"/>
      </w:pPr>
      <w:r w:rsidRPr="002E1997">
        <w:t>Innym przedmiotem wspólnej troski jest kwestia tego, w jaki sposób należy wspierać tych, którzy z różnych powodów pozostają poza nawiasem szybko rozwijającego się i</w:t>
      </w:r>
      <w:r w:rsidR="005775E1" w:rsidRPr="002E1997">
        <w:t> </w:t>
      </w:r>
      <w:r w:rsidRPr="002E1997">
        <w:t xml:space="preserve">wszechobecnego świata usług cyfrowych. EKES wzywa państwa członkowskie do realizacji konkretnych i pragmatycznych propozycji dotyczących dalszego świadczenia usług w postaci papierowej lub osobiście, jeżeli jest to konieczne, i umożliwienia zaufanym osobom trzecim działanie w imieniu tych, którzy w przeciwnym razie byliby wykluczeni. </w:t>
      </w:r>
    </w:p>
    <w:p w:rsidR="00451A83" w:rsidRPr="002E1997" w:rsidRDefault="00451A83" w:rsidP="00D326F7">
      <w:pPr>
        <w:suppressAutoHyphens/>
      </w:pPr>
    </w:p>
    <w:p w:rsidR="00011D33" w:rsidRPr="002E1997" w:rsidRDefault="00327CD8" w:rsidP="00305FBE">
      <w:pPr>
        <w:pStyle w:val="Heading1"/>
        <w:keepNext/>
        <w:suppressAutoHyphens/>
      </w:pPr>
      <w:r w:rsidRPr="002E1997">
        <w:rPr>
          <w:b/>
        </w:rPr>
        <w:t>Wprowadzenie</w:t>
      </w:r>
    </w:p>
    <w:p w:rsidR="00011D33" w:rsidRPr="002E1997" w:rsidRDefault="00011D33" w:rsidP="00305FBE">
      <w:pPr>
        <w:keepNext/>
        <w:suppressAutoHyphens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Urzeczywistnienie jednolitego rynku cyfrowego jest jednym z dziesięciu priorytetów politycznych Komisji Europejskiej i mogłoby wnosić 415 mld EUR rocznie do gospodarki europejskiej, tworzyć miejsca pracy i przekształcać usługi publiczne. Istotnym elementem jednolitego rynku cyfrowego jest potrzeba cyfrowej współpracy administracji publicznych. Sektor publiczny odpowiada za ponad 25 % całkowitego zatrudnienia, a dzięki zamówieniom publicznym generuje około jednej piątej unijnego PKB. Wzrost wymiany studenckiej, turystyki, migracji, transgranicznej działalności gospodarczej oraz zakupów w internecie zwiększają potrzebę interoperacyjności w wielu dziedzinach.</w:t>
      </w:r>
    </w:p>
    <w:p w:rsidR="00327CD8" w:rsidRPr="002E1997" w:rsidRDefault="00327CD8" w:rsidP="00D326F7">
      <w:pPr>
        <w:suppressAutoHyphens/>
        <w:ind w:left="567" w:hanging="567"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Europejskie ramy interoperacyjności</w:t>
      </w:r>
      <w:r w:rsidR="006C6420" w:rsidRPr="002E1997">
        <w:t xml:space="preserve"> </w:t>
      </w:r>
      <w:r w:rsidRPr="002E1997">
        <w:t>zostały przyjęte po raz pierwszy w 2010 r. Poprzez sformułowanie zaleceń opartych na zasadach interoperacyjności i modelach konceptualnych dostarczyły one administracjom publicznym szczegółowych wytycznych w sprawie ustanowienia interoperacyjnych usług publicznych.</w:t>
      </w:r>
    </w:p>
    <w:p w:rsidR="00327CD8" w:rsidRPr="002E1997" w:rsidRDefault="00327CD8" w:rsidP="00D326F7">
      <w:pPr>
        <w:suppressAutoHyphens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Od 2010 r. program na rzecz rozwiązań interoperacyjnych dla europejskich administracji publicznych (program ISA) (2010–2015) i jego następca, program ISA² (2016–2020), są głównymi instrumentami wdrażania EIF.</w:t>
      </w:r>
    </w:p>
    <w:p w:rsidR="00327CD8" w:rsidRPr="002E1997" w:rsidRDefault="00327CD8" w:rsidP="00D326F7">
      <w:pPr>
        <w:suppressAutoHyphens/>
      </w:pPr>
    </w:p>
    <w:p w:rsidR="00033C6A" w:rsidRPr="002E1997" w:rsidRDefault="00033C6A" w:rsidP="00D326F7">
      <w:pPr>
        <w:pStyle w:val="Heading2"/>
        <w:suppressAutoHyphens/>
        <w:ind w:left="567" w:hanging="567"/>
      </w:pPr>
      <w:r w:rsidRPr="002E1997">
        <w:t>Ale od tego czasu nastąpiły zmiany w europejskich strategiach i inicjatywach mających wpływ na sektor publiczny – na przykład zmieniono dyrektywę w sprawie ponownego wykorzystywania informacji sektora publicznego, rozporządzenie eIDAS oraz plan działań na rzecz administracji elektronicznej na lata 2016–2020. Przygotowuje się także nowe strategie i</w:t>
      </w:r>
      <w:r w:rsidR="005775E1" w:rsidRPr="002E1997">
        <w:t> </w:t>
      </w:r>
      <w:r w:rsidRPr="002E1997">
        <w:t>inicjatywy, na przykład dotyczące jednolitego portalu cyfrowego oraz swobodnego transgranicznego przepływu danych (nieosobowych).</w:t>
      </w:r>
    </w:p>
    <w:p w:rsidR="00033C6A" w:rsidRPr="002E1997" w:rsidRDefault="00033C6A" w:rsidP="00D326F7">
      <w:pPr>
        <w:suppressAutoHyphens/>
        <w:ind w:left="567" w:hanging="567"/>
      </w:pPr>
    </w:p>
    <w:p w:rsidR="00033C6A" w:rsidRPr="002E1997" w:rsidRDefault="00327CD8" w:rsidP="00D326F7">
      <w:pPr>
        <w:pStyle w:val="Heading2"/>
        <w:suppressAutoHyphens/>
        <w:ind w:left="567" w:hanging="567"/>
      </w:pPr>
      <w:r w:rsidRPr="002E1997">
        <w:t xml:space="preserve">Technologie informacyjne są dziedziną, która szybko się zmienia w takich obszarach jak otwarte dane i przetwarzanie w chmurze. </w:t>
      </w:r>
    </w:p>
    <w:p w:rsidR="00033C6A" w:rsidRPr="002E1997" w:rsidRDefault="00033C6A" w:rsidP="00D326F7">
      <w:pPr>
        <w:suppressAutoHyphens/>
      </w:pPr>
    </w:p>
    <w:p w:rsidR="00327CD8" w:rsidRPr="002E1997" w:rsidRDefault="00033C6A" w:rsidP="00D326F7">
      <w:pPr>
        <w:pStyle w:val="Heading2"/>
        <w:suppressAutoHyphens/>
        <w:ind w:left="567" w:hanging="567"/>
      </w:pPr>
      <w:r w:rsidRPr="002E1997">
        <w:t>Potrzeba rozwiązania wspomnianych kwestii politycznych i technologicznych oraz dokonania przeglądu skuteczności EIF doprowadziły w 2016 r. do konsultacji z zainteresowanymi stronami, podczas których zanalizowano ich potrzeby w zakresie interoperacyjności i wdrażania EIF, a także napotykane problemy. Określono także możliwe skutki oczekiwanych zmian w</w:t>
      </w:r>
      <w:r w:rsidR="005775E1" w:rsidRPr="002E1997">
        <w:t> </w:t>
      </w:r>
      <w:r w:rsidRPr="002E1997">
        <w:t>regulacjach i zgromadzono informacje zwrotne na temat wartości dodanej.</w:t>
      </w:r>
    </w:p>
    <w:p w:rsidR="00327CD8" w:rsidRPr="002E1997" w:rsidRDefault="00327CD8" w:rsidP="00D326F7">
      <w:pPr>
        <w:suppressAutoHyphens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W efekcie nowe ramy kładą większy nacisk na to, jak należy stosować w praktyce zasady i</w:t>
      </w:r>
      <w:r w:rsidR="005775E1" w:rsidRPr="002E1997">
        <w:t> </w:t>
      </w:r>
      <w:r w:rsidRPr="002E1997">
        <w:t>modele interoperacyjności. Lepiej określają też centralną rolę, jaką odgrywa EIF w łączeniu ram krajowych z ramami poszczególnych dziedzin. Liczba zaleceń wzrosła z 25 do 47, by ukonkretnić zaktualizowane zalecenia dotyczące interoperacyjności, jak również nowo wprowadzone zalecenia, co ma ułatwić ich wdrażanie. Skupiono się w większym stopniu na otwartości i zarządzaniu informacjami, możliwości przenoszenia danych, zarządzaniu interoperacyjnością oraz zintegrowanym świadczeniu usług.</w:t>
      </w:r>
    </w:p>
    <w:p w:rsidR="00327CD8" w:rsidRPr="002E1997" w:rsidRDefault="00327CD8" w:rsidP="00D326F7">
      <w:pPr>
        <w:suppressAutoHyphens/>
      </w:pPr>
    </w:p>
    <w:p w:rsidR="00327CD8" w:rsidRPr="002E1997" w:rsidRDefault="00327CD8" w:rsidP="00305FBE">
      <w:pPr>
        <w:pStyle w:val="Heading1"/>
        <w:keepNext/>
        <w:suppressAutoHyphens/>
      </w:pPr>
      <w:r w:rsidRPr="002E1997">
        <w:rPr>
          <w:b/>
        </w:rPr>
        <w:t>Streszczenie dokumentu Komisji</w:t>
      </w:r>
    </w:p>
    <w:p w:rsidR="00327CD8" w:rsidRPr="002E1997" w:rsidRDefault="00327CD8" w:rsidP="00305FBE">
      <w:pPr>
        <w:keepNext/>
        <w:suppressAutoHyphens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W komunikacie przedstawiono ogólny zarys, przegląd i analizę dotychczasowych postępów i</w:t>
      </w:r>
      <w:r w:rsidR="005775E1" w:rsidRPr="002E1997">
        <w:t> </w:t>
      </w:r>
      <w:r w:rsidRPr="002E1997">
        <w:t>priorytetów na przyszłość. W załączniku I do komunikatu określono 22 działania w podziale na pięć obszarów tematycznych. W załączniku II przedstawiono zasady nowych europejskich ram interoperacyjności i podano szczegółowe informacje na temat 47 zaleceń wynikających z</w:t>
      </w:r>
      <w:r w:rsidR="005775E1" w:rsidRPr="002E1997">
        <w:t> </w:t>
      </w:r>
      <w:r w:rsidRPr="002E1997">
        <w:t>12 zasad podstawowych. Ma to umożliwić europejskim administracjom publicznym świadczenie jednolitych usług i sprawny przepływ danych dzięki przestrzeganiu ogólnych ram EIF opartych na modelu konceptualnym.</w:t>
      </w:r>
    </w:p>
    <w:p w:rsidR="00327CD8" w:rsidRPr="002E1997" w:rsidRDefault="00327CD8" w:rsidP="00D326F7">
      <w:pPr>
        <w:suppressAutoHyphens/>
        <w:ind w:left="567" w:hanging="567"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Wdrożenie sprawnych cyfrowych usług publicznych jest bardzo ważne, by ludzie mogli swobodnie pracować i przemieszczać się, a przedsiębiorstwa czerpać korzyści z</w:t>
      </w:r>
      <w:r w:rsidR="009C29FE" w:rsidRPr="002E1997">
        <w:t> </w:t>
      </w:r>
      <w:r w:rsidRPr="002E1997">
        <w:t>nieograniczonego handlu i przepływów kapitałowych we wszystkich państwach członkowskich. Państwa członkowskie modernizują swoje administracje publiczne poprzez powszechną cyfryzację, ale interoperacyjność jest konieczna, by uniknąć ryzyka tworzenia odizolowanych środowisk cyfrowych, a w konsekwencji elektronicznych przeszkód dla korzystania z czterech swobód.</w:t>
      </w:r>
    </w:p>
    <w:p w:rsidR="00327CD8" w:rsidRPr="002E1997" w:rsidRDefault="00327CD8" w:rsidP="00D326F7">
      <w:pPr>
        <w:suppressAutoHyphens/>
        <w:ind w:left="567" w:hanging="567"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Europejskie ramy interoperacyjności przewidują, że odpowiednia interoperacyjność wymaga zniesienia obecnych i potencjalnych przeszkód natury prawnej i organizacyjnej, a także zajęcia się kwestiami danych i semantyki oraz wyzwaniami technicznymi. Wdrożenie i przegląd programów ISA oraz ISA² umożliwiło osiągnięcie istotnego postępu w identyfikowaniu i</w:t>
      </w:r>
      <w:r w:rsidR="009C29FE" w:rsidRPr="002E1997">
        <w:t> </w:t>
      </w:r>
      <w:r w:rsidRPr="002E1997">
        <w:t>rozwiązaniu powyższych kwestii, ale wiele pozostaje jeszcze do zrobienia.</w:t>
      </w:r>
    </w:p>
    <w:p w:rsidR="00327CD8" w:rsidRPr="002E1997" w:rsidRDefault="00327CD8" w:rsidP="00D326F7">
      <w:pPr>
        <w:suppressAutoHyphens/>
        <w:ind w:left="567" w:hanging="567"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Najnowsze dostępne dane wskazują, że krajowe ramy interoperacyjności są w</w:t>
      </w:r>
      <w:r w:rsidR="009C29FE" w:rsidRPr="002E1997">
        <w:t> </w:t>
      </w:r>
      <w:r w:rsidRPr="002E1997">
        <w:t>72 %</w:t>
      </w:r>
      <w:r w:rsidR="009C29FE" w:rsidRPr="002E1997">
        <w:t> </w:t>
      </w:r>
      <w:r w:rsidRPr="002E1997">
        <w:t>dostosowane do EIF. Gdy mowa jednak o konkretnych projektach krajowych, to w</w:t>
      </w:r>
      <w:r w:rsidR="009C29FE" w:rsidRPr="002E1997">
        <w:t> </w:t>
      </w:r>
      <w:r w:rsidRPr="002E1997">
        <w:t>2015 r. poziom wdrożenia EIF wyniósł jedynie 45 %, co wskazuje na utrzymujące się trudności w praktycznej realizacji obecnych zaleceń. W związku z tym oczywista jest potrzeba sformułowania dalszych konkretnych zaleceń, co zostało uczynione w załączniku II.</w:t>
      </w:r>
    </w:p>
    <w:p w:rsidR="00327CD8" w:rsidRPr="002E1997" w:rsidRDefault="00327CD8" w:rsidP="00D326F7">
      <w:pPr>
        <w:suppressAutoHyphens/>
        <w:ind w:left="567" w:hanging="567"/>
      </w:pPr>
    </w:p>
    <w:p w:rsidR="00327CD8" w:rsidRPr="002E1997" w:rsidRDefault="00327CD8" w:rsidP="00D326F7">
      <w:pPr>
        <w:pStyle w:val="Heading2"/>
        <w:suppressAutoHyphens/>
        <w:ind w:left="567" w:hanging="567"/>
      </w:pPr>
      <w:r w:rsidRPr="002E1997">
        <w:t>Zawiera on 12 zasad, które są praktycznie takie same jak w poprzednim EFI, ale uwzględniają niedawną zmianę polityki i postęp techniczny. Zasady te zostały zgrupowane w cztery kategorie i są następujące: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suppressAutoHyphens/>
        <w:ind w:left="567" w:hanging="567"/>
        <w:rPr>
          <w:b/>
        </w:rPr>
      </w:pPr>
      <w:r w:rsidRPr="002E1997">
        <w:rPr>
          <w:b/>
        </w:rPr>
        <w:t>Określenie kontekstu unijnych działań w zakresie interoperacyjności</w:t>
      </w:r>
    </w:p>
    <w:p w:rsidR="009C29FE" w:rsidRPr="002E1997" w:rsidRDefault="009C29FE" w:rsidP="00D326F7">
      <w:pPr>
        <w:suppressAutoHyphens/>
        <w:ind w:left="567" w:hanging="567"/>
      </w:pP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1: Pomocniczość i proporcjonalność 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suppressAutoHyphens/>
        <w:ind w:left="567" w:hanging="567"/>
        <w:rPr>
          <w:b/>
        </w:rPr>
      </w:pPr>
      <w:r w:rsidRPr="002E1997">
        <w:rPr>
          <w:b/>
        </w:rPr>
        <w:t>Główne zasady interoperacyjności</w:t>
      </w:r>
    </w:p>
    <w:p w:rsidR="009C29FE" w:rsidRPr="002E1997" w:rsidRDefault="009C29FE" w:rsidP="00D326F7">
      <w:pPr>
        <w:suppressAutoHyphens/>
        <w:ind w:left="567" w:hanging="567"/>
      </w:pP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2: Otwartość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3: Przejrzystość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4: Ponowne wykorzystanie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5: Neutralność technologiczna i możliwość przenoszenia danych 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305FBE">
      <w:pPr>
        <w:keepNext/>
        <w:suppressAutoHyphens/>
        <w:ind w:left="567" w:hanging="567"/>
        <w:rPr>
          <w:b/>
        </w:rPr>
      </w:pPr>
      <w:r w:rsidRPr="002E1997">
        <w:rPr>
          <w:b/>
        </w:rPr>
        <w:t>Ogólne potrzeby i oczekiwania użytkowników</w:t>
      </w:r>
    </w:p>
    <w:p w:rsidR="009C29FE" w:rsidRPr="002E1997" w:rsidRDefault="009C29FE" w:rsidP="00D326F7">
      <w:pPr>
        <w:suppressAutoHyphens/>
        <w:ind w:left="567" w:hanging="567"/>
      </w:pP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6: Zorientowanie na potrzeby użytkownika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7: Włączanie i dostępność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8: Bezpieczeństwo i prywatność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9: Wielojęzyczność 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suppressAutoHyphens/>
        <w:ind w:left="567" w:hanging="567"/>
        <w:rPr>
          <w:b/>
        </w:rPr>
      </w:pPr>
      <w:r w:rsidRPr="002E1997">
        <w:rPr>
          <w:b/>
        </w:rPr>
        <w:t>Współpraca między administracjami publicznymi</w:t>
      </w:r>
    </w:p>
    <w:p w:rsidR="009C29FE" w:rsidRPr="002E1997" w:rsidRDefault="009C29FE" w:rsidP="00D326F7">
      <w:pPr>
        <w:suppressAutoHyphens/>
        <w:ind w:left="567" w:hanging="567"/>
      </w:pP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10: Uproszczenie administracyjne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 xml:space="preserve">11: Ochrona informacji </w:t>
      </w:r>
    </w:p>
    <w:p w:rsidR="00F036DF" w:rsidRPr="002E1997" w:rsidRDefault="00F036DF" w:rsidP="00D326F7">
      <w:pPr>
        <w:suppressAutoHyphens/>
        <w:ind w:left="567" w:hanging="567"/>
      </w:pPr>
      <w:r w:rsidRPr="002E1997">
        <w:t>12: Ocena skuteczności i wydajności.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ED1D27" w:rsidP="00D326F7">
      <w:pPr>
        <w:pStyle w:val="Heading2"/>
        <w:suppressAutoHyphens/>
        <w:ind w:left="567" w:hanging="567"/>
      </w:pPr>
      <w:r w:rsidRPr="002E1997">
        <w:t>Komunikat zawiera skierowany do administracji publicznych postulat, by ulepszyły krajowe zarządzanie działaniami w obszarze interoperacyjności, wykorzystywały wspólne modele operacyjne w celu rozwijania lepszych cyfrowych usług publicznych i uwzględniania potrzeb obywateli i przedsiębiorstw z innych państw członkowskich UE i zarządzały danymi, które posiadają we wspólnych formatach semantycznych i syntaktycznych, aby ułatwić ich publikowanie na portalach oraz ich łączenie, udostępnianie i ponowne wykorzystywanie.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W komunikacie przedstawiono skonsolidowany konceptualny model EIF oparty na syntezie modelu interoperacyjności i modelu zintegrowanych usług publicznych. Ma on zastosowanie do wszystkich cyfrowych usług publicznych, ze szczególnym uwzględnieniem aspektów zarządzania. Wyjaśnienie zarówno zasad, jak i modeli zilustrowane jest 47 szczegółowymi zaleceniami. |Załączony do komunikatu plan działania na rzecz operacyjności zawiera dalsze konkretne propozycje wdrażania. Zwiększa to jasność ram konceptualnych i pozwala odnieść się do konkretnych kwestii operacyjnych poruszonych podczas konsultacji w 2016 r.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Przykładowo, powszechnym problemem są zastane systemy, opracowane z myślą o rozwiązaniu kwestii lokalnych i szczególnych dla danej dziedziny, które doprowadziły do powstania rozdrobnionych wysp ICT. W jednym z zaleceń, w których ustosunkowano się do tego problemu, stwierdzono: „Należy w miarę dostępności korzystać z otwartych specyfikacji, aby zapewnić interoperacyjność techniczną przy ustanawianiu europejskich usług użyteczności publicznej” (Zalecenie 33). Znalazło to poparcie w planie działania, w którym przedstawiono siedem obszarów działań (12–18) i zaproponowano konkretne środki.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1"/>
        <w:suppressAutoHyphens/>
      </w:pPr>
      <w:r w:rsidRPr="002E1997">
        <w:rPr>
          <w:b/>
        </w:rPr>
        <w:t>Uwagi ogólne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Komitet z zadowoleniem przyjmuje dalszy rozwój EIF i odnotowuje, że prawdopodobne w</w:t>
      </w:r>
      <w:r w:rsidR="009C29FE" w:rsidRPr="002E1997">
        <w:t> </w:t>
      </w:r>
      <w:r w:rsidRPr="002E1997">
        <w:t>październiku 2017 r. przyjęta zostanie deklaracja ministerialna w sprawie administracji elektronicznej, która między innymi zobowiąże do wdrażania EIF. Ponadto EKES uznaje znaczenie, jakie ma gospodarka cyfrowa dla społeczeństwa obywatelskiego w UE – na przestrzeni ostatnich lat przedstawiał w opiniach konstruktywne stanowisko w sprawie agendy cyfrowej i programu będącego jego kontynuacją, czyli jednolitego rynku cyfrowego</w:t>
      </w:r>
      <w:r w:rsidRPr="002E1997">
        <w:rPr>
          <w:rStyle w:val="FootnoteReference"/>
        </w:rPr>
        <w:footnoteReference w:id="1"/>
      </w:r>
      <w:r w:rsidRPr="002E1997">
        <w:t>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W ostatnim dziesięcioleciu plany działania na rzecz administracji elektronicznej</w:t>
      </w:r>
      <w:r w:rsidRPr="002E1997">
        <w:rPr>
          <w:rStyle w:val="FootnoteReference"/>
        </w:rPr>
        <w:footnoteReference w:id="2"/>
      </w:r>
      <w:r w:rsidRPr="002E1997">
        <w:t xml:space="preserve"> dowiodły swej skuteczności jako instrumenty polityczne umożliwiające dalszą modernizacji administracji publicznych w całej UE. Wspierają one koordynację i współpracę między państwami członkowskimi i Komisją i prowadzą do wspólnych działań w zakresie administracji elektronicznej, w których ważną rolę odgrywają europejskie ramy interoperacyjności.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W strategii wdrażania europejskich ram interoperacyjności uwzględniono wiele zaleceń z</w:t>
      </w:r>
      <w:r w:rsidR="009C29FE" w:rsidRPr="002E1997">
        <w:t> </w:t>
      </w:r>
      <w:r w:rsidRPr="002E1997">
        <w:t>poprzednich opinii Komitetu i podkreślono rosnącą potrzebę podjęcia pilnych i spójnych działań przez administracje publiczne w całej UE. Niektóre wcześniejsze zastrzeżenia ze strony państw członkowskich wobec EIF zostały już w dużym stopniu rozwiązane i chociaż wciąż jest miejsce na pewne ulepszenia, to główne trudności we wdrażaniu dotyczą raczej kwestii zasobów i zagadnień związanych z zastanymi systemami niż spraw zasadniczych.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W poprzedniej opinii w sprawie interoperacyjności jako środka modernizacji sektora publicznego (TEN 556) Komitet stwierdził, że obywatele są w coraz większym stopniu świadomi i zaniepokojeni tym, że organy administracji publicznej gromadzą i wykorzystują dane osobowe lub dane zgromadzone w szerszym zakresie.</w:t>
      </w:r>
      <w:r w:rsidR="006C6420" w:rsidRPr="002E1997">
        <w:t xml:space="preserve"> </w:t>
      </w:r>
      <w:r w:rsidRPr="002E1997">
        <w:t>Mają również świadomość tego, że większa interoperacyjność ma wpływ na sposób udostępniania i wykorzystywania danych. Świadomość ta obecnie jeszcze bardziej wzrosła, więc optymizmem napawa fakt dostrzeżenia kwestii dotyczących bezpieczeństwa i prywatności i sformułowania zaleceń (nr 46–47) w celu priorytetowego potraktowania odpowiednich działań.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W szybko rozwijającej się dziedzinie takiej jak ICT często zdarza się, że postęp techniczny i</w:t>
      </w:r>
      <w:r w:rsidR="009C29FE" w:rsidRPr="002E1997">
        <w:t> </w:t>
      </w:r>
      <w:r w:rsidRPr="002E1997">
        <w:t xml:space="preserve">rozwój rynku wyprzedzają opracowanie odpowiednich strategii politycznych, a także wyprzedzają udzielenie mandatu prawnego i regulacyjnego i zapewnienie zdolności w zakresie monitorowania. W związku z tym Komitet w pełni zgadza się z przyjętym we wniosku Komisji podejściem przewidującym regularny przegląd i dostosowanie. W tym względzie Obserwatorium Krajowych Ram Interoperacyjności (ang. </w:t>
      </w:r>
      <w:r w:rsidRPr="002E1997">
        <w:rPr>
          <w:i/>
        </w:rPr>
        <w:t>National Interoperability Framework Observatory</w:t>
      </w:r>
      <w:r w:rsidRPr="002E1997">
        <w:t>, NIFO) świadczy istotne usługi zainteresowanym podmiotom. Dostarcza ono wiele szczegółowych informacji praktycznych i technicznych, które uzupełniają ramy konceptualne i</w:t>
      </w:r>
      <w:r w:rsidR="009C29FE" w:rsidRPr="002E1997">
        <w:t> </w:t>
      </w:r>
      <w:r w:rsidRPr="002E1997">
        <w:t>prawne. Na przykład w 32 niedawno zaktualizowanych notach informacyjnych dostępnych on</w:t>
      </w:r>
      <w:r w:rsidR="009C29FE" w:rsidRPr="002E1997">
        <w:noBreakHyphen/>
      </w:r>
      <w:r w:rsidRPr="002E1997">
        <w:t>line skompilowano najnowsze informacje na temat krajowego stanu interoperacyjności uczestniczących państw</w:t>
      </w:r>
      <w:r w:rsidRPr="002E1997">
        <w:rPr>
          <w:rStyle w:val="FootnoteReference"/>
        </w:rPr>
        <w:footnoteReference w:id="3"/>
      </w:r>
      <w:r w:rsidRPr="002E1997">
        <w:t>.</w:t>
      </w:r>
    </w:p>
    <w:p w:rsidR="00F036DF" w:rsidRPr="002E1997" w:rsidRDefault="00F036DF" w:rsidP="00D326F7">
      <w:pPr>
        <w:suppressAutoHyphens/>
        <w:ind w:left="567" w:hanging="567"/>
      </w:pPr>
    </w:p>
    <w:p w:rsidR="00F036DF" w:rsidRPr="002E1997" w:rsidRDefault="00F036DF" w:rsidP="00305FBE">
      <w:pPr>
        <w:pStyle w:val="Heading1"/>
        <w:keepNext/>
        <w:suppressAutoHyphens/>
      </w:pPr>
      <w:r w:rsidRPr="002E1997">
        <w:rPr>
          <w:b/>
        </w:rPr>
        <w:t>Uwagi szczegółowe</w:t>
      </w:r>
    </w:p>
    <w:p w:rsidR="00F036DF" w:rsidRPr="002E1997" w:rsidRDefault="00F036DF" w:rsidP="00305FBE">
      <w:pPr>
        <w:keepNext/>
        <w:suppressAutoHyphens/>
        <w:ind w:left="567" w:hanging="567"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>Konceptualny model EIF dotyczący usług użyteczności publicznej obejmuje opracowanie, planowanie, rozwój, wykonywanie i utrzymywanie zintegrowanych usług publicznych na wszystkich poziomach sprawowania rządów, od szczebla lokalnego po unijny. Omówione tutaj zasady dostarczają wytycznych przy podejmowaniu decyzji w sprawie ustanowienia interoperacyjnych europejskich usług publicznych. Towarzyszą im praktyczne narzędzia w</w:t>
      </w:r>
      <w:r w:rsidR="009C29FE" w:rsidRPr="002E1997">
        <w:t> </w:t>
      </w:r>
      <w:r w:rsidRPr="002E1997">
        <w:t>postaci zestawu działań przedstawionych w planie działania na rzecz interoperacyjności. Jednakże te 22 działania nie określają celów, a państwa członkowskie i Komisja wydają się ponosić wspólną odpowiedzialność za ich wykonanie. Nie jest to gwarancją zdecydowanych działań i wymaga uściślenia. Ponadto ustalenie priorytetów działań mogłoby być pomocne przy decydowaniu o sposobie wykorzystania środków, zwłaszcza, że będą one prawdopodobnie ograniczone.</w:t>
      </w:r>
    </w:p>
    <w:p w:rsidR="00F036DF" w:rsidRPr="002E1997" w:rsidRDefault="00F036DF" w:rsidP="00D326F7">
      <w:pPr>
        <w:suppressAutoHyphens/>
      </w:pPr>
    </w:p>
    <w:p w:rsidR="00DA102B" w:rsidRPr="002E1997" w:rsidRDefault="00DA102B" w:rsidP="00D326F7">
      <w:pPr>
        <w:pStyle w:val="Heading2"/>
        <w:suppressAutoHyphens/>
        <w:ind w:left="567" w:hanging="567"/>
      </w:pPr>
      <w:r w:rsidRPr="002E1997">
        <w:t xml:space="preserve">W komunikacie i w towarzyszących mu dokumentach podkreślono, że usługi muszą być zorientowane na użytkownika, ale przydałoby się więcej jasności co do tego, w jaki sposób osiągnąć ten </w:t>
      </w:r>
      <w:r w:rsidR="00A02D31" w:rsidRPr="002E1997">
        <w:t>cel.</w:t>
      </w:r>
    </w:p>
    <w:p w:rsidR="00DA102B" w:rsidRPr="002E1997" w:rsidRDefault="00DA102B" w:rsidP="00D326F7">
      <w:pPr>
        <w:suppressAutoHyphens/>
      </w:pPr>
    </w:p>
    <w:p w:rsidR="00DA102B" w:rsidRPr="002E1997" w:rsidRDefault="00DA102B" w:rsidP="00D326F7">
      <w:pPr>
        <w:pStyle w:val="Heading2"/>
        <w:suppressAutoHyphens/>
        <w:ind w:left="567" w:hanging="567"/>
      </w:pPr>
      <w:r w:rsidRPr="002E1997">
        <w:t>Europejskie ramy interoperacyjności definiują zakres usług publicznych. Pojęcie to obejmuje prawie wszystkie rodzaje transgranicznych usług publicznych, co może stwarzać trudności w</w:t>
      </w:r>
      <w:r w:rsidR="009C29FE" w:rsidRPr="002E1997">
        <w:t> </w:t>
      </w:r>
      <w:r w:rsidRPr="002E1997">
        <w:t>dokładnym ocenieniu i monitorowaniu wdrażania EIF przez NIFO. Komitet zaleca, by przy ocenie poziomu realizacji EIF nadać priorytet obywatelom, zdarzeniom biznesowym i</w:t>
      </w:r>
      <w:r w:rsidR="009C29FE" w:rsidRPr="002E1997">
        <w:t> </w:t>
      </w:r>
      <w:r w:rsidRPr="002E1997">
        <w:t>powiązanym procedurom uwzględnionym w załączniku II do przyjętego przez Komisję wniosku COM(2017) 256.</w:t>
      </w:r>
    </w:p>
    <w:p w:rsidR="00DA102B" w:rsidRPr="002E1997" w:rsidRDefault="00DA102B" w:rsidP="00D326F7">
      <w:pPr>
        <w:suppressAutoHyphens/>
      </w:pPr>
    </w:p>
    <w:p w:rsidR="00F036DF" w:rsidRPr="002E1997" w:rsidRDefault="00F036DF" w:rsidP="00D326F7">
      <w:pPr>
        <w:pStyle w:val="Heading2"/>
        <w:suppressAutoHyphens/>
        <w:ind w:left="567" w:hanging="567"/>
      </w:pPr>
      <w:r w:rsidRPr="002E1997">
        <w:t xml:space="preserve">Do tej pory stosunkowo skutecznie stosowano zasadę pomocniczości w omawianej </w:t>
      </w:r>
      <w:r w:rsidR="009C29FE" w:rsidRPr="002E1997">
        <w:t xml:space="preserve">dziedzinie. </w:t>
      </w:r>
      <w:r w:rsidRPr="002E1997">
        <w:t>Omawiany komunikat stanowi kolejny krok w kierunku wspierania interoperacyjności, lecz wiele pozostaje jeszcze do zrobienia. Komitet jest zdania, że intensywne prace prowadzone przez NIFO budują solidną podstawę przyszłych zaleceń. W ciągu następnych dwóch – trzech lat zapewnią także podwaliny ewentualnego instrumentu ustawowego, który mógłby rozwiązać nierozstrzygnięte jeszcze kwestie.</w:t>
      </w:r>
    </w:p>
    <w:p w:rsidR="00F036DF" w:rsidRPr="002E1997" w:rsidRDefault="00F036DF" w:rsidP="00D326F7">
      <w:pPr>
        <w:suppressAutoHyphens/>
      </w:pPr>
    </w:p>
    <w:p w:rsidR="00646AC2" w:rsidRPr="002E1997" w:rsidRDefault="003D0244" w:rsidP="00D326F7">
      <w:pPr>
        <w:suppressAutoHyphens/>
        <w:jc w:val="center"/>
      </w:pPr>
      <w:r w:rsidRPr="002E1997">
        <w:t>_____________</w:t>
      </w:r>
    </w:p>
    <w:sectPr w:rsidR="00646AC2" w:rsidRPr="002E1997" w:rsidSect="006C64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7" w:right="1417" w:bottom="1417" w:left="141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C" w:rsidRDefault="0085535C">
      <w:r>
        <w:separator/>
      </w:r>
    </w:p>
  </w:endnote>
  <w:endnote w:type="continuationSeparator" w:id="0">
    <w:p w:rsidR="0085535C" w:rsidRDefault="0085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C6" w:rsidRPr="006C6420" w:rsidRDefault="006C6420" w:rsidP="006C6420">
    <w:pPr>
      <w:pStyle w:val="Footer"/>
    </w:pPr>
    <w:r>
      <w:t xml:space="preserve">TEN/635 – EESC-2017-02197-00-00-APA-TRA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EB70C8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fldSimple w:instr=" NUMPAGES ">
      <w:r w:rsidR="00EB70C8">
        <w:rPr>
          <w:noProof/>
        </w:rPr>
        <w:instrText>3</w:instrText>
      </w:r>
    </w:fldSimple>
    <w:r>
      <w:instrText xml:space="preserve"> -0 </w:instrText>
    </w:r>
    <w:r>
      <w:fldChar w:fldCharType="separate"/>
    </w:r>
    <w:r w:rsidR="00EB70C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6C6420" w:rsidP="006C6420">
    <w:pPr>
      <w:pStyle w:val="Footer"/>
    </w:pPr>
    <w:r>
      <w:t xml:space="preserve">TEN/635 – EESC-2017-02197-00-00-APA-TRA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EB70C8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= </w:instrText>
    </w:r>
    <w:fldSimple w:instr=" NUMPAGES ">
      <w:r w:rsidR="00EB70C8">
        <w:rPr>
          <w:noProof/>
        </w:rPr>
        <w:instrText>2</w:instrText>
      </w:r>
    </w:fldSimple>
    <w:r>
      <w:instrText xml:space="preserve"> -0 </w:instrText>
    </w:r>
    <w:r>
      <w:fldChar w:fldCharType="separate"/>
    </w:r>
    <w:r w:rsidR="00EB70C8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C" w:rsidRDefault="0085535C">
      <w:r>
        <w:separator/>
      </w:r>
    </w:p>
  </w:footnote>
  <w:footnote w:type="continuationSeparator" w:id="0">
    <w:p w:rsidR="0085535C" w:rsidRDefault="0085535C">
      <w:r>
        <w:continuationSeparator/>
      </w:r>
    </w:p>
  </w:footnote>
  <w:footnote w:id="1">
    <w:p w:rsidR="00E208AA" w:rsidRPr="006C6420" w:rsidRDefault="00E208AA" w:rsidP="00305FBE">
      <w:pPr>
        <w:pStyle w:val="FootnoteText"/>
        <w:suppressAutoHyphens/>
      </w:pPr>
      <w:r w:rsidRPr="006C6420">
        <w:rPr>
          <w:rStyle w:val="FootnoteReference"/>
        </w:rPr>
        <w:footnoteRef/>
      </w:r>
      <w:r w:rsidRPr="006C6420">
        <w:tab/>
        <w:t>TEN/556: Interoperacyjność jako środek modernizacji sektora publicznego; TEN/593: Priorytety w normalizacji ICT na jednolitym rynku cyfrowym; TEN/594: Plan działania UE na rzecz administracji elektronicznej na lata 2016–2</w:t>
      </w:r>
      <w:r w:rsidR="00A02D31">
        <w:t>020; TEN/448: E-administracja i </w:t>
      </w:r>
      <w:r w:rsidRPr="006C6420">
        <w:t>interoperacyjność; TEN/361: Rozwiązania interoperacyjne dla europejskich administracji publicznych (ISA).</w:t>
      </w:r>
    </w:p>
  </w:footnote>
  <w:footnote w:id="2">
    <w:p w:rsidR="00E208AA" w:rsidRPr="006C6420" w:rsidRDefault="00E208AA" w:rsidP="00305FBE">
      <w:pPr>
        <w:pStyle w:val="FootnoteText"/>
        <w:suppressAutoHyphens/>
      </w:pPr>
      <w:r w:rsidRPr="006C6420">
        <w:rPr>
          <w:rStyle w:val="FootnoteReference"/>
        </w:rPr>
        <w:footnoteRef/>
      </w:r>
      <w:r w:rsidRPr="006C6420">
        <w:tab/>
        <w:t>Plan działania na rzecz administracji elektronicznej w ramach inicjatywy i2010 na lata 2006–2010 oraz Plan działań na rzecz administracji elektronicznej na lata 2011–2015.</w:t>
      </w:r>
    </w:p>
  </w:footnote>
  <w:footnote w:id="3">
    <w:p w:rsidR="00831967" w:rsidRPr="006C6420" w:rsidRDefault="00831967" w:rsidP="00305FBE">
      <w:pPr>
        <w:pStyle w:val="FootnoteText"/>
        <w:suppressAutoHyphens/>
      </w:pPr>
      <w:r w:rsidRPr="006C6420">
        <w:rPr>
          <w:rStyle w:val="FootnoteReference"/>
        </w:rPr>
        <w:footnoteRef/>
      </w:r>
      <w:r w:rsidRPr="006C6420">
        <w:tab/>
      </w:r>
      <w:hyperlink r:id="rId1">
        <w:r w:rsidRPr="006C6420">
          <w:rPr>
            <w:rStyle w:val="Hyperlink"/>
          </w:rPr>
          <w:t>https://joinup.ec.europa.eu/community/nifo/og_page/nifo-factsheets</w:t>
        </w:r>
      </w:hyperlink>
      <w:r w:rsidR="00A02D31" w:rsidRPr="006C642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6" w:rsidRPr="006C6420" w:rsidRDefault="00B62B46" w:rsidP="006C64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8F"/>
    <w:rsid w:val="00005AB9"/>
    <w:rsid w:val="00005EB9"/>
    <w:rsid w:val="00006E24"/>
    <w:rsid w:val="00007A40"/>
    <w:rsid w:val="00011D33"/>
    <w:rsid w:val="00013B95"/>
    <w:rsid w:val="00020E6E"/>
    <w:rsid w:val="00031A4B"/>
    <w:rsid w:val="00033913"/>
    <w:rsid w:val="00033C6A"/>
    <w:rsid w:val="00033E5B"/>
    <w:rsid w:val="000357A8"/>
    <w:rsid w:val="000430A6"/>
    <w:rsid w:val="00044923"/>
    <w:rsid w:val="0005059A"/>
    <w:rsid w:val="0005249C"/>
    <w:rsid w:val="000534A5"/>
    <w:rsid w:val="0005680D"/>
    <w:rsid w:val="00063FB4"/>
    <w:rsid w:val="0006793E"/>
    <w:rsid w:val="00072E0F"/>
    <w:rsid w:val="000735E5"/>
    <w:rsid w:val="0007392F"/>
    <w:rsid w:val="00087B39"/>
    <w:rsid w:val="00096502"/>
    <w:rsid w:val="000A49BB"/>
    <w:rsid w:val="000C3441"/>
    <w:rsid w:val="000C7F53"/>
    <w:rsid w:val="000D2F8E"/>
    <w:rsid w:val="000F196B"/>
    <w:rsid w:val="000F6D6E"/>
    <w:rsid w:val="00105361"/>
    <w:rsid w:val="001101F8"/>
    <w:rsid w:val="0011206F"/>
    <w:rsid w:val="0011656A"/>
    <w:rsid w:val="0012220C"/>
    <w:rsid w:val="00127F49"/>
    <w:rsid w:val="00136EA3"/>
    <w:rsid w:val="00137575"/>
    <w:rsid w:val="00144231"/>
    <w:rsid w:val="00150434"/>
    <w:rsid w:val="00155721"/>
    <w:rsid w:val="0015678B"/>
    <w:rsid w:val="0016503F"/>
    <w:rsid w:val="0016674F"/>
    <w:rsid w:val="00167CA0"/>
    <w:rsid w:val="0017120D"/>
    <w:rsid w:val="001714F6"/>
    <w:rsid w:val="00176168"/>
    <w:rsid w:val="00177158"/>
    <w:rsid w:val="001808A5"/>
    <w:rsid w:val="00184FD4"/>
    <w:rsid w:val="00186B04"/>
    <w:rsid w:val="00186F1E"/>
    <w:rsid w:val="00190836"/>
    <w:rsid w:val="00193930"/>
    <w:rsid w:val="001963A5"/>
    <w:rsid w:val="00196F1E"/>
    <w:rsid w:val="00197FCA"/>
    <w:rsid w:val="001A0A7F"/>
    <w:rsid w:val="001A27DB"/>
    <w:rsid w:val="001A6852"/>
    <w:rsid w:val="001B286A"/>
    <w:rsid w:val="001B2D02"/>
    <w:rsid w:val="001B3647"/>
    <w:rsid w:val="001B77FA"/>
    <w:rsid w:val="001C0ABE"/>
    <w:rsid w:val="001C5852"/>
    <w:rsid w:val="001D45F0"/>
    <w:rsid w:val="001E1701"/>
    <w:rsid w:val="001E4A33"/>
    <w:rsid w:val="001E5C27"/>
    <w:rsid w:val="001F602B"/>
    <w:rsid w:val="001F6AC8"/>
    <w:rsid w:val="002037D5"/>
    <w:rsid w:val="00206BE9"/>
    <w:rsid w:val="00206F90"/>
    <w:rsid w:val="00212B03"/>
    <w:rsid w:val="002131AE"/>
    <w:rsid w:val="00215C10"/>
    <w:rsid w:val="00215C2D"/>
    <w:rsid w:val="002252C4"/>
    <w:rsid w:val="0023183E"/>
    <w:rsid w:val="00235138"/>
    <w:rsid w:val="00243E36"/>
    <w:rsid w:val="0024540B"/>
    <w:rsid w:val="00245EF4"/>
    <w:rsid w:val="00250E11"/>
    <w:rsid w:val="00251383"/>
    <w:rsid w:val="002522C9"/>
    <w:rsid w:val="00252A21"/>
    <w:rsid w:val="00253E4F"/>
    <w:rsid w:val="002542E4"/>
    <w:rsid w:val="00261053"/>
    <w:rsid w:val="00262F8E"/>
    <w:rsid w:val="00262FDE"/>
    <w:rsid w:val="00263629"/>
    <w:rsid w:val="002769BD"/>
    <w:rsid w:val="00276A75"/>
    <w:rsid w:val="002809EA"/>
    <w:rsid w:val="00284962"/>
    <w:rsid w:val="00284AFD"/>
    <w:rsid w:val="00287B0E"/>
    <w:rsid w:val="002A0B53"/>
    <w:rsid w:val="002A0EEF"/>
    <w:rsid w:val="002A76F9"/>
    <w:rsid w:val="002B0276"/>
    <w:rsid w:val="002B2DF7"/>
    <w:rsid w:val="002C3BF4"/>
    <w:rsid w:val="002C749F"/>
    <w:rsid w:val="002D1F22"/>
    <w:rsid w:val="002E1997"/>
    <w:rsid w:val="002E7B33"/>
    <w:rsid w:val="002F059B"/>
    <w:rsid w:val="002F5B0B"/>
    <w:rsid w:val="00300924"/>
    <w:rsid w:val="0030596E"/>
    <w:rsid w:val="00305FBE"/>
    <w:rsid w:val="003073C3"/>
    <w:rsid w:val="00311AEF"/>
    <w:rsid w:val="00323637"/>
    <w:rsid w:val="00324E8A"/>
    <w:rsid w:val="00327CD8"/>
    <w:rsid w:val="00331D87"/>
    <w:rsid w:val="00332850"/>
    <w:rsid w:val="00334478"/>
    <w:rsid w:val="003346B4"/>
    <w:rsid w:val="0033475C"/>
    <w:rsid w:val="00334AE6"/>
    <w:rsid w:val="003365D0"/>
    <w:rsid w:val="003439AB"/>
    <w:rsid w:val="0035034C"/>
    <w:rsid w:val="00354695"/>
    <w:rsid w:val="0035549B"/>
    <w:rsid w:val="003755C8"/>
    <w:rsid w:val="00375687"/>
    <w:rsid w:val="00380AE0"/>
    <w:rsid w:val="00383324"/>
    <w:rsid w:val="003875A7"/>
    <w:rsid w:val="00387A75"/>
    <w:rsid w:val="003904FD"/>
    <w:rsid w:val="00394254"/>
    <w:rsid w:val="0039469C"/>
    <w:rsid w:val="003C2BFB"/>
    <w:rsid w:val="003C436B"/>
    <w:rsid w:val="003C5337"/>
    <w:rsid w:val="003C5F92"/>
    <w:rsid w:val="003D0244"/>
    <w:rsid w:val="003D7A8C"/>
    <w:rsid w:val="003D7C00"/>
    <w:rsid w:val="003E56E5"/>
    <w:rsid w:val="003E7E60"/>
    <w:rsid w:val="003F00D4"/>
    <w:rsid w:val="003F2209"/>
    <w:rsid w:val="003F3D39"/>
    <w:rsid w:val="003F646A"/>
    <w:rsid w:val="003F6761"/>
    <w:rsid w:val="003F6A0A"/>
    <w:rsid w:val="004024F5"/>
    <w:rsid w:val="00402DE1"/>
    <w:rsid w:val="00403D8B"/>
    <w:rsid w:val="004058F1"/>
    <w:rsid w:val="00407E7D"/>
    <w:rsid w:val="0041283D"/>
    <w:rsid w:val="00413AB4"/>
    <w:rsid w:val="00421373"/>
    <w:rsid w:val="00421FB7"/>
    <w:rsid w:val="0042763B"/>
    <w:rsid w:val="0043024C"/>
    <w:rsid w:val="00436706"/>
    <w:rsid w:val="00443D38"/>
    <w:rsid w:val="00450E7A"/>
    <w:rsid w:val="00451A83"/>
    <w:rsid w:val="00456AF8"/>
    <w:rsid w:val="00470B15"/>
    <w:rsid w:val="00474A0E"/>
    <w:rsid w:val="00475869"/>
    <w:rsid w:val="00475A77"/>
    <w:rsid w:val="004866A9"/>
    <w:rsid w:val="00492774"/>
    <w:rsid w:val="00496D7A"/>
    <w:rsid w:val="004A31BC"/>
    <w:rsid w:val="004A3F1A"/>
    <w:rsid w:val="004A3F45"/>
    <w:rsid w:val="004B1AFA"/>
    <w:rsid w:val="004B6656"/>
    <w:rsid w:val="004B7088"/>
    <w:rsid w:val="004C4D12"/>
    <w:rsid w:val="004C5B76"/>
    <w:rsid w:val="004D02CD"/>
    <w:rsid w:val="004D0B24"/>
    <w:rsid w:val="004D4B90"/>
    <w:rsid w:val="004D6B95"/>
    <w:rsid w:val="004D7F41"/>
    <w:rsid w:val="004E03A2"/>
    <w:rsid w:val="004E317E"/>
    <w:rsid w:val="004E3954"/>
    <w:rsid w:val="004E5856"/>
    <w:rsid w:val="004E74CC"/>
    <w:rsid w:val="004F2330"/>
    <w:rsid w:val="004F53C6"/>
    <w:rsid w:val="004F55C6"/>
    <w:rsid w:val="004F69DB"/>
    <w:rsid w:val="004F6B87"/>
    <w:rsid w:val="00501C2D"/>
    <w:rsid w:val="00502637"/>
    <w:rsid w:val="00510504"/>
    <w:rsid w:val="00511140"/>
    <w:rsid w:val="00513CFE"/>
    <w:rsid w:val="00523B6A"/>
    <w:rsid w:val="00525F6C"/>
    <w:rsid w:val="00546AB4"/>
    <w:rsid w:val="005514E5"/>
    <w:rsid w:val="00563C84"/>
    <w:rsid w:val="005762F6"/>
    <w:rsid w:val="005775E1"/>
    <w:rsid w:val="00584FBE"/>
    <w:rsid w:val="00585483"/>
    <w:rsid w:val="00587378"/>
    <w:rsid w:val="00587C05"/>
    <w:rsid w:val="00590AAB"/>
    <w:rsid w:val="005938C3"/>
    <w:rsid w:val="0059468C"/>
    <w:rsid w:val="00595125"/>
    <w:rsid w:val="00596F21"/>
    <w:rsid w:val="005B1CDD"/>
    <w:rsid w:val="005B1E19"/>
    <w:rsid w:val="005B55FC"/>
    <w:rsid w:val="005C2D5E"/>
    <w:rsid w:val="005C3B81"/>
    <w:rsid w:val="005C650C"/>
    <w:rsid w:val="005D086C"/>
    <w:rsid w:val="005D11D3"/>
    <w:rsid w:val="005D4E1F"/>
    <w:rsid w:val="005D4FB3"/>
    <w:rsid w:val="005E2F07"/>
    <w:rsid w:val="005E2FEA"/>
    <w:rsid w:val="005F314B"/>
    <w:rsid w:val="00611AF2"/>
    <w:rsid w:val="0061212B"/>
    <w:rsid w:val="006127AF"/>
    <w:rsid w:val="00613A98"/>
    <w:rsid w:val="00615FB2"/>
    <w:rsid w:val="00617BD1"/>
    <w:rsid w:val="00617CE8"/>
    <w:rsid w:val="006278A0"/>
    <w:rsid w:val="0063095F"/>
    <w:rsid w:val="00631CBD"/>
    <w:rsid w:val="0063704F"/>
    <w:rsid w:val="00646AC2"/>
    <w:rsid w:val="00650390"/>
    <w:rsid w:val="00653CBB"/>
    <w:rsid w:val="00654DAB"/>
    <w:rsid w:val="0066204A"/>
    <w:rsid w:val="00670E3C"/>
    <w:rsid w:val="00671617"/>
    <w:rsid w:val="00677F57"/>
    <w:rsid w:val="00681088"/>
    <w:rsid w:val="0069577E"/>
    <w:rsid w:val="0069634B"/>
    <w:rsid w:val="00696623"/>
    <w:rsid w:val="006A04E9"/>
    <w:rsid w:val="006A4A03"/>
    <w:rsid w:val="006A601D"/>
    <w:rsid w:val="006A7543"/>
    <w:rsid w:val="006B725C"/>
    <w:rsid w:val="006C273D"/>
    <w:rsid w:val="006C5C4F"/>
    <w:rsid w:val="006C6282"/>
    <w:rsid w:val="006C6420"/>
    <w:rsid w:val="006C762A"/>
    <w:rsid w:val="006D5FF9"/>
    <w:rsid w:val="006E0772"/>
    <w:rsid w:val="006E0F86"/>
    <w:rsid w:val="006F0B15"/>
    <w:rsid w:val="006F0DCC"/>
    <w:rsid w:val="00703DF9"/>
    <w:rsid w:val="007048EB"/>
    <w:rsid w:val="00704FBB"/>
    <w:rsid w:val="0070726A"/>
    <w:rsid w:val="0071226B"/>
    <w:rsid w:val="00717040"/>
    <w:rsid w:val="0074725F"/>
    <w:rsid w:val="007622A7"/>
    <w:rsid w:val="007750A2"/>
    <w:rsid w:val="007817D6"/>
    <w:rsid w:val="00781E1C"/>
    <w:rsid w:val="00787912"/>
    <w:rsid w:val="0079177A"/>
    <w:rsid w:val="00794836"/>
    <w:rsid w:val="007948D5"/>
    <w:rsid w:val="007A15C9"/>
    <w:rsid w:val="007A6676"/>
    <w:rsid w:val="007B7FF5"/>
    <w:rsid w:val="007C3FC6"/>
    <w:rsid w:val="007D2CE9"/>
    <w:rsid w:val="007D4FED"/>
    <w:rsid w:val="007D69DA"/>
    <w:rsid w:val="007D70B1"/>
    <w:rsid w:val="007D7140"/>
    <w:rsid w:val="007E1CDB"/>
    <w:rsid w:val="007E408C"/>
    <w:rsid w:val="007E50BF"/>
    <w:rsid w:val="007E7E21"/>
    <w:rsid w:val="007F0460"/>
    <w:rsid w:val="007F0DA2"/>
    <w:rsid w:val="007F39CE"/>
    <w:rsid w:val="007F5E0D"/>
    <w:rsid w:val="00801085"/>
    <w:rsid w:val="00801A89"/>
    <w:rsid w:val="00812138"/>
    <w:rsid w:val="008151F2"/>
    <w:rsid w:val="0081777A"/>
    <w:rsid w:val="008210E0"/>
    <w:rsid w:val="00824079"/>
    <w:rsid w:val="00831967"/>
    <w:rsid w:val="00831F0A"/>
    <w:rsid w:val="00833A78"/>
    <w:rsid w:val="0084585F"/>
    <w:rsid w:val="00853E53"/>
    <w:rsid w:val="0085535C"/>
    <w:rsid w:val="00864D76"/>
    <w:rsid w:val="008656C9"/>
    <w:rsid w:val="008664B5"/>
    <w:rsid w:val="0086711C"/>
    <w:rsid w:val="00867535"/>
    <w:rsid w:val="00875C5B"/>
    <w:rsid w:val="00883C5F"/>
    <w:rsid w:val="00891C7D"/>
    <w:rsid w:val="00892FA7"/>
    <w:rsid w:val="008A1C19"/>
    <w:rsid w:val="008A3301"/>
    <w:rsid w:val="008A4DF1"/>
    <w:rsid w:val="008A5636"/>
    <w:rsid w:val="008B0082"/>
    <w:rsid w:val="008B125E"/>
    <w:rsid w:val="008B241C"/>
    <w:rsid w:val="008B408B"/>
    <w:rsid w:val="008B4F11"/>
    <w:rsid w:val="008C2362"/>
    <w:rsid w:val="008C3049"/>
    <w:rsid w:val="008C4275"/>
    <w:rsid w:val="008D4AE9"/>
    <w:rsid w:val="008D5CF3"/>
    <w:rsid w:val="008D70AB"/>
    <w:rsid w:val="008D7D39"/>
    <w:rsid w:val="008E4574"/>
    <w:rsid w:val="008F4016"/>
    <w:rsid w:val="008F42FE"/>
    <w:rsid w:val="008F4A00"/>
    <w:rsid w:val="008F5402"/>
    <w:rsid w:val="0090053A"/>
    <w:rsid w:val="00901C2A"/>
    <w:rsid w:val="009052B0"/>
    <w:rsid w:val="009118C7"/>
    <w:rsid w:val="009225B6"/>
    <w:rsid w:val="00925397"/>
    <w:rsid w:val="009300C5"/>
    <w:rsid w:val="00933A00"/>
    <w:rsid w:val="00933A21"/>
    <w:rsid w:val="00934C10"/>
    <w:rsid w:val="0093662A"/>
    <w:rsid w:val="0094060C"/>
    <w:rsid w:val="00942C4B"/>
    <w:rsid w:val="00944196"/>
    <w:rsid w:val="009606A5"/>
    <w:rsid w:val="00962F1F"/>
    <w:rsid w:val="00964778"/>
    <w:rsid w:val="00965304"/>
    <w:rsid w:val="00971293"/>
    <w:rsid w:val="00973A3B"/>
    <w:rsid w:val="00983EAE"/>
    <w:rsid w:val="0098760B"/>
    <w:rsid w:val="009A11DD"/>
    <w:rsid w:val="009B30AA"/>
    <w:rsid w:val="009B5217"/>
    <w:rsid w:val="009C29FE"/>
    <w:rsid w:val="009C48DE"/>
    <w:rsid w:val="009D60D9"/>
    <w:rsid w:val="009E1E1E"/>
    <w:rsid w:val="009E33E3"/>
    <w:rsid w:val="009E7F16"/>
    <w:rsid w:val="009F5052"/>
    <w:rsid w:val="00A02D31"/>
    <w:rsid w:val="00A03083"/>
    <w:rsid w:val="00A04C85"/>
    <w:rsid w:val="00A100F0"/>
    <w:rsid w:val="00A156E6"/>
    <w:rsid w:val="00A177C5"/>
    <w:rsid w:val="00A27D86"/>
    <w:rsid w:val="00A30A3D"/>
    <w:rsid w:val="00A33151"/>
    <w:rsid w:val="00A36970"/>
    <w:rsid w:val="00A41EB4"/>
    <w:rsid w:val="00A44BFF"/>
    <w:rsid w:val="00A501E3"/>
    <w:rsid w:val="00A50F0C"/>
    <w:rsid w:val="00A56441"/>
    <w:rsid w:val="00A736DD"/>
    <w:rsid w:val="00A82869"/>
    <w:rsid w:val="00A8758C"/>
    <w:rsid w:val="00A92352"/>
    <w:rsid w:val="00AA127E"/>
    <w:rsid w:val="00AA19AE"/>
    <w:rsid w:val="00AA423D"/>
    <w:rsid w:val="00AA6A95"/>
    <w:rsid w:val="00AB10DE"/>
    <w:rsid w:val="00AB3668"/>
    <w:rsid w:val="00AB5ED7"/>
    <w:rsid w:val="00AC0B4C"/>
    <w:rsid w:val="00AD0AEE"/>
    <w:rsid w:val="00AD49E3"/>
    <w:rsid w:val="00AD4B4F"/>
    <w:rsid w:val="00AF0616"/>
    <w:rsid w:val="00AF0E28"/>
    <w:rsid w:val="00AF6F9B"/>
    <w:rsid w:val="00B01409"/>
    <w:rsid w:val="00B10DBD"/>
    <w:rsid w:val="00B15629"/>
    <w:rsid w:val="00B2372C"/>
    <w:rsid w:val="00B32F70"/>
    <w:rsid w:val="00B373D0"/>
    <w:rsid w:val="00B43AAA"/>
    <w:rsid w:val="00B53139"/>
    <w:rsid w:val="00B562CE"/>
    <w:rsid w:val="00B62B46"/>
    <w:rsid w:val="00B62DE2"/>
    <w:rsid w:val="00B670B2"/>
    <w:rsid w:val="00B74417"/>
    <w:rsid w:val="00B77246"/>
    <w:rsid w:val="00B866CD"/>
    <w:rsid w:val="00B93034"/>
    <w:rsid w:val="00B93A81"/>
    <w:rsid w:val="00B9729F"/>
    <w:rsid w:val="00B97C5D"/>
    <w:rsid w:val="00BA1290"/>
    <w:rsid w:val="00BB2792"/>
    <w:rsid w:val="00BB76BF"/>
    <w:rsid w:val="00BC1AD1"/>
    <w:rsid w:val="00BC4A58"/>
    <w:rsid w:val="00BC613B"/>
    <w:rsid w:val="00BC7935"/>
    <w:rsid w:val="00BD51D9"/>
    <w:rsid w:val="00BD64E2"/>
    <w:rsid w:val="00BE4995"/>
    <w:rsid w:val="00BE58DE"/>
    <w:rsid w:val="00BF429A"/>
    <w:rsid w:val="00BF62BE"/>
    <w:rsid w:val="00C07126"/>
    <w:rsid w:val="00C16853"/>
    <w:rsid w:val="00C263F0"/>
    <w:rsid w:val="00C33D41"/>
    <w:rsid w:val="00C40AFD"/>
    <w:rsid w:val="00C41E20"/>
    <w:rsid w:val="00C42E3E"/>
    <w:rsid w:val="00C51C13"/>
    <w:rsid w:val="00C525A5"/>
    <w:rsid w:val="00C5300F"/>
    <w:rsid w:val="00C54594"/>
    <w:rsid w:val="00C66CE0"/>
    <w:rsid w:val="00C71BED"/>
    <w:rsid w:val="00C737B2"/>
    <w:rsid w:val="00C81B53"/>
    <w:rsid w:val="00C82AD2"/>
    <w:rsid w:val="00C90FB6"/>
    <w:rsid w:val="00C9220E"/>
    <w:rsid w:val="00C932BD"/>
    <w:rsid w:val="00C93429"/>
    <w:rsid w:val="00CA16C5"/>
    <w:rsid w:val="00CA415A"/>
    <w:rsid w:val="00CA7A35"/>
    <w:rsid w:val="00CB1536"/>
    <w:rsid w:val="00CB7FB8"/>
    <w:rsid w:val="00CC1F71"/>
    <w:rsid w:val="00CC5588"/>
    <w:rsid w:val="00CC5EB3"/>
    <w:rsid w:val="00CD0E7B"/>
    <w:rsid w:val="00CD2ABD"/>
    <w:rsid w:val="00CD4024"/>
    <w:rsid w:val="00CD4617"/>
    <w:rsid w:val="00CD4855"/>
    <w:rsid w:val="00CE6D43"/>
    <w:rsid w:val="00CE7888"/>
    <w:rsid w:val="00D10E1C"/>
    <w:rsid w:val="00D161A3"/>
    <w:rsid w:val="00D22A52"/>
    <w:rsid w:val="00D22E49"/>
    <w:rsid w:val="00D23716"/>
    <w:rsid w:val="00D25ED8"/>
    <w:rsid w:val="00D27DCD"/>
    <w:rsid w:val="00D27F8F"/>
    <w:rsid w:val="00D316B8"/>
    <w:rsid w:val="00D31CFC"/>
    <w:rsid w:val="00D3255D"/>
    <w:rsid w:val="00D326F7"/>
    <w:rsid w:val="00D340C3"/>
    <w:rsid w:val="00D367BD"/>
    <w:rsid w:val="00D409CD"/>
    <w:rsid w:val="00D423D4"/>
    <w:rsid w:val="00D42CAF"/>
    <w:rsid w:val="00D5310F"/>
    <w:rsid w:val="00D601EF"/>
    <w:rsid w:val="00D61533"/>
    <w:rsid w:val="00D625D3"/>
    <w:rsid w:val="00D63B2F"/>
    <w:rsid w:val="00D70747"/>
    <w:rsid w:val="00D7261D"/>
    <w:rsid w:val="00D755FC"/>
    <w:rsid w:val="00D76B6D"/>
    <w:rsid w:val="00D84D07"/>
    <w:rsid w:val="00D8526A"/>
    <w:rsid w:val="00D90E91"/>
    <w:rsid w:val="00DA102B"/>
    <w:rsid w:val="00DB60E1"/>
    <w:rsid w:val="00DC1347"/>
    <w:rsid w:val="00DC39F1"/>
    <w:rsid w:val="00DE4B35"/>
    <w:rsid w:val="00DF19C1"/>
    <w:rsid w:val="00DF54CA"/>
    <w:rsid w:val="00DF56C9"/>
    <w:rsid w:val="00DF5B64"/>
    <w:rsid w:val="00E02794"/>
    <w:rsid w:val="00E043E3"/>
    <w:rsid w:val="00E0505B"/>
    <w:rsid w:val="00E11280"/>
    <w:rsid w:val="00E12359"/>
    <w:rsid w:val="00E152FF"/>
    <w:rsid w:val="00E208AA"/>
    <w:rsid w:val="00E215D9"/>
    <w:rsid w:val="00E2461B"/>
    <w:rsid w:val="00E24886"/>
    <w:rsid w:val="00E276FB"/>
    <w:rsid w:val="00E32595"/>
    <w:rsid w:val="00E32DC6"/>
    <w:rsid w:val="00E33A74"/>
    <w:rsid w:val="00E4030B"/>
    <w:rsid w:val="00E41D56"/>
    <w:rsid w:val="00E457DF"/>
    <w:rsid w:val="00E46642"/>
    <w:rsid w:val="00E5139A"/>
    <w:rsid w:val="00E5413D"/>
    <w:rsid w:val="00E57977"/>
    <w:rsid w:val="00E635D7"/>
    <w:rsid w:val="00E70576"/>
    <w:rsid w:val="00E71DED"/>
    <w:rsid w:val="00E80717"/>
    <w:rsid w:val="00E83954"/>
    <w:rsid w:val="00E85A33"/>
    <w:rsid w:val="00E86506"/>
    <w:rsid w:val="00E91730"/>
    <w:rsid w:val="00E96F04"/>
    <w:rsid w:val="00E97AEC"/>
    <w:rsid w:val="00EA20FE"/>
    <w:rsid w:val="00EB491E"/>
    <w:rsid w:val="00EB681B"/>
    <w:rsid w:val="00EB70C8"/>
    <w:rsid w:val="00EC4FAD"/>
    <w:rsid w:val="00ED1D27"/>
    <w:rsid w:val="00EE3CFA"/>
    <w:rsid w:val="00EE5208"/>
    <w:rsid w:val="00EE69E4"/>
    <w:rsid w:val="00EF2A7F"/>
    <w:rsid w:val="00EF7E90"/>
    <w:rsid w:val="00F002B6"/>
    <w:rsid w:val="00F036DF"/>
    <w:rsid w:val="00F10AFE"/>
    <w:rsid w:val="00F130CF"/>
    <w:rsid w:val="00F15C6C"/>
    <w:rsid w:val="00F17173"/>
    <w:rsid w:val="00F20987"/>
    <w:rsid w:val="00F224DC"/>
    <w:rsid w:val="00F2687F"/>
    <w:rsid w:val="00F26A5E"/>
    <w:rsid w:val="00F27F29"/>
    <w:rsid w:val="00F32D54"/>
    <w:rsid w:val="00F36C54"/>
    <w:rsid w:val="00F418EA"/>
    <w:rsid w:val="00F41A29"/>
    <w:rsid w:val="00F44C1C"/>
    <w:rsid w:val="00F518DF"/>
    <w:rsid w:val="00F544DB"/>
    <w:rsid w:val="00F648EA"/>
    <w:rsid w:val="00F6502E"/>
    <w:rsid w:val="00F65663"/>
    <w:rsid w:val="00F75147"/>
    <w:rsid w:val="00F756C0"/>
    <w:rsid w:val="00F75A40"/>
    <w:rsid w:val="00F77637"/>
    <w:rsid w:val="00F8435D"/>
    <w:rsid w:val="00F862E5"/>
    <w:rsid w:val="00F87DD0"/>
    <w:rsid w:val="00F93360"/>
    <w:rsid w:val="00F93FE4"/>
    <w:rsid w:val="00F97E4E"/>
    <w:rsid w:val="00FA1A40"/>
    <w:rsid w:val="00FA217B"/>
    <w:rsid w:val="00FB0BC5"/>
    <w:rsid w:val="00FB0BCC"/>
    <w:rsid w:val="00FC0FE5"/>
    <w:rsid w:val="00FD1ABC"/>
    <w:rsid w:val="00FD7DDF"/>
    <w:rsid w:val="00FE4C92"/>
    <w:rsid w:val="00FF0FAA"/>
    <w:rsid w:val="00FF3759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iPriority="0" w:unhideWhenUsed="1"/>
    <w:lsdException w:name="header" w:locked="1" w:uiPriority="0" w:qFormat="1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B46"/>
    <w:pPr>
      <w:spacing w:line="288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B62B46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B62B4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B62B46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62B46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62B46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62B46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B62B46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62B46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B62B46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B1536"/>
    <w:rPr>
      <w:kern w:val="28"/>
    </w:rPr>
  </w:style>
  <w:style w:type="character" w:customStyle="1" w:styleId="Heading2Char">
    <w:name w:val="Heading 2 Char"/>
    <w:basedOn w:val="DefaultParagraphFont"/>
    <w:link w:val="Heading2"/>
    <w:locked/>
    <w:rsid w:val="00CB1536"/>
  </w:style>
  <w:style w:type="character" w:customStyle="1" w:styleId="Heading3Char">
    <w:name w:val="Heading 3 Char"/>
    <w:basedOn w:val="DefaultParagraphFont"/>
    <w:link w:val="Heading3"/>
    <w:locked/>
    <w:rsid w:val="00CB1536"/>
  </w:style>
  <w:style w:type="character" w:customStyle="1" w:styleId="Heading4Char">
    <w:name w:val="Heading 4 Char"/>
    <w:basedOn w:val="DefaultParagraphFont"/>
    <w:link w:val="Heading4"/>
    <w:locked/>
    <w:rsid w:val="00CB1536"/>
  </w:style>
  <w:style w:type="character" w:customStyle="1" w:styleId="Heading5Char">
    <w:name w:val="Heading 5 Char"/>
    <w:basedOn w:val="DefaultParagraphFont"/>
    <w:link w:val="Heading5"/>
    <w:locked/>
    <w:rsid w:val="00CB1536"/>
  </w:style>
  <w:style w:type="character" w:customStyle="1" w:styleId="Heading6Char">
    <w:name w:val="Heading 6 Char"/>
    <w:basedOn w:val="DefaultParagraphFont"/>
    <w:link w:val="Heading6"/>
    <w:locked/>
    <w:rsid w:val="00CB1536"/>
  </w:style>
  <w:style w:type="character" w:customStyle="1" w:styleId="Heading7Char">
    <w:name w:val="Heading 7 Char"/>
    <w:basedOn w:val="DefaultParagraphFont"/>
    <w:link w:val="Heading7"/>
    <w:locked/>
    <w:rsid w:val="00CB1536"/>
  </w:style>
  <w:style w:type="character" w:customStyle="1" w:styleId="Heading8Char">
    <w:name w:val="Heading 8 Char"/>
    <w:basedOn w:val="DefaultParagraphFont"/>
    <w:link w:val="Heading8"/>
    <w:locked/>
    <w:rsid w:val="00CB1536"/>
  </w:style>
  <w:style w:type="character" w:customStyle="1" w:styleId="Heading9Char">
    <w:name w:val="Heading 9 Char"/>
    <w:basedOn w:val="DefaultParagraphFont"/>
    <w:link w:val="Heading9"/>
    <w:locked/>
    <w:rsid w:val="00CB1536"/>
  </w:style>
  <w:style w:type="paragraph" w:styleId="Footer">
    <w:name w:val="footer"/>
    <w:basedOn w:val="Normal"/>
    <w:link w:val="FooterChar"/>
    <w:qFormat/>
    <w:rsid w:val="00B62B46"/>
  </w:style>
  <w:style w:type="character" w:customStyle="1" w:styleId="FooterChar">
    <w:name w:val="Footer Char"/>
    <w:basedOn w:val="DefaultParagraphFont"/>
    <w:link w:val="Footer"/>
    <w:locked/>
    <w:rsid w:val="00CB1536"/>
    <w:rPr>
      <w:lang w:eastAsia="pl-PL" w:bidi="pl-PL"/>
    </w:rPr>
  </w:style>
  <w:style w:type="paragraph" w:styleId="FootnoteText">
    <w:name w:val="footnote text"/>
    <w:basedOn w:val="Normal"/>
    <w:link w:val="FootnoteTextChar"/>
    <w:qFormat/>
    <w:rsid w:val="00B62B4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locked/>
    <w:rsid w:val="00CB1536"/>
    <w:rPr>
      <w:sz w:val="16"/>
      <w:lang w:val="pl-PL" w:eastAsia="pl-PL" w:bidi="pl-PL"/>
    </w:rPr>
  </w:style>
  <w:style w:type="paragraph" w:styleId="Header">
    <w:name w:val="header"/>
    <w:basedOn w:val="Normal"/>
    <w:link w:val="HeaderChar"/>
    <w:qFormat/>
    <w:rsid w:val="00B62B46"/>
  </w:style>
  <w:style w:type="character" w:customStyle="1" w:styleId="HeaderChar">
    <w:name w:val="Header Char"/>
    <w:basedOn w:val="DefaultParagraphFont"/>
    <w:link w:val="Header"/>
    <w:locked/>
    <w:rsid w:val="00CB1536"/>
    <w:rPr>
      <w:lang w:eastAsia="pl-PL" w:bidi="pl-PL"/>
    </w:rPr>
  </w:style>
  <w:style w:type="character" w:styleId="Hyperlink">
    <w:name w:val="Hyperlink"/>
    <w:basedOn w:val="DefaultParagraphFont"/>
    <w:uiPriority w:val="99"/>
    <w:rsid w:val="00934C10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B62B46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al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ision">
    <w:name w:val="Revision"/>
    <w:hidden/>
    <w:uiPriority w:val="99"/>
    <w:semiHidden/>
    <w:rsid w:val="00B2372C"/>
  </w:style>
  <w:style w:type="paragraph" w:customStyle="1" w:styleId="quotes">
    <w:name w:val="quotes"/>
    <w:basedOn w:val="Normal"/>
    <w:next w:val="Normal"/>
    <w:rsid w:val="00B62B46"/>
    <w:pPr>
      <w:ind w:left="72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D9"/>
    <w:rPr>
      <w:rFonts w:ascii="Tahoma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pl-PL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iPriority="0" w:unhideWhenUsed="1"/>
    <w:lsdException w:name="header" w:locked="1" w:uiPriority="0" w:qFormat="1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B46"/>
    <w:pPr>
      <w:spacing w:line="288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B62B46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B62B4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B62B46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B62B46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B62B46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62B46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B62B46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62B46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B62B46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B1536"/>
    <w:rPr>
      <w:kern w:val="28"/>
    </w:rPr>
  </w:style>
  <w:style w:type="character" w:customStyle="1" w:styleId="Heading2Char">
    <w:name w:val="Heading 2 Char"/>
    <w:basedOn w:val="DefaultParagraphFont"/>
    <w:link w:val="Heading2"/>
    <w:locked/>
    <w:rsid w:val="00CB1536"/>
  </w:style>
  <w:style w:type="character" w:customStyle="1" w:styleId="Heading3Char">
    <w:name w:val="Heading 3 Char"/>
    <w:basedOn w:val="DefaultParagraphFont"/>
    <w:link w:val="Heading3"/>
    <w:locked/>
    <w:rsid w:val="00CB1536"/>
  </w:style>
  <w:style w:type="character" w:customStyle="1" w:styleId="Heading4Char">
    <w:name w:val="Heading 4 Char"/>
    <w:basedOn w:val="DefaultParagraphFont"/>
    <w:link w:val="Heading4"/>
    <w:locked/>
    <w:rsid w:val="00CB1536"/>
  </w:style>
  <w:style w:type="character" w:customStyle="1" w:styleId="Heading5Char">
    <w:name w:val="Heading 5 Char"/>
    <w:basedOn w:val="DefaultParagraphFont"/>
    <w:link w:val="Heading5"/>
    <w:locked/>
    <w:rsid w:val="00CB1536"/>
  </w:style>
  <w:style w:type="character" w:customStyle="1" w:styleId="Heading6Char">
    <w:name w:val="Heading 6 Char"/>
    <w:basedOn w:val="DefaultParagraphFont"/>
    <w:link w:val="Heading6"/>
    <w:locked/>
    <w:rsid w:val="00CB1536"/>
  </w:style>
  <w:style w:type="character" w:customStyle="1" w:styleId="Heading7Char">
    <w:name w:val="Heading 7 Char"/>
    <w:basedOn w:val="DefaultParagraphFont"/>
    <w:link w:val="Heading7"/>
    <w:locked/>
    <w:rsid w:val="00CB1536"/>
  </w:style>
  <w:style w:type="character" w:customStyle="1" w:styleId="Heading8Char">
    <w:name w:val="Heading 8 Char"/>
    <w:basedOn w:val="DefaultParagraphFont"/>
    <w:link w:val="Heading8"/>
    <w:locked/>
    <w:rsid w:val="00CB1536"/>
  </w:style>
  <w:style w:type="character" w:customStyle="1" w:styleId="Heading9Char">
    <w:name w:val="Heading 9 Char"/>
    <w:basedOn w:val="DefaultParagraphFont"/>
    <w:link w:val="Heading9"/>
    <w:locked/>
    <w:rsid w:val="00CB1536"/>
  </w:style>
  <w:style w:type="paragraph" w:styleId="Footer">
    <w:name w:val="footer"/>
    <w:basedOn w:val="Normal"/>
    <w:link w:val="FooterChar"/>
    <w:qFormat/>
    <w:rsid w:val="00B62B46"/>
  </w:style>
  <w:style w:type="character" w:customStyle="1" w:styleId="FooterChar">
    <w:name w:val="Footer Char"/>
    <w:basedOn w:val="DefaultParagraphFont"/>
    <w:link w:val="Footer"/>
    <w:locked/>
    <w:rsid w:val="00CB1536"/>
    <w:rPr>
      <w:lang w:eastAsia="pl-PL" w:bidi="pl-PL"/>
    </w:rPr>
  </w:style>
  <w:style w:type="paragraph" w:styleId="FootnoteText">
    <w:name w:val="footnote text"/>
    <w:basedOn w:val="Normal"/>
    <w:link w:val="FootnoteTextChar"/>
    <w:qFormat/>
    <w:rsid w:val="00B62B4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locked/>
    <w:rsid w:val="00CB1536"/>
    <w:rPr>
      <w:sz w:val="16"/>
      <w:lang w:val="pl-PL" w:eastAsia="pl-PL" w:bidi="pl-PL"/>
    </w:rPr>
  </w:style>
  <w:style w:type="paragraph" w:styleId="Header">
    <w:name w:val="header"/>
    <w:basedOn w:val="Normal"/>
    <w:link w:val="HeaderChar"/>
    <w:qFormat/>
    <w:rsid w:val="00B62B46"/>
  </w:style>
  <w:style w:type="character" w:customStyle="1" w:styleId="HeaderChar">
    <w:name w:val="Header Char"/>
    <w:basedOn w:val="DefaultParagraphFont"/>
    <w:link w:val="Header"/>
    <w:locked/>
    <w:rsid w:val="00CB1536"/>
    <w:rPr>
      <w:lang w:eastAsia="pl-PL" w:bidi="pl-PL"/>
    </w:rPr>
  </w:style>
  <w:style w:type="character" w:styleId="Hyperlink">
    <w:name w:val="Hyperlink"/>
    <w:basedOn w:val="DefaultParagraphFont"/>
    <w:uiPriority w:val="99"/>
    <w:rsid w:val="00934C10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B62B46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al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ision">
    <w:name w:val="Revision"/>
    <w:hidden/>
    <w:uiPriority w:val="99"/>
    <w:semiHidden/>
    <w:rsid w:val="00B2372C"/>
  </w:style>
  <w:style w:type="paragraph" w:customStyle="1" w:styleId="quotes">
    <w:name w:val="quotes"/>
    <w:basedOn w:val="Normal"/>
    <w:next w:val="Normal"/>
    <w:rsid w:val="00B62B46"/>
    <w:pPr>
      <w:ind w:left="72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D9"/>
    <w:rPr>
      <w:rFonts w:ascii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en@eesc.europa.eu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inup.ec.europa.eu/community/nifo/og_page/nifo-factshee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sis\dfs\softwlib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471f6-0f36-4ccf-b5ee-1ca67ea797ef">WTPCSN73YJ26-5-7752</_dlc_DocId>
    <_dlc_DocIdUrl xmlns="8a3471f6-0f36-4ccf-b5ee-1ca67ea797ef">
      <Url>http://dm/EESC/2017/_layouts/DocIdRedir.aspx?ID=WTPCSN73YJ26-5-7752</Url>
      <Description>WTPCSN73YJ26-5-7752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APA</TermName>
          <TermId xmlns="http://schemas.microsoft.com/office/infopath/2007/PartnerControls">51e7c348-311d-42d5-8c77-ec17e88062a9</TermId>
        </TermInfo>
      </Terms>
    </DocumentType_0>
    <Procedure xmlns="8a3471f6-0f36-4ccf-b5ee-1ca67ea797ef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</TermName>
          <TermId xmlns="http://schemas.microsoft.com/office/infopath/2007/PartnerControls">5e12260d-3aca-41f8-baf2-ad3d18475f10</TermId>
        </TermInfo>
      </Terms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a3471f6-0f36-4ccf-b5ee-1ca67ea797ef">2017-07-07T12:00:00+00:00</ProductionDate>
    <DocumentNumber xmlns="d1332135-b17a-446f-a1ae-f2f9eb486b6d">2197</DocumentNumber>
    <FicheYear xmlns="8a3471f6-0f36-4ccf-b5ee-1ca67ea797ef">2017</FicheYear>
    <DocumentVersion xmlns="8a3471f6-0f36-4ccf-b5ee-1ca67ea797ef">0</DocumentVersion>
    <DossierNumber xmlns="8a3471f6-0f36-4ccf-b5ee-1ca67ea797ef">635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TaxCatchAll xmlns="8a3471f6-0f36-4ccf-b5ee-1ca67ea797ef">
      <Value>183</Value>
      <Value>67</Value>
      <Value>37</Value>
      <Value>107</Value>
      <Value>14</Value>
      <Value>12</Value>
      <Value>33</Value>
      <Value>8</Value>
      <Value>6</Value>
      <Value>5</Value>
      <Value>4</Value>
      <Value>2</Value>
      <Value>1</Value>
    </TaxCatchAll>
    <MeetingDate xmlns="8a3471f6-0f36-4ccf-b5ee-1ca67ea797ef">2017-07-18T12:00:00+00:00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a3471f6-0f36-4ccf-b5ee-1ca67ea797ef">CURTIS</Rapporteur>
    <DocumentYear xmlns="8a3471f6-0f36-4ccf-b5ee-1ca67ea797ef">2017</DocumentYear>
    <FicheNumber xmlns="8a3471f6-0f36-4ccf-b5ee-1ca67ea797ef">7045</FicheNumber>
    <DocumentPart xmlns="8a3471f6-0f36-4ccf-b5ee-1ca67ea797ef">0</DocumentPart>
    <AdoptionDate xmlns="8a3471f6-0f36-4ccf-b5ee-1ca67ea797ef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TEN/635</TermName>
          <TermId xmlns="http://schemas.microsoft.com/office/infopath/2007/PartnerControls">e4b354c6-e6c0-4c42-830d-c3959ac249ba</TermId>
        </TermInfo>
      </Terms>
    </MeetingName_0>
    <RequestingService xmlns="8a3471f6-0f36-4ccf-b5ee-1ca67ea797ef">Transports, énergie, infrastructures, société de l'information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AvailableTranslations_0>
    <MeetingNumber xmlns="d1332135-b17a-446f-a1ae-f2f9eb486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F2E69B9A178FF4F86235F65FC497A74" ma:contentTypeVersion="4" ma:contentTypeDescription="Defines the documents for Document Manager V2" ma:contentTypeScope="" ma:versionID="7c76dc00318021c4131402d5d550c55a">
  <xsd:schema xmlns:xsd="http://www.w3.org/2001/XMLSchema" xmlns:xs="http://www.w3.org/2001/XMLSchema" xmlns:p="http://schemas.microsoft.com/office/2006/metadata/properties" xmlns:ns2="8a3471f6-0f36-4ccf-b5ee-1ca67ea797ef" xmlns:ns3="http://schemas.microsoft.com/sharepoint/v3/fields" xmlns:ns4="d1332135-b17a-446f-a1ae-f2f9eb486b6d" targetNamespace="http://schemas.microsoft.com/office/2006/metadata/properties" ma:root="true" ma:fieldsID="328337ce365f822503f6772e098c50a7" ns2:_="" ns3:_="" ns4:_="">
    <xsd:import namespace="8a3471f6-0f36-4ccf-b5ee-1ca67ea797ef"/>
    <xsd:import namespace="http://schemas.microsoft.com/sharepoint/v3/fields"/>
    <xsd:import namespace="d1332135-b17a-446f-a1ae-f2f9eb486b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71f6-0f36-4ccf-b5ee-1ca67ea797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387e788-8f98-4238-9f54-214e1cd40fd2}" ma:internalName="TaxCatchAll" ma:showField="CatchAllData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387e788-8f98-4238-9f54-214e1cd40fd2}" ma:internalName="TaxCatchAllLabel" ma:readOnly="true" ma:showField="CatchAllDataLabel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135-b17a-446f-a1ae-f2f9eb486b6d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D04E-6A5E-48AF-A4C2-39AF8D6C755C}">
  <ds:schemaRefs>
    <ds:schemaRef ds:uri="http://schemas.microsoft.com/office/2006/metadata/properties"/>
    <ds:schemaRef ds:uri="http://schemas.microsoft.com/office/infopath/2007/PartnerControls"/>
    <ds:schemaRef ds:uri="8a3471f6-0f36-4ccf-b5ee-1ca67ea797ef"/>
    <ds:schemaRef ds:uri="http://schemas.microsoft.com/sharepoint/v3/fields"/>
    <ds:schemaRef ds:uri="d1332135-b17a-446f-a1ae-f2f9eb486b6d"/>
  </ds:schemaRefs>
</ds:datastoreItem>
</file>

<file path=customXml/itemProps2.xml><?xml version="1.0" encoding="utf-8"?>
<ds:datastoreItem xmlns:ds="http://schemas.openxmlformats.org/officeDocument/2006/customXml" ds:itemID="{BA470676-BA11-4F02-B286-5FDA13F4F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EDF0C-9DAA-4B99-9B53-8BB07459AA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3A29AE-0679-4011-BEFE-D632AA61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71f6-0f36-4ccf-b5ee-1ca67ea797ef"/>
    <ds:schemaRef ds:uri="http://schemas.microsoft.com/sharepoint/v3/fields"/>
    <ds:schemaRef ds:uri="d1332135-b17a-446f-a1ae-f2f9eb486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194338-F56B-4517-9987-95520EB4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2544</Words>
  <Characters>13997</Characters>
  <Application>Microsoft Office Word</Application>
  <DocSecurity>4</DocSecurity>
  <Lines>116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European Interoperability Framework – Implementation Strategy</vt:lpstr>
      <vt:lpstr>European Agenda on Migration: Second implementation package - A permanent crisis relocation mechanism under the Dublin system</vt:lpstr>
    </vt:vector>
  </TitlesOfParts>
  <Company>CESE-CdR</Company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Europejskie ramy interoperacyjności – strategia wdrażania</dc:title>
  <dc:subject>Wstępny projekt opinii</dc:subject>
  <dc:creator>Lech Pilawski</dc:creator>
  <cp:keywords>EESC-2017-02197-00-00-APA-TRA-PL</cp:keywords>
  <dc:description>Rapporteur: CURTIS_x000d_
Original language: EN_x000d_
Date of document: 07/07/2017_x000d_
Date of meeting: 18/07/2017_x000d_
External documents: COM(2017)134-final_x000d_
Administrator responsible: Popescu Andrei, telephone: + 2 546 9186_x000d_
_x000d_
Abstract:</dc:description>
  <cp:lastModifiedBy>Lech Pilawski</cp:lastModifiedBy>
  <cp:revision>2</cp:revision>
  <cp:lastPrinted>2017-07-03T11:04:00Z</cp:lastPrinted>
  <dcterms:created xsi:type="dcterms:W3CDTF">2017-07-19T07:20:00Z</dcterms:created>
  <dcterms:modified xsi:type="dcterms:W3CDTF">2017-07-19T07:20:00Z</dcterms:modified>
  <cp:category>TEN/635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04/07/2017, 16/06/2017, 16/06/2017, 04/11/2015, 27/10/2015, 19/10/2015, 09/10/2015, 05/10/2015, 05/10/2015, 26/08/2015, 26/08/2015, 25/08/2015</vt:lpwstr>
  </property>
  <property fmtid="{D5CDD505-2E9C-101B-9397-08002B2CF9AE}" pid="4" name="Pref_Time">
    <vt:lpwstr>11:30:52, 11:14:30, 11:09:18, 12:10:07, 14:44:02, 16:04:16, 14:09:30, 16:24:55, 16:04:02, 08:56:14, 07:27:56, 17:31:53</vt:lpwstr>
  </property>
  <property fmtid="{D5CDD505-2E9C-101B-9397-08002B2CF9AE}" pid="5" name="Pref_User">
    <vt:lpwstr>tvoc, hnic, htoo, ssex, enied, amett, tvoc, mreg, mreg, amett, enied, ssex</vt:lpwstr>
  </property>
  <property fmtid="{D5CDD505-2E9C-101B-9397-08002B2CF9AE}" pid="6" name="Pref_FileName">
    <vt:lpwstr>EESC-2017-02197-00-00-APA-TRA-EN-CRR.docx, EESC-2017-02197-00-00-DT-TRA-EN-CRR.docx, EESC-2017-02197-00-00-DT-CRR-EN.docx, EESC-2015-05408-00-00-PA-CRR-EN.docx, EESC-2015-05408-00-01-APA-ORI.docx, EESC-2015-04319-00-00-TCD-ORI.docx, EESC-2015-04319-00-01-</vt:lpwstr>
  </property>
  <property fmtid="{D5CDD505-2E9C-101B-9397-08002B2CF9AE}" pid="7" name="ContentTypeId">
    <vt:lpwstr>0x010100EA97B91038054C99906057A708A1480A003F2E69B9A178FF4F86235F65FC497A74</vt:lpwstr>
  </property>
  <property fmtid="{D5CDD505-2E9C-101B-9397-08002B2CF9AE}" pid="8" name="_dlc_DocIdItemGuid">
    <vt:lpwstr>cd58cb0a-6c48-47cd-98be-170986a5fe50</vt:lpwstr>
  </property>
  <property fmtid="{D5CDD505-2E9C-101B-9397-08002B2CF9AE}" pid="9" name="AvailableTranslations">
    <vt:lpwstr>33;#PL|1e03da61-4678-4e07-b136-b5024ca9197b;#14;#ES|e7a6b05b-ae16-40c8-add9-68b64b03aeba;#4;#EN|f2175f21-25d7-44a3-96da-d6a61b075e1b;#37;#RO|feb747a2-64cd-4299-af12-4833ddc30497;#12;#NL|55c6556c-b4f4-441d-9acf-c498d4f838bd;#8;#FR|d2afafd3-4c81-4f60-8f52-e</vt:lpwstr>
  </property>
  <property fmtid="{D5CDD505-2E9C-101B-9397-08002B2CF9AE}" pid="10" name="DossierName">
    <vt:lpwstr>67;#TEN|5e12260d-3aca-41f8-baf2-ad3d18475f10</vt:lpwstr>
  </property>
  <property fmtid="{D5CDD505-2E9C-101B-9397-08002B2CF9AE}" pid="11" name="DocumentStatus">
    <vt:lpwstr>2;#TRA|150d2a88-1431-44e6-a8ca-0bb753ab8672</vt:lpwstr>
  </property>
  <property fmtid="{D5CDD505-2E9C-101B-9397-08002B2CF9AE}" pid="12" name="Confidentiality">
    <vt:lpwstr>5;#Unrestricted|826e22d7-d029-4ec0-a450-0c28ff673572</vt:lpwstr>
  </property>
  <property fmtid="{D5CDD505-2E9C-101B-9397-08002B2CF9AE}" pid="13" name="OriginalLanguage">
    <vt:lpwstr>4;#EN|f2175f21-25d7-44a3-96da-d6a61b075e1b</vt:lpwstr>
  </property>
  <property fmtid="{D5CDD505-2E9C-101B-9397-08002B2CF9AE}" pid="14" name="MeetingName">
    <vt:lpwstr>183;#TEN/635|e4b354c6-e6c0-4c42-830d-c3959ac249ba</vt:lpwstr>
  </property>
  <property fmtid="{D5CDD505-2E9C-101B-9397-08002B2CF9AE}" pid="15" name="VersionStatus">
    <vt:lpwstr>6;#Final|ea5e6674-7b27-4bac-b091-73adbb394efe</vt:lpwstr>
  </property>
  <property fmtid="{D5CDD505-2E9C-101B-9397-08002B2CF9AE}" pid="16" name="DocumentSource">
    <vt:lpwstr>1;#EESC|422833ec-8d7e-4e65-8e4e-8bed07ffb729</vt:lpwstr>
  </property>
  <property fmtid="{D5CDD505-2E9C-101B-9397-08002B2CF9AE}" pid="17" name="DocumentType">
    <vt:lpwstr>107;#APA|51e7c348-311d-42d5-8c77-ec17e88062a9</vt:lpwstr>
  </property>
  <property fmtid="{D5CDD505-2E9C-101B-9397-08002B2CF9AE}" pid="18" name="DocumentLanguage">
    <vt:lpwstr>33;#PL|1e03da61-4678-4e07-b136-b5024ca9197b</vt:lpwstr>
  </property>
  <property fmtid="{D5CDD505-2E9C-101B-9397-08002B2CF9AE}" pid="19" name="DocumentType_0">
    <vt:lpwstr>APA|51e7c348-311d-42d5-8c77-ec17e88062a9</vt:lpwstr>
  </property>
  <property fmtid="{D5CDD505-2E9C-101B-9397-08002B2CF9AE}" pid="20" name="DossierName_0">
    <vt:lpwstr>TEN|5e12260d-3aca-41f8-baf2-ad3d18475f10</vt:lpwstr>
  </property>
  <property fmtid="{D5CDD505-2E9C-101B-9397-08002B2CF9AE}" pid="21" name="DocumentSource_0">
    <vt:lpwstr>EESC|422833ec-8d7e-4e65-8e4e-8bed07ffb729</vt:lpwstr>
  </property>
  <property fmtid="{D5CDD505-2E9C-101B-9397-08002B2CF9AE}" pid="22" name="Confidentiality_0">
    <vt:lpwstr>Unrestricted|826e22d7-d029-4ec0-a450-0c28ff673572</vt:lpwstr>
  </property>
  <property fmtid="{D5CDD505-2E9C-101B-9397-08002B2CF9AE}" pid="23" name="MeetingName_0">
    <vt:lpwstr>TEN/635|e4b354c6-e6c0-4c42-830d-c3959ac249ba</vt:lpwstr>
  </property>
  <property fmtid="{D5CDD505-2E9C-101B-9397-08002B2CF9AE}" pid="24" name="DocumentStatus_0">
    <vt:lpwstr>TRA|150d2a88-1431-44e6-a8ca-0bb753ab8672</vt:lpwstr>
  </property>
  <property fmtid="{D5CDD505-2E9C-101B-9397-08002B2CF9AE}" pid="25" name="OriginalLanguage_0">
    <vt:lpwstr>EN|f2175f21-25d7-44a3-96da-d6a61b075e1b</vt:lpwstr>
  </property>
  <property fmtid="{D5CDD505-2E9C-101B-9397-08002B2CF9AE}" pid="26" name="DocumentLanguage_0">
    <vt:lpwstr>ES|e7a6b05b-ae16-40c8-add9-68b64b03aeba</vt:lpwstr>
  </property>
  <property fmtid="{D5CDD505-2E9C-101B-9397-08002B2CF9AE}" pid="27" name="TaxCatchAll">
    <vt:lpwstr>183;#TEN/635|e4b354c6-e6c0-4c42-830d-c3959ac249ba;#67;#TEN|5e12260d-3aca-41f8-baf2-ad3d18475f10;#107;#APA|51e7c348-311d-42d5-8c77-ec17e88062a9;#14;#ES|e7a6b05b-ae16-40c8-add9-68b64b03aeba;#6;#Final|ea5e6674-7b27-4bac-b091-73adbb394efe;#5;#Unrestricted|826</vt:lpwstr>
  </property>
  <property fmtid="{D5CDD505-2E9C-101B-9397-08002B2CF9AE}" pid="28" name="AvailableTranslations_0">
    <vt:lpwstr>EN|f2175f21-25d7-44a3-96da-d6a61b075e1b</vt:lpwstr>
  </property>
  <property fmtid="{D5CDD505-2E9C-101B-9397-08002B2CF9AE}" pid="29" name="VersionStatus_0">
    <vt:lpwstr>Final|ea5e6674-7b27-4bac-b091-73adbb394efe</vt:lpwstr>
  </property>
  <property fmtid="{D5CDD505-2E9C-101B-9397-08002B2CF9AE}" pid="30" name="StyleCheckSum">
    <vt:lpwstr>45307_C10789_P168_L26</vt:lpwstr>
  </property>
  <property fmtid="{D5CDD505-2E9C-101B-9397-08002B2CF9AE}" pid="31" name="_dlc_DocId">
    <vt:lpwstr>SNS6YXTC77FS-6-5359</vt:lpwstr>
  </property>
  <property fmtid="{D5CDD505-2E9C-101B-9397-08002B2CF9AE}" pid="32" name="_dlc_DocIdUrl">
    <vt:lpwstr>http://dm/EESC/2015/_layouts/DocIdRedir.aspx?ID=SNS6YXTC77FS-6-5359, SNS6YXTC77FS-6-5359</vt:lpwstr>
  </property>
  <property fmtid="{D5CDD505-2E9C-101B-9397-08002B2CF9AE}" pid="33" name="MeetingNumber">
    <vt:i4>159</vt:i4>
  </property>
  <property fmtid="{D5CDD505-2E9C-101B-9397-08002B2CF9AE}" pid="34" name="ProductionDate">
    <vt:filetime>2015-10-12T14:00:00Z</vt:filetime>
  </property>
  <property fmtid="{D5CDD505-2E9C-101B-9397-08002B2CF9AE}" pid="35" name="DocumentNumber">
    <vt:i4>2197</vt:i4>
  </property>
  <property fmtid="{D5CDD505-2E9C-101B-9397-08002B2CF9AE}" pid="36" name="FicheYear">
    <vt:i4>2017</vt:i4>
  </property>
  <property fmtid="{D5CDD505-2E9C-101B-9397-08002B2CF9AE}" pid="37" name="DocumentVersion">
    <vt:i4>0</vt:i4>
  </property>
  <property fmtid="{D5CDD505-2E9C-101B-9397-08002B2CF9AE}" pid="38" name="DossierNumber">
    <vt:i4>635</vt:i4>
  </property>
  <property fmtid="{D5CDD505-2E9C-101B-9397-08002B2CF9AE}" pid="39" name="Rapporteur">
    <vt:lpwstr>CURTIS</vt:lpwstr>
  </property>
  <property fmtid="{D5CDD505-2E9C-101B-9397-08002B2CF9AE}" pid="40" name="DocumentYear">
    <vt:i4>2017</vt:i4>
  </property>
  <property fmtid="{D5CDD505-2E9C-101B-9397-08002B2CF9AE}" pid="41" name="FicheNumber">
    <vt:i4>7045</vt:i4>
  </property>
  <property fmtid="{D5CDD505-2E9C-101B-9397-08002B2CF9AE}" pid="42" name="DocumentPart">
    <vt:i4>0</vt:i4>
  </property>
  <property fmtid="{D5CDD505-2E9C-101B-9397-08002B2CF9AE}" pid="43" name="RequestingService">
    <vt:lpwstr>Transports, énergie, infrastructures, société de l'information</vt:lpwstr>
  </property>
  <property fmtid="{D5CDD505-2E9C-101B-9397-08002B2CF9AE}" pid="44" name="Procedure">
    <vt:lpwstr>2015/0208(COD)</vt:lpwstr>
  </property>
  <property fmtid="{D5CDD505-2E9C-101B-9397-08002B2CF9AE}" pid="45" name="MeetingDate">
    <vt:filetime>2017-07-18T12:00:00Z</vt:filetime>
  </property>
  <property fmtid="{D5CDD505-2E9C-101B-9397-08002B2CF9AE}" pid="46" name="ErrorCode">
    <vt:lpwstr>Exception</vt:lpwstr>
  </property>
  <property fmtid="{D5CDD505-2E9C-101B-9397-08002B2CF9AE}" pid="47" name="ErrorDescription">
    <vt:lpwstr>Error = Unbale to add terms to the termstore. An exception has occured - Exception = Microsoft.SharePoint.SPException: Unable to connect to term store for this site collection
   at DocumentManagerV2.BusinessLogic.Utilities.TermStoreManager.GetDefaultTerm</vt:lpwstr>
  </property>
</Properties>
</file>