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71" w:rsidRDefault="00675871" w:rsidP="00675871">
      <w:pPr>
        <w:spacing w:line="276" w:lineRule="auto"/>
        <w:ind w:left="283" w:right="283"/>
        <w:jc w:val="both"/>
      </w:pPr>
      <w:r>
        <w:rPr>
          <w:rFonts w:ascii="Times New Roman" w:hAnsi="Times New Roman"/>
          <w:sz w:val="24"/>
          <w:szCs w:val="24"/>
        </w:rPr>
        <w:t>1. Przegląd funkcjonowania i wypracowanie projektu nowelizacji ustawy o Radzie Dialogu Społecznego i innych instytucjach dialogu społecznego.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Wzmocnienie roli partnerów społecznych w zarządzaniu Funduszem Pracy i Funduszem Gwarantowanych Świadczeń Pracowniczych – na rzecz poprawy funkcjonowania rynku pracy.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Dostosowanie kompetencji pracowników do potrzeb rynku pracy – wypracowanie rozwiązań  w zakresie kształcenia zawodowego oraz popytowego systemu wsparcia uczenia się przez całe życie.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Zmiana zasad funkcjonowania i finansowania ochrony zdrowia.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Wsparcie innowacji, w tym przegląd funkcjonowania i ocena skuteczności ulgi podatkowej na B+R oraz przygotowanie nowego projektu ustawy na podstawie Białej Księgi Innowacji.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Przygotowanie założeń do nowej ustawy zamówienia publiczne, w tym wpisanie w ustawę klauzul społecznych w zamówieniach publicznych oraz monitoring wdrażania przepisów ustawy.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Przegląd zasad  dystrybucji transferów socjalnych ze szczególnym uwzględnieniem polityki rodzinnej.</w:t>
      </w:r>
    </w:p>
    <w:p w:rsidR="00675871" w:rsidRDefault="00675871" w:rsidP="00675871">
      <w:pPr>
        <w:spacing w:line="276" w:lineRule="auto"/>
        <w:ind w:left="283" w:right="283"/>
        <w:jc w:val="both"/>
      </w:pPr>
      <w:r>
        <w:rPr>
          <w:rFonts w:ascii="Times New Roman" w:hAnsi="Times New Roman"/>
          <w:sz w:val="24"/>
          <w:szCs w:val="24"/>
        </w:rPr>
        <w:t xml:space="preserve">8. Wzmocnienie roli partnerów społecznych w procesie Semestru Europejskiego, włączenie RDS we wdrażanie strategii Europa 2020 oraz opracowanie systemu udziału RDS w procesie opiniowania projektów legislacyjnych, zgłaszanych przez Komisję Europejską do konsultacji </w:t>
      </w:r>
      <w:r>
        <w:rPr>
          <w:rFonts w:ascii="Times New Roman" w:hAnsi="Times New Roman"/>
          <w:color w:val="000000"/>
          <w:sz w:val="24"/>
          <w:szCs w:val="24"/>
        </w:rPr>
        <w:t>przez państwa członkowskie.</w:t>
      </w:r>
    </w:p>
    <w:p w:rsidR="00675871" w:rsidRDefault="00675871" w:rsidP="00675871">
      <w:pPr>
        <w:spacing w:line="276" w:lineRule="auto"/>
        <w:ind w:left="283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Bieżące sprawy gospodarcze w szczególności wynikające z realizacji Strategii na Rzecz Odpowiedzialnego Rozwoju. </w:t>
      </w:r>
    </w:p>
    <w:p w:rsidR="00BB72CC" w:rsidRDefault="00BB72CC">
      <w:bookmarkStart w:id="0" w:name="_GoBack"/>
      <w:bookmarkEnd w:id="0"/>
    </w:p>
    <w:sectPr w:rsidR="00BB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71"/>
    <w:rsid w:val="00675871"/>
    <w:rsid w:val="00B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85C4-78D9-486E-B4AE-336D972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587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Maciąg</dc:creator>
  <cp:keywords/>
  <dc:description/>
  <cp:lastModifiedBy>Zbigniew Maciąg</cp:lastModifiedBy>
  <cp:revision>1</cp:revision>
  <dcterms:created xsi:type="dcterms:W3CDTF">2016-12-09T11:20:00Z</dcterms:created>
  <dcterms:modified xsi:type="dcterms:W3CDTF">2016-12-09T11:20:00Z</dcterms:modified>
</cp:coreProperties>
</file>