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AEB76" w14:textId="77777777" w:rsidR="001D04F1" w:rsidRPr="003F2E17" w:rsidRDefault="002224A5" w:rsidP="00F65683">
      <w:pPr>
        <w:pStyle w:val="Nagwek1"/>
        <w:suppressAutoHyphens/>
        <w:spacing w:before="480" w:line="240" w:lineRule="auto"/>
        <w:ind w:left="400" w:hanging="360"/>
        <w:jc w:val="both"/>
        <w:rPr>
          <w:rFonts w:eastAsia="Times New Roman" w:cs="Times New Roman"/>
          <w:b/>
          <w:bCs/>
          <w:color w:val="365F91"/>
          <w:kern w:val="1"/>
          <w:sz w:val="28"/>
          <w:szCs w:val="40"/>
          <w:lang w:eastAsia="ar-SA"/>
        </w:rPr>
      </w:pPr>
      <w:bookmarkStart w:id="0" w:name="_Toc428184157"/>
      <w:bookmarkStart w:id="1" w:name="_Toc428260552"/>
      <w:bookmarkStart w:id="2" w:name="_Toc428433864"/>
      <w:bookmarkStart w:id="3" w:name="_Toc428775837"/>
      <w:bookmarkStart w:id="4" w:name="_GoBack"/>
      <w:bookmarkEnd w:id="4"/>
      <w:r w:rsidRPr="003F2E17">
        <w:rPr>
          <w:rFonts w:eastAsia="Times New Roman" w:cs="Times New Roman"/>
          <w:b/>
          <w:bCs/>
          <w:color w:val="365F91"/>
          <w:kern w:val="1"/>
          <w:sz w:val="28"/>
          <w:szCs w:val="40"/>
          <w:lang w:eastAsia="ar-SA"/>
        </w:rPr>
        <w:t>Załącznik nr 1</w:t>
      </w:r>
      <w:bookmarkEnd w:id="0"/>
      <w:bookmarkEnd w:id="1"/>
      <w:bookmarkEnd w:id="2"/>
      <w:bookmarkEnd w:id="3"/>
      <w:r w:rsidRPr="003F2E17">
        <w:rPr>
          <w:rFonts w:eastAsia="Times New Roman" w:cs="Times New Roman"/>
          <w:b/>
          <w:bCs/>
          <w:color w:val="365F91"/>
          <w:kern w:val="1"/>
          <w:sz w:val="28"/>
          <w:szCs w:val="40"/>
          <w:lang w:eastAsia="ar-SA"/>
        </w:rPr>
        <w:t xml:space="preserve"> </w:t>
      </w:r>
    </w:p>
    <w:p w14:paraId="188CFE4D" w14:textId="5C1806CD" w:rsidR="002224A5" w:rsidRPr="003F2E17" w:rsidRDefault="00B51D38" w:rsidP="00F65683">
      <w:pPr>
        <w:pStyle w:val="Nagwek1"/>
        <w:suppressAutoHyphens/>
        <w:spacing w:before="0" w:after="240" w:line="240" w:lineRule="auto"/>
        <w:ind w:left="400" w:hanging="360"/>
        <w:jc w:val="both"/>
        <w:rPr>
          <w:rFonts w:eastAsia="Times New Roman" w:cs="Times New Roman"/>
          <w:b/>
          <w:bCs/>
          <w:color w:val="365F91"/>
          <w:kern w:val="1"/>
          <w:sz w:val="28"/>
          <w:szCs w:val="40"/>
          <w:lang w:eastAsia="ar-SA"/>
        </w:rPr>
      </w:pPr>
      <w:bookmarkStart w:id="5" w:name="_Toc428184158"/>
      <w:bookmarkStart w:id="6" w:name="_Toc428260553"/>
      <w:bookmarkStart w:id="7" w:name="_Toc428433865"/>
      <w:bookmarkStart w:id="8" w:name="_Toc428775838"/>
      <w:r w:rsidRPr="003F2E17">
        <w:rPr>
          <w:rFonts w:eastAsia="Times New Roman" w:cs="Times New Roman"/>
          <w:b/>
          <w:bCs/>
          <w:color w:val="365F91"/>
          <w:kern w:val="1"/>
          <w:sz w:val="28"/>
          <w:szCs w:val="40"/>
          <w:lang w:eastAsia="ar-SA"/>
        </w:rPr>
        <w:t>d</w:t>
      </w:r>
      <w:r w:rsidR="002224A5" w:rsidRPr="003F2E17">
        <w:rPr>
          <w:rFonts w:eastAsia="Times New Roman" w:cs="Times New Roman"/>
          <w:b/>
          <w:bCs/>
          <w:color w:val="365F91"/>
          <w:kern w:val="1"/>
          <w:sz w:val="28"/>
          <w:szCs w:val="40"/>
          <w:lang w:eastAsia="ar-SA"/>
        </w:rPr>
        <w:t>o Krajowego Planu Działań na 2016 r.</w:t>
      </w:r>
      <w:bookmarkEnd w:id="5"/>
      <w:bookmarkEnd w:id="6"/>
      <w:bookmarkEnd w:id="7"/>
      <w:bookmarkEnd w:id="8"/>
    </w:p>
    <w:p w14:paraId="0074BC27" w14:textId="77777777" w:rsidR="003F2E17" w:rsidRDefault="003F2E17" w:rsidP="00F65683">
      <w:pPr>
        <w:spacing w:line="240" w:lineRule="auto"/>
        <w:rPr>
          <w:rFonts w:asciiTheme="majorHAnsi" w:eastAsia="Times New Roman" w:hAnsiTheme="majorHAnsi" w:cs="Times New Roman"/>
          <w:b/>
          <w:bCs/>
          <w:color w:val="365F91"/>
          <w:kern w:val="1"/>
          <w:sz w:val="48"/>
          <w:szCs w:val="40"/>
          <w:lang w:eastAsia="ar-SA"/>
        </w:rPr>
      </w:pPr>
    </w:p>
    <w:p w14:paraId="1962CE48" w14:textId="77777777" w:rsidR="003F2E17" w:rsidRDefault="003F2E17" w:rsidP="00F65683">
      <w:pPr>
        <w:spacing w:line="240" w:lineRule="auto"/>
        <w:rPr>
          <w:rFonts w:asciiTheme="majorHAnsi" w:eastAsia="Times New Roman" w:hAnsiTheme="majorHAnsi" w:cs="Times New Roman"/>
          <w:b/>
          <w:bCs/>
          <w:color w:val="365F91"/>
          <w:kern w:val="1"/>
          <w:sz w:val="48"/>
          <w:szCs w:val="40"/>
          <w:lang w:eastAsia="ar-SA"/>
        </w:rPr>
      </w:pPr>
    </w:p>
    <w:p w14:paraId="7E9056C7" w14:textId="77777777" w:rsidR="003F2E17" w:rsidRDefault="003F2E17" w:rsidP="00F65683">
      <w:pPr>
        <w:spacing w:line="240" w:lineRule="auto"/>
        <w:rPr>
          <w:rFonts w:asciiTheme="majorHAnsi" w:eastAsia="Times New Roman" w:hAnsiTheme="majorHAnsi" w:cs="Times New Roman"/>
          <w:b/>
          <w:bCs/>
          <w:color w:val="365F91"/>
          <w:kern w:val="1"/>
          <w:sz w:val="48"/>
          <w:szCs w:val="40"/>
          <w:lang w:eastAsia="ar-SA"/>
        </w:rPr>
      </w:pPr>
    </w:p>
    <w:p w14:paraId="5A03D196" w14:textId="025E0599" w:rsidR="00713F4B" w:rsidRPr="003F2E17" w:rsidRDefault="003F2E17" w:rsidP="00F65683">
      <w:pPr>
        <w:spacing w:line="240" w:lineRule="auto"/>
        <w:jc w:val="center"/>
        <w:rPr>
          <w:rFonts w:asciiTheme="majorHAnsi" w:eastAsia="Times New Roman" w:hAnsiTheme="majorHAnsi" w:cs="Times New Roman"/>
          <w:b/>
          <w:bCs/>
          <w:color w:val="365F91"/>
          <w:kern w:val="1"/>
          <w:sz w:val="72"/>
          <w:szCs w:val="40"/>
          <w:lang w:eastAsia="ar-SA"/>
        </w:rPr>
      </w:pPr>
      <w:r w:rsidRPr="003F2E17">
        <w:rPr>
          <w:rFonts w:asciiTheme="majorHAnsi" w:eastAsia="Times New Roman" w:hAnsiTheme="majorHAnsi" w:cs="Times New Roman"/>
          <w:b/>
          <w:bCs/>
          <w:color w:val="365F91"/>
          <w:kern w:val="1"/>
          <w:sz w:val="72"/>
          <w:szCs w:val="40"/>
          <w:lang w:eastAsia="ar-SA"/>
        </w:rPr>
        <w:t xml:space="preserve">Opis ryzyk </w:t>
      </w:r>
      <w:r w:rsidRPr="003F2E17">
        <w:rPr>
          <w:rFonts w:asciiTheme="majorHAnsi" w:eastAsia="Times New Roman" w:hAnsiTheme="majorHAnsi" w:cs="Times New Roman"/>
          <w:b/>
          <w:bCs/>
          <w:color w:val="365F91"/>
          <w:kern w:val="1"/>
          <w:sz w:val="72"/>
          <w:szCs w:val="40"/>
          <w:lang w:eastAsia="ar-SA"/>
        </w:rPr>
        <w:br/>
        <w:t>związanych z podobszarami ryzyka</w:t>
      </w:r>
    </w:p>
    <w:p w14:paraId="051305BA" w14:textId="77777777" w:rsidR="00B51D38" w:rsidRDefault="00B51D38" w:rsidP="00F65683">
      <w:pPr>
        <w:spacing w:line="240" w:lineRule="auto"/>
      </w:pPr>
      <w:r>
        <w:br w:type="page"/>
      </w:r>
    </w:p>
    <w:sdt>
      <w:sdtPr>
        <w:rPr>
          <w:rFonts w:asciiTheme="minorHAnsi" w:eastAsiaTheme="minorHAnsi" w:hAnsiTheme="minorHAnsi" w:cstheme="minorBidi"/>
          <w:color w:val="auto"/>
          <w:sz w:val="22"/>
          <w:szCs w:val="22"/>
          <w:lang w:eastAsia="en-US"/>
        </w:rPr>
        <w:id w:val="-445692767"/>
        <w:docPartObj>
          <w:docPartGallery w:val="Table of Contents"/>
          <w:docPartUnique/>
        </w:docPartObj>
      </w:sdtPr>
      <w:sdtEndPr>
        <w:rPr>
          <w:b/>
          <w:bCs/>
        </w:rPr>
      </w:sdtEndPr>
      <w:sdtContent>
        <w:p w14:paraId="034AF0C2" w14:textId="40E9B7EA" w:rsidR="00B51D38" w:rsidRDefault="00B51D38" w:rsidP="00F65683">
          <w:pPr>
            <w:pStyle w:val="Nagwekspisutreci"/>
            <w:spacing w:line="240" w:lineRule="auto"/>
          </w:pPr>
          <w:r>
            <w:t>Spis treści</w:t>
          </w:r>
        </w:p>
        <w:p w14:paraId="30896606" w14:textId="3AD92219" w:rsidR="00D73B63" w:rsidRDefault="00B51D38">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p>
        <w:p w14:paraId="221BD477" w14:textId="77777777" w:rsidR="00D73B63" w:rsidRDefault="002253E9">
          <w:pPr>
            <w:pStyle w:val="Spistreci2"/>
            <w:rPr>
              <w:rFonts w:eastAsiaTheme="minorEastAsia"/>
              <w:noProof/>
              <w:lang w:eastAsia="pl-PL"/>
            </w:rPr>
          </w:pPr>
          <w:hyperlink w:anchor="_Toc428775839" w:history="1">
            <w:r w:rsidR="00D73B63" w:rsidRPr="004F72F9">
              <w:rPr>
                <w:rStyle w:val="Hipercze"/>
                <w:b/>
                <w:noProof/>
              </w:rPr>
              <w:t>1.</w:t>
            </w:r>
            <w:r w:rsidR="00D73B63">
              <w:rPr>
                <w:rFonts w:eastAsiaTheme="minorEastAsia"/>
                <w:noProof/>
                <w:lang w:eastAsia="pl-PL"/>
              </w:rPr>
              <w:tab/>
            </w:r>
            <w:r w:rsidR="00D73B63" w:rsidRPr="004F72F9">
              <w:rPr>
                <w:rStyle w:val="Hipercze"/>
                <w:b/>
                <w:noProof/>
              </w:rPr>
              <w:t>Ryzyko niezrealizowania zobowiązań podatkowych w pełnej wysokości w związku z niewykazywaniem do opodatkowania obrotu/przychodów z wystawionych rachunków/faktur VAT przez podmioty posiadające zarejestrowaną działalność gospodarczą</w:t>
            </w:r>
            <w:r w:rsidR="00D73B63">
              <w:rPr>
                <w:noProof/>
                <w:webHidden/>
              </w:rPr>
              <w:tab/>
            </w:r>
            <w:r w:rsidR="00D73B63">
              <w:rPr>
                <w:noProof/>
                <w:webHidden/>
              </w:rPr>
              <w:fldChar w:fldCharType="begin"/>
            </w:r>
            <w:r w:rsidR="00D73B63">
              <w:rPr>
                <w:noProof/>
                <w:webHidden/>
              </w:rPr>
              <w:instrText xml:space="preserve"> PAGEREF _Toc428775839 \h </w:instrText>
            </w:r>
            <w:r w:rsidR="00D73B63">
              <w:rPr>
                <w:noProof/>
                <w:webHidden/>
              </w:rPr>
            </w:r>
            <w:r w:rsidR="00D73B63">
              <w:rPr>
                <w:noProof/>
                <w:webHidden/>
              </w:rPr>
              <w:fldChar w:fldCharType="separate"/>
            </w:r>
            <w:r w:rsidR="00D73B63">
              <w:rPr>
                <w:noProof/>
                <w:webHidden/>
              </w:rPr>
              <w:t>3</w:t>
            </w:r>
            <w:r w:rsidR="00D73B63">
              <w:rPr>
                <w:noProof/>
                <w:webHidden/>
              </w:rPr>
              <w:fldChar w:fldCharType="end"/>
            </w:r>
          </w:hyperlink>
        </w:p>
        <w:p w14:paraId="20B29C5E" w14:textId="0EB22965" w:rsidR="00D73B63" w:rsidRDefault="002253E9">
          <w:pPr>
            <w:pStyle w:val="Spistreci2"/>
            <w:rPr>
              <w:rFonts w:eastAsiaTheme="minorEastAsia"/>
              <w:noProof/>
              <w:lang w:eastAsia="pl-PL"/>
            </w:rPr>
          </w:pPr>
          <w:hyperlink w:anchor="_Toc428775840" w:history="1">
            <w:r w:rsidR="00D73B63" w:rsidRPr="004F72F9">
              <w:rPr>
                <w:rStyle w:val="Hipercze"/>
                <w:b/>
                <w:noProof/>
              </w:rPr>
              <w:t>2.</w:t>
            </w:r>
            <w:r w:rsidR="00D73B63">
              <w:rPr>
                <w:rFonts w:eastAsiaTheme="minorEastAsia"/>
                <w:noProof/>
                <w:lang w:eastAsia="pl-PL"/>
              </w:rPr>
              <w:tab/>
            </w:r>
            <w:r w:rsidR="00D73B63" w:rsidRPr="004F72F9">
              <w:rPr>
                <w:rStyle w:val="Hipercze"/>
                <w:b/>
                <w:noProof/>
              </w:rPr>
              <w:t>Ryzyko niewykazywania do opodatkowania całości osiąganych przychodów, poprzez nieewidencjonowanie całości lub części przychodów na kasach rejestrujących</w:t>
            </w:r>
            <w:r w:rsidR="00D73B63">
              <w:rPr>
                <w:noProof/>
                <w:webHidden/>
              </w:rPr>
              <w:tab/>
            </w:r>
            <w:r w:rsidR="00D73B63">
              <w:rPr>
                <w:noProof/>
                <w:webHidden/>
              </w:rPr>
              <w:fldChar w:fldCharType="begin"/>
            </w:r>
            <w:r w:rsidR="00D73B63">
              <w:rPr>
                <w:noProof/>
                <w:webHidden/>
              </w:rPr>
              <w:instrText xml:space="preserve"> PAGEREF _Toc428775840 \h </w:instrText>
            </w:r>
            <w:r w:rsidR="00D73B63">
              <w:rPr>
                <w:noProof/>
                <w:webHidden/>
              </w:rPr>
            </w:r>
            <w:r w:rsidR="00D73B63">
              <w:rPr>
                <w:noProof/>
                <w:webHidden/>
              </w:rPr>
              <w:fldChar w:fldCharType="separate"/>
            </w:r>
            <w:r w:rsidR="00D73B63">
              <w:rPr>
                <w:noProof/>
                <w:webHidden/>
              </w:rPr>
              <w:t>4</w:t>
            </w:r>
            <w:r w:rsidR="00D73B63">
              <w:rPr>
                <w:noProof/>
                <w:webHidden/>
              </w:rPr>
              <w:fldChar w:fldCharType="end"/>
            </w:r>
          </w:hyperlink>
        </w:p>
        <w:p w14:paraId="7F259265" w14:textId="77777777" w:rsidR="00D73B63" w:rsidRDefault="002253E9">
          <w:pPr>
            <w:pStyle w:val="Spistreci2"/>
            <w:rPr>
              <w:rFonts w:eastAsiaTheme="minorEastAsia"/>
              <w:noProof/>
              <w:lang w:eastAsia="pl-PL"/>
            </w:rPr>
          </w:pPr>
          <w:hyperlink w:anchor="_Toc428775841" w:history="1">
            <w:r w:rsidR="00D73B63" w:rsidRPr="004F72F9">
              <w:rPr>
                <w:rStyle w:val="Hipercze"/>
                <w:b/>
                <w:noProof/>
              </w:rPr>
              <w:t>3.</w:t>
            </w:r>
            <w:r w:rsidR="00D73B63">
              <w:rPr>
                <w:rFonts w:eastAsiaTheme="minorEastAsia"/>
                <w:noProof/>
                <w:lang w:eastAsia="pl-PL"/>
              </w:rPr>
              <w:tab/>
            </w:r>
            <w:r w:rsidR="00D73B63" w:rsidRPr="004F72F9">
              <w:rPr>
                <w:rStyle w:val="Hipercze"/>
                <w:b/>
                <w:noProof/>
              </w:rPr>
              <w:t>Ryzyko niezrealizowania zobowiązań podatkowych w pełnej wysokości w związku z niewystawianiem faktur lub wystawianiem faktur w kwotach nieodpowiadających wielkościom faktycznym</w:t>
            </w:r>
            <w:r w:rsidR="00D73B63">
              <w:rPr>
                <w:noProof/>
                <w:webHidden/>
              </w:rPr>
              <w:tab/>
            </w:r>
            <w:r w:rsidR="00D73B63">
              <w:rPr>
                <w:noProof/>
                <w:webHidden/>
              </w:rPr>
              <w:fldChar w:fldCharType="begin"/>
            </w:r>
            <w:r w:rsidR="00D73B63">
              <w:rPr>
                <w:noProof/>
                <w:webHidden/>
              </w:rPr>
              <w:instrText xml:space="preserve"> PAGEREF _Toc428775841 \h </w:instrText>
            </w:r>
            <w:r w:rsidR="00D73B63">
              <w:rPr>
                <w:noProof/>
                <w:webHidden/>
              </w:rPr>
            </w:r>
            <w:r w:rsidR="00D73B63">
              <w:rPr>
                <w:noProof/>
                <w:webHidden/>
              </w:rPr>
              <w:fldChar w:fldCharType="separate"/>
            </w:r>
            <w:r w:rsidR="00D73B63">
              <w:rPr>
                <w:noProof/>
                <w:webHidden/>
              </w:rPr>
              <w:t>5</w:t>
            </w:r>
            <w:r w:rsidR="00D73B63">
              <w:rPr>
                <w:noProof/>
                <w:webHidden/>
              </w:rPr>
              <w:fldChar w:fldCharType="end"/>
            </w:r>
          </w:hyperlink>
        </w:p>
        <w:p w14:paraId="5F6E1B22" w14:textId="77777777" w:rsidR="00D73B63" w:rsidRDefault="002253E9">
          <w:pPr>
            <w:pStyle w:val="Spistreci2"/>
            <w:rPr>
              <w:rFonts w:eastAsiaTheme="minorEastAsia"/>
              <w:noProof/>
              <w:lang w:eastAsia="pl-PL"/>
            </w:rPr>
          </w:pPr>
          <w:hyperlink w:anchor="_Toc428775842" w:history="1">
            <w:r w:rsidR="00D73B63" w:rsidRPr="004F72F9">
              <w:rPr>
                <w:rStyle w:val="Hipercze"/>
                <w:b/>
                <w:noProof/>
              </w:rPr>
              <w:t>4.</w:t>
            </w:r>
            <w:r w:rsidR="00D73B63">
              <w:rPr>
                <w:rFonts w:eastAsiaTheme="minorEastAsia"/>
                <w:noProof/>
                <w:lang w:eastAsia="pl-PL"/>
              </w:rPr>
              <w:tab/>
            </w:r>
            <w:r w:rsidR="00D73B63" w:rsidRPr="004F72F9">
              <w:rPr>
                <w:rStyle w:val="Hipercze"/>
                <w:b/>
                <w:noProof/>
              </w:rPr>
              <w:t>Ryzyko nieprawidłowości rozliczenia podatku VAT w odniesieniu do nieściągalnych wierzytelności (tzw. ulga na „złe długi”)</w:t>
            </w:r>
            <w:r w:rsidR="00D73B63">
              <w:rPr>
                <w:noProof/>
                <w:webHidden/>
              </w:rPr>
              <w:tab/>
            </w:r>
            <w:r w:rsidR="00D73B63">
              <w:rPr>
                <w:noProof/>
                <w:webHidden/>
              </w:rPr>
              <w:fldChar w:fldCharType="begin"/>
            </w:r>
            <w:r w:rsidR="00D73B63">
              <w:rPr>
                <w:noProof/>
                <w:webHidden/>
              </w:rPr>
              <w:instrText xml:space="preserve"> PAGEREF _Toc428775842 \h </w:instrText>
            </w:r>
            <w:r w:rsidR="00D73B63">
              <w:rPr>
                <w:noProof/>
                <w:webHidden/>
              </w:rPr>
            </w:r>
            <w:r w:rsidR="00D73B63">
              <w:rPr>
                <w:noProof/>
                <w:webHidden/>
              </w:rPr>
              <w:fldChar w:fldCharType="separate"/>
            </w:r>
            <w:r w:rsidR="00D73B63">
              <w:rPr>
                <w:noProof/>
                <w:webHidden/>
              </w:rPr>
              <w:t>6</w:t>
            </w:r>
            <w:r w:rsidR="00D73B63">
              <w:rPr>
                <w:noProof/>
                <w:webHidden/>
              </w:rPr>
              <w:fldChar w:fldCharType="end"/>
            </w:r>
          </w:hyperlink>
        </w:p>
        <w:p w14:paraId="1E13DDAA" w14:textId="77777777" w:rsidR="00D73B63" w:rsidRDefault="002253E9">
          <w:pPr>
            <w:pStyle w:val="Spistreci2"/>
            <w:rPr>
              <w:rFonts w:eastAsiaTheme="minorEastAsia"/>
              <w:noProof/>
              <w:lang w:eastAsia="pl-PL"/>
            </w:rPr>
          </w:pPr>
          <w:hyperlink w:anchor="_Toc428775843" w:history="1">
            <w:r w:rsidR="00D73B63" w:rsidRPr="004F72F9">
              <w:rPr>
                <w:rStyle w:val="Hipercze"/>
                <w:b/>
                <w:noProof/>
              </w:rPr>
              <w:t>5.</w:t>
            </w:r>
            <w:r w:rsidR="00D73B63">
              <w:rPr>
                <w:rFonts w:eastAsiaTheme="minorEastAsia"/>
                <w:noProof/>
                <w:lang w:eastAsia="pl-PL"/>
              </w:rPr>
              <w:tab/>
            </w:r>
            <w:r w:rsidR="00D73B63" w:rsidRPr="004F72F9">
              <w:rPr>
                <w:rStyle w:val="Hipercze"/>
                <w:b/>
                <w:noProof/>
              </w:rPr>
              <w:t>Ryzyko zawyżenia kosztów uzyskania przychodów w prowadzonej działalności gospodarczej oraz podatku naliczonego związane z wykorzystaniem faktur, które nie dokumentują rzeczywistego przebiegu zdarzeń gospodarczych</w:t>
            </w:r>
            <w:r w:rsidR="00D73B63">
              <w:rPr>
                <w:noProof/>
                <w:webHidden/>
              </w:rPr>
              <w:tab/>
            </w:r>
            <w:r w:rsidR="00D73B63">
              <w:rPr>
                <w:noProof/>
                <w:webHidden/>
              </w:rPr>
              <w:fldChar w:fldCharType="begin"/>
            </w:r>
            <w:r w:rsidR="00D73B63">
              <w:rPr>
                <w:noProof/>
                <w:webHidden/>
              </w:rPr>
              <w:instrText xml:space="preserve"> PAGEREF _Toc428775843 \h </w:instrText>
            </w:r>
            <w:r w:rsidR="00D73B63">
              <w:rPr>
                <w:noProof/>
                <w:webHidden/>
              </w:rPr>
            </w:r>
            <w:r w:rsidR="00D73B63">
              <w:rPr>
                <w:noProof/>
                <w:webHidden/>
              </w:rPr>
              <w:fldChar w:fldCharType="separate"/>
            </w:r>
            <w:r w:rsidR="00D73B63">
              <w:rPr>
                <w:noProof/>
                <w:webHidden/>
              </w:rPr>
              <w:t>8</w:t>
            </w:r>
            <w:r w:rsidR="00D73B63">
              <w:rPr>
                <w:noProof/>
                <w:webHidden/>
              </w:rPr>
              <w:fldChar w:fldCharType="end"/>
            </w:r>
          </w:hyperlink>
        </w:p>
        <w:p w14:paraId="7B2B9553" w14:textId="77777777" w:rsidR="00D73B63" w:rsidRDefault="002253E9">
          <w:pPr>
            <w:pStyle w:val="Spistreci2"/>
            <w:rPr>
              <w:rFonts w:eastAsiaTheme="minorEastAsia"/>
              <w:noProof/>
              <w:lang w:eastAsia="pl-PL"/>
            </w:rPr>
          </w:pPr>
          <w:hyperlink w:anchor="_Toc428775844" w:history="1">
            <w:r w:rsidR="00D73B63" w:rsidRPr="004F72F9">
              <w:rPr>
                <w:rStyle w:val="Hipercze"/>
                <w:b/>
                <w:noProof/>
              </w:rPr>
              <w:t>6.</w:t>
            </w:r>
            <w:r w:rsidR="00D73B63">
              <w:rPr>
                <w:rFonts w:eastAsiaTheme="minorEastAsia"/>
                <w:noProof/>
                <w:lang w:eastAsia="pl-PL"/>
              </w:rPr>
              <w:tab/>
            </w:r>
            <w:r w:rsidR="00D73B63" w:rsidRPr="004F72F9">
              <w:rPr>
                <w:rStyle w:val="Hipercze"/>
                <w:b/>
                <w:noProof/>
              </w:rPr>
              <w:t>Ryzyko zawyżenia kosztów uzyskania przychodów w prowadzonej działalności gospodarczej oraz podatku naliczonego związane z wykorzystaniem faktur, które dotyczą kosztów niestanowiących kosztów uzyskania przychodów</w:t>
            </w:r>
            <w:r w:rsidR="00D73B63">
              <w:rPr>
                <w:noProof/>
                <w:webHidden/>
              </w:rPr>
              <w:tab/>
            </w:r>
            <w:r w:rsidR="00D73B63">
              <w:rPr>
                <w:noProof/>
                <w:webHidden/>
              </w:rPr>
              <w:fldChar w:fldCharType="begin"/>
            </w:r>
            <w:r w:rsidR="00D73B63">
              <w:rPr>
                <w:noProof/>
                <w:webHidden/>
              </w:rPr>
              <w:instrText xml:space="preserve"> PAGEREF _Toc428775844 \h </w:instrText>
            </w:r>
            <w:r w:rsidR="00D73B63">
              <w:rPr>
                <w:noProof/>
                <w:webHidden/>
              </w:rPr>
            </w:r>
            <w:r w:rsidR="00D73B63">
              <w:rPr>
                <w:noProof/>
                <w:webHidden/>
              </w:rPr>
              <w:fldChar w:fldCharType="separate"/>
            </w:r>
            <w:r w:rsidR="00D73B63">
              <w:rPr>
                <w:noProof/>
                <w:webHidden/>
              </w:rPr>
              <w:t>11</w:t>
            </w:r>
            <w:r w:rsidR="00D73B63">
              <w:rPr>
                <w:noProof/>
                <w:webHidden/>
              </w:rPr>
              <w:fldChar w:fldCharType="end"/>
            </w:r>
          </w:hyperlink>
        </w:p>
        <w:p w14:paraId="520C97CC" w14:textId="77777777" w:rsidR="00D73B63" w:rsidRDefault="002253E9">
          <w:pPr>
            <w:pStyle w:val="Spistreci2"/>
            <w:rPr>
              <w:rFonts w:eastAsiaTheme="minorEastAsia"/>
              <w:noProof/>
              <w:lang w:eastAsia="pl-PL"/>
            </w:rPr>
          </w:pPr>
          <w:hyperlink w:anchor="_Toc428775845" w:history="1">
            <w:r w:rsidR="00D73B63" w:rsidRPr="004F72F9">
              <w:rPr>
                <w:rStyle w:val="Hipercze"/>
                <w:b/>
                <w:noProof/>
              </w:rPr>
              <w:t>7.</w:t>
            </w:r>
            <w:r w:rsidR="00D73B63">
              <w:rPr>
                <w:rFonts w:eastAsiaTheme="minorEastAsia"/>
                <w:noProof/>
                <w:lang w:eastAsia="pl-PL"/>
              </w:rPr>
              <w:tab/>
            </w:r>
            <w:r w:rsidR="00D73B63" w:rsidRPr="004F72F9">
              <w:rPr>
                <w:rStyle w:val="Hipercze"/>
                <w:b/>
                <w:noProof/>
              </w:rPr>
              <w:t>Ryzyko narażenia budżetu państwa na straty w wyniku uczestnictwa podmiotów w transakcjach karuzelowych</w:t>
            </w:r>
            <w:r w:rsidR="00D73B63">
              <w:rPr>
                <w:noProof/>
                <w:webHidden/>
              </w:rPr>
              <w:tab/>
            </w:r>
            <w:r w:rsidR="00D73B63">
              <w:rPr>
                <w:noProof/>
                <w:webHidden/>
              </w:rPr>
              <w:fldChar w:fldCharType="begin"/>
            </w:r>
            <w:r w:rsidR="00D73B63">
              <w:rPr>
                <w:noProof/>
                <w:webHidden/>
              </w:rPr>
              <w:instrText xml:space="preserve"> PAGEREF _Toc428775845 \h </w:instrText>
            </w:r>
            <w:r w:rsidR="00D73B63">
              <w:rPr>
                <w:noProof/>
                <w:webHidden/>
              </w:rPr>
            </w:r>
            <w:r w:rsidR="00D73B63">
              <w:rPr>
                <w:noProof/>
                <w:webHidden/>
              </w:rPr>
              <w:fldChar w:fldCharType="separate"/>
            </w:r>
            <w:r w:rsidR="00D73B63">
              <w:rPr>
                <w:noProof/>
                <w:webHidden/>
              </w:rPr>
              <w:t>13</w:t>
            </w:r>
            <w:r w:rsidR="00D73B63">
              <w:rPr>
                <w:noProof/>
                <w:webHidden/>
              </w:rPr>
              <w:fldChar w:fldCharType="end"/>
            </w:r>
          </w:hyperlink>
        </w:p>
        <w:p w14:paraId="482856AF" w14:textId="77777777" w:rsidR="00D73B63" w:rsidRDefault="002253E9">
          <w:pPr>
            <w:pStyle w:val="Spistreci2"/>
            <w:rPr>
              <w:rFonts w:eastAsiaTheme="minorEastAsia"/>
              <w:noProof/>
              <w:lang w:eastAsia="pl-PL"/>
            </w:rPr>
          </w:pPr>
          <w:hyperlink w:anchor="_Toc428775846" w:history="1">
            <w:r w:rsidR="00D73B63" w:rsidRPr="004F72F9">
              <w:rPr>
                <w:rStyle w:val="Hipercze"/>
                <w:b/>
                <w:noProof/>
              </w:rPr>
              <w:t>8.</w:t>
            </w:r>
            <w:r w:rsidR="00D73B63">
              <w:rPr>
                <w:rFonts w:eastAsiaTheme="minorEastAsia"/>
                <w:noProof/>
                <w:lang w:eastAsia="pl-PL"/>
              </w:rPr>
              <w:tab/>
            </w:r>
            <w:r w:rsidR="00D73B63" w:rsidRPr="004F72F9">
              <w:rPr>
                <w:rStyle w:val="Hipercze"/>
                <w:b/>
                <w:noProof/>
              </w:rPr>
              <w:t>Ryzyko niezrealizowania lub nieterminowanego realizowania obowiązków związanych z zapłatą podatku lub zaliczki na podatek</w:t>
            </w:r>
            <w:r w:rsidR="00D73B63">
              <w:rPr>
                <w:noProof/>
                <w:webHidden/>
              </w:rPr>
              <w:tab/>
            </w:r>
            <w:r w:rsidR="00D73B63">
              <w:rPr>
                <w:noProof/>
                <w:webHidden/>
              </w:rPr>
              <w:fldChar w:fldCharType="begin"/>
            </w:r>
            <w:r w:rsidR="00D73B63">
              <w:rPr>
                <w:noProof/>
                <w:webHidden/>
              </w:rPr>
              <w:instrText xml:space="preserve"> PAGEREF _Toc428775846 \h </w:instrText>
            </w:r>
            <w:r w:rsidR="00D73B63">
              <w:rPr>
                <w:noProof/>
                <w:webHidden/>
              </w:rPr>
            </w:r>
            <w:r w:rsidR="00D73B63">
              <w:rPr>
                <w:noProof/>
                <w:webHidden/>
              </w:rPr>
              <w:fldChar w:fldCharType="separate"/>
            </w:r>
            <w:r w:rsidR="00D73B63">
              <w:rPr>
                <w:noProof/>
                <w:webHidden/>
              </w:rPr>
              <w:t>18</w:t>
            </w:r>
            <w:r w:rsidR="00D73B63">
              <w:rPr>
                <w:noProof/>
                <w:webHidden/>
              </w:rPr>
              <w:fldChar w:fldCharType="end"/>
            </w:r>
          </w:hyperlink>
        </w:p>
        <w:p w14:paraId="4E924ECA" w14:textId="37435276" w:rsidR="00D73B63" w:rsidRDefault="002253E9">
          <w:pPr>
            <w:pStyle w:val="Spistreci2"/>
            <w:rPr>
              <w:rFonts w:eastAsiaTheme="minorEastAsia"/>
              <w:noProof/>
              <w:lang w:eastAsia="pl-PL"/>
            </w:rPr>
          </w:pPr>
          <w:hyperlink w:anchor="_Toc428775847" w:history="1">
            <w:r w:rsidR="00D73B63" w:rsidRPr="004F72F9">
              <w:rPr>
                <w:rStyle w:val="Hipercze"/>
                <w:b/>
                <w:noProof/>
              </w:rPr>
              <w:t>9.</w:t>
            </w:r>
            <w:r w:rsidR="00D73B63">
              <w:rPr>
                <w:rFonts w:eastAsiaTheme="minorEastAsia"/>
                <w:noProof/>
                <w:lang w:eastAsia="pl-PL"/>
              </w:rPr>
              <w:tab/>
            </w:r>
            <w:r w:rsidR="00D73B63" w:rsidRPr="004F72F9">
              <w:rPr>
                <w:rStyle w:val="Hipercze"/>
                <w:b/>
                <w:noProof/>
              </w:rPr>
              <w:t>Ryzyko niewywiązywania się z obowiązku płatnika podatku dochodowego od osób fizycznych</w:t>
            </w:r>
            <w:r w:rsidR="00D73B63">
              <w:rPr>
                <w:noProof/>
                <w:webHidden/>
              </w:rPr>
              <w:tab/>
            </w:r>
            <w:r w:rsidR="00D73B63">
              <w:rPr>
                <w:noProof/>
                <w:webHidden/>
              </w:rPr>
              <w:tab/>
            </w:r>
            <w:r w:rsidR="00D73B63">
              <w:rPr>
                <w:noProof/>
                <w:webHidden/>
              </w:rPr>
              <w:fldChar w:fldCharType="begin"/>
            </w:r>
            <w:r w:rsidR="00D73B63">
              <w:rPr>
                <w:noProof/>
                <w:webHidden/>
              </w:rPr>
              <w:instrText xml:space="preserve"> PAGEREF _Toc428775847 \h </w:instrText>
            </w:r>
            <w:r w:rsidR="00D73B63">
              <w:rPr>
                <w:noProof/>
                <w:webHidden/>
              </w:rPr>
            </w:r>
            <w:r w:rsidR="00D73B63">
              <w:rPr>
                <w:noProof/>
                <w:webHidden/>
              </w:rPr>
              <w:fldChar w:fldCharType="separate"/>
            </w:r>
            <w:r w:rsidR="00D73B63">
              <w:rPr>
                <w:noProof/>
                <w:webHidden/>
              </w:rPr>
              <w:t>21</w:t>
            </w:r>
            <w:r w:rsidR="00D73B63">
              <w:rPr>
                <w:noProof/>
                <w:webHidden/>
              </w:rPr>
              <w:fldChar w:fldCharType="end"/>
            </w:r>
          </w:hyperlink>
        </w:p>
        <w:p w14:paraId="5DE585B4" w14:textId="77777777" w:rsidR="00D73B63" w:rsidRDefault="002253E9">
          <w:pPr>
            <w:pStyle w:val="Spistreci2"/>
            <w:rPr>
              <w:rFonts w:eastAsiaTheme="minorEastAsia"/>
              <w:noProof/>
              <w:lang w:eastAsia="pl-PL"/>
            </w:rPr>
          </w:pPr>
          <w:hyperlink w:anchor="_Toc428775848" w:history="1">
            <w:r w:rsidR="00D73B63" w:rsidRPr="004F72F9">
              <w:rPr>
                <w:rStyle w:val="Hipercze"/>
                <w:b/>
                <w:noProof/>
              </w:rPr>
              <w:t>10.</w:t>
            </w:r>
            <w:r w:rsidR="00D73B63">
              <w:rPr>
                <w:rFonts w:eastAsiaTheme="minorEastAsia"/>
                <w:noProof/>
                <w:lang w:eastAsia="pl-PL"/>
              </w:rPr>
              <w:tab/>
            </w:r>
            <w:r w:rsidR="00D73B63" w:rsidRPr="004F72F9">
              <w:rPr>
                <w:rStyle w:val="Hipercze"/>
                <w:b/>
                <w:noProof/>
              </w:rPr>
              <w:t>Ryzyko opodatkowania sprzedaży usług według niewłaściwych stawek, w tym również poprzez błędne kwalifikowanie transakcji jako usługa zamiast obrót towarem</w:t>
            </w:r>
            <w:r w:rsidR="00D73B63">
              <w:rPr>
                <w:noProof/>
                <w:webHidden/>
              </w:rPr>
              <w:tab/>
            </w:r>
            <w:r w:rsidR="00D73B63">
              <w:rPr>
                <w:noProof/>
                <w:webHidden/>
              </w:rPr>
              <w:fldChar w:fldCharType="begin"/>
            </w:r>
            <w:r w:rsidR="00D73B63">
              <w:rPr>
                <w:noProof/>
                <w:webHidden/>
              </w:rPr>
              <w:instrText xml:space="preserve"> PAGEREF _Toc428775848 \h </w:instrText>
            </w:r>
            <w:r w:rsidR="00D73B63">
              <w:rPr>
                <w:noProof/>
                <w:webHidden/>
              </w:rPr>
            </w:r>
            <w:r w:rsidR="00D73B63">
              <w:rPr>
                <w:noProof/>
                <w:webHidden/>
              </w:rPr>
              <w:fldChar w:fldCharType="separate"/>
            </w:r>
            <w:r w:rsidR="00D73B63">
              <w:rPr>
                <w:noProof/>
                <w:webHidden/>
              </w:rPr>
              <w:t>22</w:t>
            </w:r>
            <w:r w:rsidR="00D73B63">
              <w:rPr>
                <w:noProof/>
                <w:webHidden/>
              </w:rPr>
              <w:fldChar w:fldCharType="end"/>
            </w:r>
          </w:hyperlink>
        </w:p>
        <w:p w14:paraId="494740ED" w14:textId="77777777" w:rsidR="00D73B63" w:rsidRDefault="002253E9">
          <w:pPr>
            <w:pStyle w:val="Spistreci2"/>
            <w:rPr>
              <w:rFonts w:eastAsiaTheme="minorEastAsia"/>
              <w:noProof/>
              <w:lang w:eastAsia="pl-PL"/>
            </w:rPr>
          </w:pPr>
          <w:hyperlink w:anchor="_Toc428775849" w:history="1">
            <w:r w:rsidR="00D73B63" w:rsidRPr="004F72F9">
              <w:rPr>
                <w:rStyle w:val="Hipercze"/>
                <w:b/>
                <w:noProof/>
              </w:rPr>
              <w:t>11.</w:t>
            </w:r>
            <w:r w:rsidR="00D73B63">
              <w:rPr>
                <w:rFonts w:eastAsiaTheme="minorEastAsia"/>
                <w:noProof/>
                <w:lang w:eastAsia="pl-PL"/>
              </w:rPr>
              <w:tab/>
            </w:r>
            <w:r w:rsidR="00D73B63" w:rsidRPr="004F72F9">
              <w:rPr>
                <w:rStyle w:val="Hipercze"/>
                <w:b/>
                <w:noProof/>
              </w:rPr>
              <w:t>Ryzyko dokonywania pozornych transakcji celem generowania fikcyjnych kosztów uzyskania przychodu oraz podatku naliczonego innym podmiotom, w tym w celu wyłudzenia zwrotu podatku od towarów i usług</w:t>
            </w:r>
            <w:r w:rsidR="00D73B63">
              <w:rPr>
                <w:noProof/>
                <w:webHidden/>
              </w:rPr>
              <w:tab/>
            </w:r>
            <w:r w:rsidR="00D73B63">
              <w:rPr>
                <w:noProof/>
                <w:webHidden/>
              </w:rPr>
              <w:fldChar w:fldCharType="begin"/>
            </w:r>
            <w:r w:rsidR="00D73B63">
              <w:rPr>
                <w:noProof/>
                <w:webHidden/>
              </w:rPr>
              <w:instrText xml:space="preserve"> PAGEREF _Toc428775849 \h </w:instrText>
            </w:r>
            <w:r w:rsidR="00D73B63">
              <w:rPr>
                <w:noProof/>
                <w:webHidden/>
              </w:rPr>
            </w:r>
            <w:r w:rsidR="00D73B63">
              <w:rPr>
                <w:noProof/>
                <w:webHidden/>
              </w:rPr>
              <w:fldChar w:fldCharType="separate"/>
            </w:r>
            <w:r w:rsidR="00D73B63">
              <w:rPr>
                <w:noProof/>
                <w:webHidden/>
              </w:rPr>
              <w:t>24</w:t>
            </w:r>
            <w:r w:rsidR="00D73B63">
              <w:rPr>
                <w:noProof/>
                <w:webHidden/>
              </w:rPr>
              <w:fldChar w:fldCharType="end"/>
            </w:r>
          </w:hyperlink>
        </w:p>
        <w:p w14:paraId="4D92AB93" w14:textId="77777777" w:rsidR="00D73B63" w:rsidRDefault="002253E9">
          <w:pPr>
            <w:pStyle w:val="Spistreci2"/>
            <w:rPr>
              <w:rFonts w:eastAsiaTheme="minorEastAsia"/>
              <w:noProof/>
              <w:lang w:eastAsia="pl-PL"/>
            </w:rPr>
          </w:pPr>
          <w:hyperlink w:anchor="_Toc428775850" w:history="1">
            <w:r w:rsidR="00D73B63" w:rsidRPr="004F72F9">
              <w:rPr>
                <w:rStyle w:val="Hipercze"/>
                <w:b/>
                <w:noProof/>
              </w:rPr>
              <w:t>12.</w:t>
            </w:r>
            <w:r w:rsidR="00D73B63">
              <w:rPr>
                <w:rFonts w:eastAsiaTheme="minorEastAsia"/>
                <w:noProof/>
                <w:lang w:eastAsia="pl-PL"/>
              </w:rPr>
              <w:tab/>
            </w:r>
            <w:r w:rsidR="00D73B63" w:rsidRPr="004F72F9">
              <w:rPr>
                <w:rStyle w:val="Hipercze"/>
                <w:b/>
                <w:noProof/>
              </w:rPr>
              <w:t>Ryzyko błędnego stosowania zryczałtowanej formy opodatkowania</w:t>
            </w:r>
            <w:r w:rsidR="00D73B63">
              <w:rPr>
                <w:noProof/>
                <w:webHidden/>
              </w:rPr>
              <w:tab/>
            </w:r>
            <w:r w:rsidR="00D73B63">
              <w:rPr>
                <w:noProof/>
                <w:webHidden/>
              </w:rPr>
              <w:fldChar w:fldCharType="begin"/>
            </w:r>
            <w:r w:rsidR="00D73B63">
              <w:rPr>
                <w:noProof/>
                <w:webHidden/>
              </w:rPr>
              <w:instrText xml:space="preserve"> PAGEREF _Toc428775850 \h </w:instrText>
            </w:r>
            <w:r w:rsidR="00D73B63">
              <w:rPr>
                <w:noProof/>
                <w:webHidden/>
              </w:rPr>
            </w:r>
            <w:r w:rsidR="00D73B63">
              <w:rPr>
                <w:noProof/>
                <w:webHidden/>
              </w:rPr>
              <w:fldChar w:fldCharType="separate"/>
            </w:r>
            <w:r w:rsidR="00D73B63">
              <w:rPr>
                <w:noProof/>
                <w:webHidden/>
              </w:rPr>
              <w:t>25</w:t>
            </w:r>
            <w:r w:rsidR="00D73B63">
              <w:rPr>
                <w:noProof/>
                <w:webHidden/>
              </w:rPr>
              <w:fldChar w:fldCharType="end"/>
            </w:r>
          </w:hyperlink>
        </w:p>
        <w:p w14:paraId="0ECCFA53" w14:textId="77777777" w:rsidR="00D73B63" w:rsidRDefault="002253E9">
          <w:pPr>
            <w:pStyle w:val="Spistreci2"/>
            <w:rPr>
              <w:rFonts w:eastAsiaTheme="minorEastAsia"/>
              <w:noProof/>
              <w:lang w:eastAsia="pl-PL"/>
            </w:rPr>
          </w:pPr>
          <w:hyperlink w:anchor="_Toc428775851" w:history="1">
            <w:r w:rsidR="00D73B63" w:rsidRPr="004F72F9">
              <w:rPr>
                <w:rStyle w:val="Hipercze"/>
                <w:b/>
                <w:noProof/>
              </w:rPr>
              <w:t>13.</w:t>
            </w:r>
            <w:r w:rsidR="00D73B63">
              <w:rPr>
                <w:rFonts w:eastAsiaTheme="minorEastAsia"/>
                <w:noProof/>
                <w:lang w:eastAsia="pl-PL"/>
              </w:rPr>
              <w:tab/>
            </w:r>
            <w:r w:rsidR="00D73B63" w:rsidRPr="004F72F9">
              <w:rPr>
                <w:rStyle w:val="Hipercze"/>
                <w:b/>
                <w:noProof/>
              </w:rPr>
              <w:t>Ryzyko wykorzystywania specjalnie do tego stworzonej sieci podmiotów powiązanych celem obniżenia zobowiązań podatkowych</w:t>
            </w:r>
            <w:r w:rsidR="00D73B63">
              <w:rPr>
                <w:noProof/>
                <w:webHidden/>
              </w:rPr>
              <w:tab/>
            </w:r>
            <w:r w:rsidR="00D73B63">
              <w:rPr>
                <w:noProof/>
                <w:webHidden/>
              </w:rPr>
              <w:fldChar w:fldCharType="begin"/>
            </w:r>
            <w:r w:rsidR="00D73B63">
              <w:rPr>
                <w:noProof/>
                <w:webHidden/>
              </w:rPr>
              <w:instrText xml:space="preserve"> PAGEREF _Toc428775851 \h </w:instrText>
            </w:r>
            <w:r w:rsidR="00D73B63">
              <w:rPr>
                <w:noProof/>
                <w:webHidden/>
              </w:rPr>
            </w:r>
            <w:r w:rsidR="00D73B63">
              <w:rPr>
                <w:noProof/>
                <w:webHidden/>
              </w:rPr>
              <w:fldChar w:fldCharType="separate"/>
            </w:r>
            <w:r w:rsidR="00D73B63">
              <w:rPr>
                <w:noProof/>
                <w:webHidden/>
              </w:rPr>
              <w:t>26</w:t>
            </w:r>
            <w:r w:rsidR="00D73B63">
              <w:rPr>
                <w:noProof/>
                <w:webHidden/>
              </w:rPr>
              <w:fldChar w:fldCharType="end"/>
            </w:r>
          </w:hyperlink>
        </w:p>
        <w:p w14:paraId="68AC0669" w14:textId="77777777" w:rsidR="00D73B63" w:rsidRDefault="002253E9">
          <w:pPr>
            <w:pStyle w:val="Spistreci2"/>
            <w:rPr>
              <w:rFonts w:eastAsiaTheme="minorEastAsia"/>
              <w:noProof/>
              <w:lang w:eastAsia="pl-PL"/>
            </w:rPr>
          </w:pPr>
          <w:hyperlink w:anchor="_Toc428775852" w:history="1">
            <w:r w:rsidR="00D73B63" w:rsidRPr="004F72F9">
              <w:rPr>
                <w:rStyle w:val="Hipercze"/>
                <w:b/>
                <w:noProof/>
              </w:rPr>
              <w:t>14.</w:t>
            </w:r>
            <w:r w:rsidR="00D73B63">
              <w:rPr>
                <w:rFonts w:eastAsiaTheme="minorEastAsia"/>
                <w:noProof/>
                <w:lang w:eastAsia="pl-PL"/>
              </w:rPr>
              <w:tab/>
            </w:r>
            <w:r w:rsidR="00D73B63" w:rsidRPr="004F72F9">
              <w:rPr>
                <w:rStyle w:val="Hipercze"/>
                <w:b/>
                <w:noProof/>
              </w:rPr>
              <w:t>Ryzyko prowadzenia niezarejestrowanej działalności gospodarczej</w:t>
            </w:r>
            <w:r w:rsidR="00D73B63">
              <w:rPr>
                <w:noProof/>
                <w:webHidden/>
              </w:rPr>
              <w:tab/>
            </w:r>
            <w:r w:rsidR="00D73B63">
              <w:rPr>
                <w:noProof/>
                <w:webHidden/>
              </w:rPr>
              <w:fldChar w:fldCharType="begin"/>
            </w:r>
            <w:r w:rsidR="00D73B63">
              <w:rPr>
                <w:noProof/>
                <w:webHidden/>
              </w:rPr>
              <w:instrText xml:space="preserve"> PAGEREF _Toc428775852 \h </w:instrText>
            </w:r>
            <w:r w:rsidR="00D73B63">
              <w:rPr>
                <w:noProof/>
                <w:webHidden/>
              </w:rPr>
            </w:r>
            <w:r w:rsidR="00D73B63">
              <w:rPr>
                <w:noProof/>
                <w:webHidden/>
              </w:rPr>
              <w:fldChar w:fldCharType="separate"/>
            </w:r>
            <w:r w:rsidR="00D73B63">
              <w:rPr>
                <w:noProof/>
                <w:webHidden/>
              </w:rPr>
              <w:t>27</w:t>
            </w:r>
            <w:r w:rsidR="00D73B63">
              <w:rPr>
                <w:noProof/>
                <w:webHidden/>
              </w:rPr>
              <w:fldChar w:fldCharType="end"/>
            </w:r>
          </w:hyperlink>
        </w:p>
        <w:p w14:paraId="6D0303D0" w14:textId="451E9292" w:rsidR="00B51D38" w:rsidRDefault="00B51D38" w:rsidP="00F65683">
          <w:pPr>
            <w:spacing w:line="240" w:lineRule="auto"/>
          </w:pPr>
          <w:r>
            <w:rPr>
              <w:b/>
              <w:bCs/>
            </w:rPr>
            <w:fldChar w:fldCharType="end"/>
          </w:r>
        </w:p>
      </w:sdtContent>
    </w:sdt>
    <w:p w14:paraId="6BE32811" w14:textId="77777777" w:rsidR="00B966B9" w:rsidRDefault="00B966B9" w:rsidP="00F65683">
      <w:pPr>
        <w:spacing w:line="240" w:lineRule="auto"/>
      </w:pPr>
      <w:r>
        <w:br w:type="page"/>
      </w:r>
    </w:p>
    <w:p w14:paraId="04851462" w14:textId="17FC324A" w:rsidR="00E95D2B" w:rsidRPr="007818AE" w:rsidRDefault="00B966B9" w:rsidP="00F65683">
      <w:pPr>
        <w:pStyle w:val="Nagwek2"/>
        <w:numPr>
          <w:ilvl w:val="0"/>
          <w:numId w:val="2"/>
        </w:numPr>
        <w:spacing w:after="120" w:line="240" w:lineRule="auto"/>
        <w:jc w:val="both"/>
        <w:rPr>
          <w:b/>
        </w:rPr>
      </w:pPr>
      <w:bookmarkStart w:id="9" w:name="_Toc428775839"/>
      <w:r w:rsidRPr="007818AE">
        <w:rPr>
          <w:b/>
        </w:rPr>
        <w:lastRenderedPageBreak/>
        <w:t>Ryzyko niezrealizowania zobowiązań podatkowych w pełnej wysokości w związku z niewykazywaniem do opodatkowania obrotu/przychodów z wystawionych rachunków/faktur VAT przez podmioty posiadające zarejestrowaną działalność gospodarczą</w:t>
      </w:r>
      <w:bookmarkEnd w:id="9"/>
    </w:p>
    <w:p w14:paraId="006B9EFD" w14:textId="77777777" w:rsidR="00B966B9" w:rsidRPr="00BC7B7A" w:rsidRDefault="00B966B9" w:rsidP="00F65683">
      <w:pPr>
        <w:spacing w:after="0" w:line="240" w:lineRule="auto"/>
        <w:jc w:val="both"/>
        <w:rPr>
          <w:rFonts w:ascii="Times New Roman" w:hAnsi="Times New Roman" w:cs="Times New Roman"/>
          <w:sz w:val="24"/>
          <w:szCs w:val="24"/>
        </w:rPr>
      </w:pPr>
      <w:r w:rsidRPr="00763D70">
        <w:rPr>
          <w:rFonts w:ascii="Times New Roman" w:hAnsi="Times New Roman" w:cs="Times New Roman"/>
          <w:sz w:val="24"/>
          <w:szCs w:val="24"/>
        </w:rPr>
        <w:t>Ryzyko to</w:t>
      </w:r>
      <w:r w:rsidRPr="00763D70">
        <w:rPr>
          <w:rFonts w:ascii="Times New Roman" w:hAnsi="Times New Roman" w:cs="Times New Roman"/>
          <w:b/>
          <w:sz w:val="24"/>
          <w:szCs w:val="24"/>
        </w:rPr>
        <w:t xml:space="preserve"> </w:t>
      </w:r>
      <w:r w:rsidRPr="00763D70">
        <w:rPr>
          <w:rFonts w:ascii="Times New Roman" w:hAnsi="Times New Roman" w:cs="Times New Roman"/>
          <w:sz w:val="24"/>
          <w:szCs w:val="24"/>
        </w:rPr>
        <w:t xml:space="preserve">występuje </w:t>
      </w:r>
      <w:r w:rsidRPr="00BC7B7A">
        <w:rPr>
          <w:rFonts w:ascii="Times New Roman" w:hAnsi="Times New Roman" w:cs="Times New Roman"/>
          <w:sz w:val="24"/>
          <w:szCs w:val="24"/>
        </w:rPr>
        <w:t>w szczególności w podobszar</w:t>
      </w:r>
      <w:r>
        <w:rPr>
          <w:rFonts w:ascii="Times New Roman" w:hAnsi="Times New Roman" w:cs="Times New Roman"/>
          <w:sz w:val="24"/>
          <w:szCs w:val="24"/>
        </w:rPr>
        <w:t>ach</w:t>
      </w:r>
      <w:r w:rsidRPr="00BC7B7A">
        <w:rPr>
          <w:rFonts w:ascii="Times New Roman" w:hAnsi="Times New Roman" w:cs="Times New Roman"/>
          <w:sz w:val="24"/>
          <w:szCs w:val="24"/>
        </w:rPr>
        <w:t>:</w:t>
      </w:r>
    </w:p>
    <w:p w14:paraId="3BBF09E8" w14:textId="6951DBBE"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Doradztwo oraz inne usługi niematerialne,</w:t>
      </w:r>
    </w:p>
    <w:p w14:paraId="2AEBD363" w14:textId="239DC6F0"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Handel hurtowy pozostały,</w:t>
      </w:r>
    </w:p>
    <w:p w14:paraId="3419548F" w14:textId="63746887"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E</w:t>
      </w:r>
      <w:r w:rsidR="00D262D8" w:rsidRPr="00BF65D2">
        <w:rPr>
          <w:rFonts w:ascii="Times New Roman" w:hAnsi="Times New Roman" w:cs="Times New Roman"/>
          <w:i/>
          <w:sz w:val="24"/>
          <w:szCs w:val="24"/>
        </w:rPr>
        <w:t>-</w:t>
      </w:r>
      <w:r w:rsidRPr="00BF65D2">
        <w:rPr>
          <w:rFonts w:ascii="Times New Roman" w:hAnsi="Times New Roman" w:cs="Times New Roman"/>
          <w:i/>
          <w:sz w:val="24"/>
          <w:szCs w:val="24"/>
        </w:rPr>
        <w:t>handel i usługi informatyczne,</w:t>
      </w:r>
    </w:p>
    <w:p w14:paraId="4ACDB263" w14:textId="0212F0D7"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Handel produktami spożywczymi i tytoniem,</w:t>
      </w:r>
    </w:p>
    <w:p w14:paraId="504161E5" w14:textId="53421F56"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Nieruchomości,</w:t>
      </w:r>
    </w:p>
    <w:p w14:paraId="7755778A" w14:textId="14DDA778"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 xml:space="preserve">Motoryzacja, </w:t>
      </w:r>
    </w:p>
    <w:p w14:paraId="24D7D1CF" w14:textId="24E67AAB"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Paliwa,</w:t>
      </w:r>
    </w:p>
    <w:p w14:paraId="0698C29A" w14:textId="5007C924"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Opieka zdrowotna (w tym praktyka lekarska i pozostałe usługi medyczne),</w:t>
      </w:r>
    </w:p>
    <w:p w14:paraId="2D6E3D9A" w14:textId="32FC3ABE"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Produkcja i obrót metalami i produktami metalowymi,</w:t>
      </w:r>
    </w:p>
    <w:p w14:paraId="793E0480" w14:textId="1DD3FF81"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Produkcja materiałów budowlanych i usługi budowlane,</w:t>
      </w:r>
    </w:p>
    <w:p w14:paraId="5B3F8E3F" w14:textId="6BA220BA"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Transport i logistyka,</w:t>
      </w:r>
    </w:p>
    <w:p w14:paraId="3040E885" w14:textId="1959F6AF" w:rsidR="00B966B9" w:rsidRPr="00BF65D2" w:rsidRDefault="00B966B9" w:rsidP="00F65683">
      <w:pPr>
        <w:pStyle w:val="Akapitzlist"/>
        <w:numPr>
          <w:ilvl w:val="0"/>
          <w:numId w:val="27"/>
        </w:numPr>
        <w:spacing w:line="240" w:lineRule="auto"/>
        <w:jc w:val="both"/>
        <w:rPr>
          <w:rFonts w:ascii="Times New Roman" w:hAnsi="Times New Roman" w:cs="Times New Roman"/>
          <w:i/>
          <w:sz w:val="24"/>
          <w:szCs w:val="24"/>
        </w:rPr>
      </w:pPr>
      <w:r w:rsidRPr="00BF65D2">
        <w:rPr>
          <w:rFonts w:ascii="Times New Roman" w:hAnsi="Times New Roman" w:cs="Times New Roman"/>
          <w:i/>
          <w:sz w:val="24"/>
          <w:szCs w:val="24"/>
        </w:rPr>
        <w:t>Usługi finansowe i ubezpieczeniowe.</w:t>
      </w:r>
    </w:p>
    <w:p w14:paraId="6D39EEC3" w14:textId="33B5FADB" w:rsidR="00BF65D2" w:rsidRPr="00713F4B" w:rsidRDefault="00BF65D2" w:rsidP="00F65683">
      <w:pPr>
        <w:spacing w:after="0" w:line="240" w:lineRule="auto"/>
        <w:ind w:left="360"/>
        <w:jc w:val="both"/>
        <w:rPr>
          <w:rFonts w:ascii="Times New Roman" w:hAnsi="Times New Roman" w:cs="Times New Roman"/>
          <w:sz w:val="24"/>
          <w:szCs w:val="24"/>
        </w:rPr>
      </w:pPr>
      <w:r w:rsidRPr="00713F4B">
        <w:rPr>
          <w:rFonts w:ascii="Times New Roman" w:hAnsi="Times New Roman" w:cs="Times New Roman"/>
          <w:sz w:val="24"/>
          <w:szCs w:val="24"/>
        </w:rPr>
        <w:t>Nieprawidłowości w tym ryzyku rodzą negatywne skutki podatkowe w postaci obniżenia faktycznej wysokości zobowiązania podatkowego polegające na nieewidencjonowaniu w urządzeniach księgowych, a przez to nieopodatkowani</w:t>
      </w:r>
      <w:r w:rsidR="000D3B51">
        <w:rPr>
          <w:rFonts w:ascii="Times New Roman" w:hAnsi="Times New Roman" w:cs="Times New Roman"/>
          <w:sz w:val="24"/>
          <w:szCs w:val="24"/>
        </w:rPr>
        <w:t>u</w:t>
      </w:r>
      <w:r w:rsidRPr="00713F4B">
        <w:rPr>
          <w:rFonts w:ascii="Times New Roman" w:hAnsi="Times New Roman" w:cs="Times New Roman"/>
          <w:sz w:val="24"/>
          <w:szCs w:val="24"/>
        </w:rPr>
        <w:t xml:space="preserve"> rzeczywiście osiąganych przychodów. Główny wariant tego działania </w:t>
      </w:r>
      <w:r w:rsidR="000D3B51">
        <w:rPr>
          <w:rFonts w:ascii="Times New Roman" w:hAnsi="Times New Roman" w:cs="Times New Roman"/>
          <w:sz w:val="24"/>
          <w:szCs w:val="24"/>
        </w:rPr>
        <w:t>polega na</w:t>
      </w:r>
      <w:r w:rsidRPr="00713F4B">
        <w:rPr>
          <w:rFonts w:ascii="Times New Roman" w:hAnsi="Times New Roman" w:cs="Times New Roman"/>
          <w:sz w:val="24"/>
          <w:szCs w:val="24"/>
        </w:rPr>
        <w:t xml:space="preserve"> wystawi</w:t>
      </w:r>
      <w:r w:rsidR="000D3B51">
        <w:rPr>
          <w:rFonts w:ascii="Times New Roman" w:hAnsi="Times New Roman" w:cs="Times New Roman"/>
          <w:sz w:val="24"/>
          <w:szCs w:val="24"/>
        </w:rPr>
        <w:t>a</w:t>
      </w:r>
      <w:r w:rsidRPr="00713F4B">
        <w:rPr>
          <w:rFonts w:ascii="Times New Roman" w:hAnsi="Times New Roman" w:cs="Times New Roman"/>
          <w:sz w:val="24"/>
          <w:szCs w:val="24"/>
        </w:rPr>
        <w:t>ni</w:t>
      </w:r>
      <w:r w:rsidR="000D3B51">
        <w:rPr>
          <w:rFonts w:ascii="Times New Roman" w:hAnsi="Times New Roman" w:cs="Times New Roman"/>
          <w:sz w:val="24"/>
          <w:szCs w:val="24"/>
        </w:rPr>
        <w:t>u</w:t>
      </w:r>
      <w:r w:rsidRPr="00713F4B">
        <w:rPr>
          <w:rFonts w:ascii="Times New Roman" w:hAnsi="Times New Roman" w:cs="Times New Roman"/>
          <w:sz w:val="24"/>
          <w:szCs w:val="24"/>
        </w:rPr>
        <w:t xml:space="preserve"> faktury prz</w:t>
      </w:r>
      <w:r w:rsidR="000D3B51">
        <w:rPr>
          <w:rFonts w:ascii="Times New Roman" w:hAnsi="Times New Roman" w:cs="Times New Roman"/>
          <w:sz w:val="24"/>
          <w:szCs w:val="24"/>
        </w:rPr>
        <w:t>ez sprzedawcę i doręczeniu</w:t>
      </w:r>
      <w:r w:rsidRPr="00713F4B">
        <w:rPr>
          <w:rFonts w:ascii="Times New Roman" w:hAnsi="Times New Roman" w:cs="Times New Roman"/>
          <w:sz w:val="24"/>
          <w:szCs w:val="24"/>
        </w:rPr>
        <w:t xml:space="preserve"> jej klientowi, </w:t>
      </w:r>
      <w:r w:rsidR="000D3B51">
        <w:rPr>
          <w:rFonts w:ascii="Times New Roman" w:hAnsi="Times New Roman" w:cs="Times New Roman"/>
          <w:sz w:val="24"/>
          <w:szCs w:val="24"/>
        </w:rPr>
        <w:t>jednakże bez</w:t>
      </w:r>
      <w:r w:rsidRPr="00713F4B">
        <w:rPr>
          <w:rFonts w:ascii="Times New Roman" w:hAnsi="Times New Roman" w:cs="Times New Roman"/>
          <w:sz w:val="24"/>
          <w:szCs w:val="24"/>
        </w:rPr>
        <w:t xml:space="preserve"> rozliczeni</w:t>
      </w:r>
      <w:r w:rsidR="000D3B51">
        <w:rPr>
          <w:rFonts w:ascii="Times New Roman" w:hAnsi="Times New Roman" w:cs="Times New Roman"/>
          <w:sz w:val="24"/>
          <w:szCs w:val="24"/>
        </w:rPr>
        <w:t>a</w:t>
      </w:r>
      <w:r w:rsidRPr="00713F4B">
        <w:rPr>
          <w:rFonts w:ascii="Times New Roman" w:hAnsi="Times New Roman" w:cs="Times New Roman"/>
          <w:sz w:val="24"/>
          <w:szCs w:val="24"/>
        </w:rPr>
        <w:t xml:space="preserve"> w ewidencjach prowadzonych dla celów podatkowych.</w:t>
      </w:r>
    </w:p>
    <w:p w14:paraId="62899B7C" w14:textId="2F8EABDC" w:rsidR="00BF65D2" w:rsidRPr="00713F4B" w:rsidRDefault="00BF65D2" w:rsidP="00F65683">
      <w:pPr>
        <w:spacing w:after="0" w:line="240" w:lineRule="auto"/>
        <w:ind w:left="360"/>
        <w:jc w:val="both"/>
        <w:rPr>
          <w:rFonts w:ascii="Times New Roman" w:hAnsi="Times New Roman" w:cs="Times New Roman"/>
          <w:sz w:val="24"/>
          <w:szCs w:val="24"/>
        </w:rPr>
      </w:pPr>
      <w:r w:rsidRPr="00713F4B">
        <w:rPr>
          <w:rFonts w:ascii="Times New Roman" w:hAnsi="Times New Roman" w:cs="Times New Roman"/>
          <w:sz w:val="24"/>
          <w:szCs w:val="24"/>
        </w:rPr>
        <w:t xml:space="preserve">Nierzadko spotykaną nieprawidłowością występującą w tym ryzyku jest również zjawisko sprzedaży faktur. Dość liczna grupa podmiotów występująca w ww. podobszarach wyspecjalizowała się w tego rodzaju „handlu”. Sprzedają z reguły faktury na fikcyjne szkolenia, usługi marketingowe, transportowe, porządkowe, usługi doradcze lub analizy rynku. Wystawienie takiej faktury przychodowej nie spowoduje u nich żadnych obciążeń podatkowych (nie ewidencjonują ich), a dla ich klientów taki rachunek jest </w:t>
      </w:r>
      <w:r w:rsidR="000D3B51">
        <w:rPr>
          <w:rFonts w:ascii="Times New Roman" w:hAnsi="Times New Roman" w:cs="Times New Roman"/>
          <w:sz w:val="24"/>
          <w:szCs w:val="24"/>
        </w:rPr>
        <w:t>„</w:t>
      </w:r>
      <w:r w:rsidRPr="00713F4B">
        <w:rPr>
          <w:rFonts w:ascii="Times New Roman" w:hAnsi="Times New Roman" w:cs="Times New Roman"/>
          <w:sz w:val="24"/>
          <w:szCs w:val="24"/>
        </w:rPr>
        <w:t>oszczędnością podatkową</w:t>
      </w:r>
      <w:r w:rsidR="000D3B51">
        <w:rPr>
          <w:rFonts w:ascii="Times New Roman" w:hAnsi="Times New Roman" w:cs="Times New Roman"/>
          <w:sz w:val="24"/>
          <w:szCs w:val="24"/>
        </w:rPr>
        <w:t>”</w:t>
      </w:r>
      <w:r w:rsidRPr="00713F4B">
        <w:rPr>
          <w:rFonts w:ascii="Times New Roman" w:hAnsi="Times New Roman" w:cs="Times New Roman"/>
          <w:sz w:val="24"/>
          <w:szCs w:val="24"/>
        </w:rPr>
        <w:t>. Finalnie kontrahenci ww. podatników obniżają swój należny podatek VAT, zwiększając koszty uzyskania przychodów, co nie jest równoważone podatkiem należnym u podatnika, który zaprzestał składania deklaracji lub składa deklaracje z zaniżonym obrotem.</w:t>
      </w:r>
    </w:p>
    <w:p w14:paraId="541ECC92" w14:textId="4C10E0FB" w:rsidR="00BF65D2" w:rsidRPr="00713F4B" w:rsidRDefault="00BF65D2" w:rsidP="00F65683">
      <w:pPr>
        <w:spacing w:after="0" w:line="240" w:lineRule="auto"/>
        <w:ind w:left="360"/>
        <w:jc w:val="both"/>
        <w:rPr>
          <w:rFonts w:ascii="Times New Roman" w:hAnsi="Times New Roman" w:cs="Times New Roman"/>
          <w:sz w:val="24"/>
          <w:szCs w:val="24"/>
        </w:rPr>
      </w:pPr>
      <w:r w:rsidRPr="00713F4B">
        <w:rPr>
          <w:rFonts w:ascii="Times New Roman" w:hAnsi="Times New Roman" w:cs="Times New Roman"/>
          <w:sz w:val="24"/>
          <w:szCs w:val="24"/>
        </w:rPr>
        <w:t>Ponadto w myśl art. 108 ust. 1 ustawy o VAT wystawienie faktury nie zwalnia wystawcy z obowiązku zapłaty podatku należnego pomimo, iż dana faktura VAT został</w:t>
      </w:r>
      <w:r w:rsidR="00CA5E84">
        <w:rPr>
          <w:rFonts w:ascii="Times New Roman" w:hAnsi="Times New Roman" w:cs="Times New Roman"/>
          <w:sz w:val="24"/>
          <w:szCs w:val="24"/>
        </w:rPr>
        <w:t>a</w:t>
      </w:r>
      <w:r w:rsidRPr="00713F4B">
        <w:rPr>
          <w:rFonts w:ascii="Times New Roman" w:hAnsi="Times New Roman" w:cs="Times New Roman"/>
          <w:sz w:val="24"/>
          <w:szCs w:val="24"/>
        </w:rPr>
        <w:t xml:space="preserve"> wystawion</w:t>
      </w:r>
      <w:r w:rsidR="00CA5E84">
        <w:rPr>
          <w:rFonts w:ascii="Times New Roman" w:hAnsi="Times New Roman" w:cs="Times New Roman"/>
          <w:sz w:val="24"/>
          <w:szCs w:val="24"/>
        </w:rPr>
        <w:t>a</w:t>
      </w:r>
      <w:r w:rsidRPr="00713F4B">
        <w:rPr>
          <w:rFonts w:ascii="Times New Roman" w:hAnsi="Times New Roman" w:cs="Times New Roman"/>
          <w:sz w:val="24"/>
          <w:szCs w:val="24"/>
        </w:rPr>
        <w:t xml:space="preserve"> głównie w celu upozorowania przeprowadzenia transakcji. </w:t>
      </w:r>
    </w:p>
    <w:p w14:paraId="3C9AE5CA" w14:textId="30197DEA" w:rsidR="00BF65D2" w:rsidRPr="00713F4B" w:rsidRDefault="00BF65D2" w:rsidP="00F65683">
      <w:pPr>
        <w:spacing w:after="0" w:line="240" w:lineRule="auto"/>
        <w:ind w:left="360"/>
        <w:jc w:val="both"/>
        <w:rPr>
          <w:rFonts w:ascii="Times New Roman" w:hAnsi="Times New Roman" w:cs="Times New Roman"/>
          <w:sz w:val="24"/>
          <w:szCs w:val="24"/>
        </w:rPr>
      </w:pPr>
      <w:r w:rsidRPr="00713F4B">
        <w:rPr>
          <w:rFonts w:ascii="Times New Roman" w:hAnsi="Times New Roman" w:cs="Times New Roman"/>
          <w:sz w:val="24"/>
          <w:szCs w:val="24"/>
        </w:rPr>
        <w:t>Szczególną grupą podatników, z którą wiąże się to ryzyko, są podmioty opłacające podatek dochodowy w formie ryczałtu od przychodów ewidencjonowanych, zbliżając</w:t>
      </w:r>
      <w:r w:rsidR="000D3B51">
        <w:rPr>
          <w:rFonts w:ascii="Times New Roman" w:hAnsi="Times New Roman" w:cs="Times New Roman"/>
          <w:sz w:val="24"/>
          <w:szCs w:val="24"/>
        </w:rPr>
        <w:t>e</w:t>
      </w:r>
      <w:r w:rsidRPr="00713F4B">
        <w:rPr>
          <w:rFonts w:ascii="Times New Roman" w:hAnsi="Times New Roman" w:cs="Times New Roman"/>
          <w:sz w:val="24"/>
          <w:szCs w:val="24"/>
        </w:rPr>
        <w:t xml:space="preserve"> się do poziomu przychodu powodującego utratę uprawnienia do korzyst</w:t>
      </w:r>
      <w:r w:rsidR="000438C0">
        <w:rPr>
          <w:rFonts w:ascii="Times New Roman" w:hAnsi="Times New Roman" w:cs="Times New Roman"/>
          <w:sz w:val="24"/>
          <w:szCs w:val="24"/>
        </w:rPr>
        <w:t>ania z tej formy opodatkowania. Powyższe zjawisko dotyczy np.</w:t>
      </w:r>
      <w:r w:rsidR="000438C0" w:rsidRPr="00713F4B">
        <w:rPr>
          <w:rFonts w:ascii="Times New Roman" w:hAnsi="Times New Roman" w:cs="Times New Roman"/>
          <w:sz w:val="24"/>
          <w:szCs w:val="24"/>
        </w:rPr>
        <w:t xml:space="preserve"> przedsiębiorców prowadzących działalność jednoosobową</w:t>
      </w:r>
      <w:r w:rsidR="000438C0">
        <w:rPr>
          <w:rFonts w:ascii="Times New Roman" w:hAnsi="Times New Roman" w:cs="Times New Roman"/>
          <w:sz w:val="24"/>
          <w:szCs w:val="24"/>
        </w:rPr>
        <w:t xml:space="preserve"> (funkcjonujących w szczególności w</w:t>
      </w:r>
      <w:r w:rsidR="000438C0" w:rsidRPr="00713F4B">
        <w:rPr>
          <w:rFonts w:ascii="Times New Roman" w:hAnsi="Times New Roman" w:cs="Times New Roman"/>
          <w:sz w:val="24"/>
          <w:szCs w:val="24"/>
        </w:rPr>
        <w:t xml:space="preserve"> </w:t>
      </w:r>
      <w:r w:rsidRPr="00713F4B">
        <w:rPr>
          <w:rFonts w:ascii="Times New Roman" w:hAnsi="Times New Roman" w:cs="Times New Roman"/>
          <w:sz w:val="24"/>
          <w:szCs w:val="24"/>
        </w:rPr>
        <w:t>podobszar</w:t>
      </w:r>
      <w:r w:rsidR="000438C0">
        <w:rPr>
          <w:rFonts w:ascii="Times New Roman" w:hAnsi="Times New Roman" w:cs="Times New Roman"/>
          <w:sz w:val="24"/>
          <w:szCs w:val="24"/>
        </w:rPr>
        <w:t>ach ryzyka</w:t>
      </w:r>
      <w:r w:rsidRPr="00713F4B">
        <w:rPr>
          <w:rFonts w:ascii="Times New Roman" w:hAnsi="Times New Roman" w:cs="Times New Roman"/>
          <w:sz w:val="24"/>
          <w:szCs w:val="24"/>
        </w:rPr>
        <w:t xml:space="preserve"> </w:t>
      </w:r>
      <w:r w:rsidRPr="00713F4B">
        <w:rPr>
          <w:rFonts w:ascii="Times New Roman" w:hAnsi="Times New Roman" w:cs="Times New Roman"/>
          <w:i/>
          <w:sz w:val="24"/>
          <w:szCs w:val="24"/>
        </w:rPr>
        <w:t xml:space="preserve">Produkcja materiałów budowlanych i usługi budowlane oraz Transport i logistyka). </w:t>
      </w:r>
    </w:p>
    <w:p w14:paraId="1D6E4DAD" w14:textId="77777777" w:rsidR="00BF65D2" w:rsidRDefault="00BF65D2" w:rsidP="00F65683">
      <w:pPr>
        <w:spacing w:line="240" w:lineRule="auto"/>
        <w:ind w:left="360"/>
        <w:jc w:val="both"/>
        <w:rPr>
          <w:rFonts w:ascii="Times New Roman" w:hAnsi="Times New Roman" w:cs="Times New Roman"/>
          <w:sz w:val="24"/>
          <w:szCs w:val="24"/>
        </w:rPr>
      </w:pPr>
      <w:r w:rsidRPr="00713F4B">
        <w:rPr>
          <w:rFonts w:ascii="Times New Roman" w:hAnsi="Times New Roman" w:cs="Times New Roman"/>
          <w:sz w:val="24"/>
          <w:szCs w:val="24"/>
        </w:rPr>
        <w:t>Ryzyko to w ww. podobszarach dotyczy w przeważającej większości podatników będących we właściwości pozostałych jak i wyspecjalizowanych urzędów skarbowych.</w:t>
      </w:r>
    </w:p>
    <w:p w14:paraId="3829B154" w14:textId="77777777" w:rsidR="00BF65D2" w:rsidRPr="00BF65D2" w:rsidRDefault="00BF65D2" w:rsidP="00F65683">
      <w:pPr>
        <w:spacing w:line="240" w:lineRule="auto"/>
        <w:ind w:left="360"/>
        <w:jc w:val="both"/>
        <w:rPr>
          <w:rFonts w:ascii="Times New Roman" w:hAnsi="Times New Roman" w:cs="Times New Roman"/>
          <w:sz w:val="24"/>
          <w:szCs w:val="24"/>
        </w:rPr>
      </w:pPr>
    </w:p>
    <w:p w14:paraId="415A07BA" w14:textId="6E54EB65" w:rsidR="00B966B9" w:rsidRPr="007818AE" w:rsidRDefault="00761870" w:rsidP="00F65683">
      <w:pPr>
        <w:pStyle w:val="Nagwek2"/>
        <w:numPr>
          <w:ilvl w:val="0"/>
          <w:numId w:val="2"/>
        </w:numPr>
        <w:spacing w:after="120" w:line="240" w:lineRule="auto"/>
        <w:jc w:val="both"/>
        <w:rPr>
          <w:b/>
        </w:rPr>
      </w:pPr>
      <w:bookmarkStart w:id="10" w:name="_Toc428775840"/>
      <w:r w:rsidRPr="007818AE">
        <w:rPr>
          <w:b/>
        </w:rPr>
        <w:lastRenderedPageBreak/>
        <w:t>Ryzyko niewykazywania do opodatkowania całości osiąganych przychodów, poprzez nieewidencjonowanie całości lub części przychodów na kasach rejestrujących</w:t>
      </w:r>
      <w:bookmarkEnd w:id="10"/>
    </w:p>
    <w:p w14:paraId="35E7465C" w14:textId="77777777" w:rsidR="00761870" w:rsidRPr="00761870" w:rsidRDefault="00761870" w:rsidP="00F65683">
      <w:pPr>
        <w:spacing w:after="0" w:line="240" w:lineRule="auto"/>
        <w:jc w:val="both"/>
        <w:rPr>
          <w:rFonts w:ascii="Times New Roman" w:hAnsi="Times New Roman" w:cs="Times New Roman"/>
          <w:sz w:val="24"/>
          <w:szCs w:val="24"/>
        </w:rPr>
      </w:pPr>
      <w:r w:rsidRPr="00761870">
        <w:rPr>
          <w:rFonts w:ascii="Times New Roman" w:hAnsi="Times New Roman" w:cs="Times New Roman"/>
          <w:sz w:val="24"/>
          <w:szCs w:val="24"/>
        </w:rPr>
        <w:t>Ryzyko zidentyfikowano w następujących podobszarach:</w:t>
      </w:r>
    </w:p>
    <w:p w14:paraId="0482FE75" w14:textId="40CE8CE7" w:rsidR="00761870" w:rsidRPr="00F71625" w:rsidRDefault="00761870" w:rsidP="00F65683">
      <w:pPr>
        <w:pStyle w:val="Akapitzlist"/>
        <w:numPr>
          <w:ilvl w:val="0"/>
          <w:numId w:val="22"/>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Handel produktami spożywczymi i tytoniem,</w:t>
      </w:r>
    </w:p>
    <w:p w14:paraId="30688979" w14:textId="5C20F98F" w:rsidR="00761870" w:rsidRPr="00F71625" w:rsidRDefault="00761870" w:rsidP="00F65683">
      <w:pPr>
        <w:pStyle w:val="Akapitzlist"/>
        <w:numPr>
          <w:ilvl w:val="0"/>
          <w:numId w:val="22"/>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Motoryzacja,</w:t>
      </w:r>
    </w:p>
    <w:p w14:paraId="356EBEEC" w14:textId="040F09F8" w:rsidR="00761870" w:rsidRPr="00F71625" w:rsidRDefault="00761870" w:rsidP="00F65683">
      <w:pPr>
        <w:pStyle w:val="Akapitzlist"/>
        <w:numPr>
          <w:ilvl w:val="0"/>
          <w:numId w:val="22"/>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Opieka zdrowotna (w tym praktyka lekarska i pozostałe usługi medyczne),</w:t>
      </w:r>
    </w:p>
    <w:p w14:paraId="749F4703" w14:textId="6D6E92B0" w:rsidR="00761870" w:rsidRDefault="00761870" w:rsidP="00F65683">
      <w:pPr>
        <w:pStyle w:val="Akapitzlist"/>
        <w:numPr>
          <w:ilvl w:val="0"/>
          <w:numId w:val="22"/>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Produkcja materiałów</w:t>
      </w:r>
      <w:r w:rsidR="00C97EEF">
        <w:rPr>
          <w:rFonts w:ascii="Times New Roman" w:hAnsi="Times New Roman" w:cs="Times New Roman"/>
          <w:i/>
          <w:sz w:val="24"/>
          <w:szCs w:val="24"/>
        </w:rPr>
        <w:t xml:space="preserve"> budowlanych i usługi budowlane,</w:t>
      </w:r>
    </w:p>
    <w:p w14:paraId="352F2A17" w14:textId="7475850C" w:rsidR="00C97EEF" w:rsidRPr="00F71625" w:rsidRDefault="00B16B9B" w:rsidP="00F65683">
      <w:pPr>
        <w:pStyle w:val="Akapitzlist"/>
        <w:numPr>
          <w:ilvl w:val="0"/>
          <w:numId w:val="22"/>
        </w:numPr>
        <w:spacing w:after="0" w:line="240" w:lineRule="auto"/>
        <w:jc w:val="both"/>
        <w:rPr>
          <w:rFonts w:ascii="Times New Roman" w:hAnsi="Times New Roman" w:cs="Times New Roman"/>
          <w:i/>
          <w:sz w:val="24"/>
          <w:szCs w:val="24"/>
        </w:rPr>
      </w:pPr>
      <w:r w:rsidRPr="003457AB">
        <w:rPr>
          <w:rFonts w:ascii="Times New Roman" w:hAnsi="Times New Roman" w:cs="Times New Roman"/>
          <w:i/>
          <w:sz w:val="24"/>
          <w:szCs w:val="24"/>
        </w:rPr>
        <w:t>E-handel i usługi informatyczne</w:t>
      </w:r>
      <w:r>
        <w:rPr>
          <w:rFonts w:ascii="Times New Roman" w:hAnsi="Times New Roman" w:cs="Times New Roman"/>
          <w:i/>
          <w:sz w:val="24"/>
          <w:szCs w:val="24"/>
        </w:rPr>
        <w:t>.</w:t>
      </w:r>
    </w:p>
    <w:p w14:paraId="462E6358" w14:textId="77777777" w:rsidR="00F71625" w:rsidRDefault="00F71625" w:rsidP="00F65683">
      <w:pPr>
        <w:pStyle w:val="Akapitzlist"/>
        <w:spacing w:after="120" w:line="240" w:lineRule="auto"/>
        <w:ind w:left="0"/>
        <w:jc w:val="both"/>
        <w:rPr>
          <w:rFonts w:ascii="Times New Roman" w:hAnsi="Times New Roman" w:cs="Times New Roman"/>
          <w:sz w:val="24"/>
          <w:szCs w:val="24"/>
        </w:rPr>
      </w:pPr>
    </w:p>
    <w:p w14:paraId="0CFB0452" w14:textId="77777777" w:rsidR="00713F4B" w:rsidRPr="007A1B85" w:rsidRDefault="00713F4B" w:rsidP="00F65683">
      <w:pPr>
        <w:spacing w:after="360" w:line="240" w:lineRule="auto"/>
        <w:ind w:left="360"/>
        <w:jc w:val="both"/>
        <w:rPr>
          <w:rFonts w:ascii="Times New Roman" w:hAnsi="Times New Roman"/>
          <w:sz w:val="24"/>
          <w:szCs w:val="24"/>
        </w:rPr>
      </w:pPr>
      <w:r w:rsidRPr="007A1B85">
        <w:rPr>
          <w:rFonts w:ascii="Times New Roman" w:hAnsi="Times New Roman"/>
          <w:sz w:val="24"/>
          <w:szCs w:val="24"/>
        </w:rPr>
        <w:t>Ryzyko w ww. podobszarach dotyczy w przeważającej większości podatników będących we właściwości pozostałych urzędów skarbowych.</w:t>
      </w:r>
    </w:p>
    <w:p w14:paraId="5B727117" w14:textId="77777777" w:rsidR="007A1B85" w:rsidRPr="007A1B85" w:rsidRDefault="007A1B85" w:rsidP="00F65683">
      <w:pPr>
        <w:spacing w:after="120" w:line="240" w:lineRule="auto"/>
        <w:ind w:left="360"/>
        <w:jc w:val="both"/>
        <w:rPr>
          <w:rFonts w:ascii="Times New Roman" w:hAnsi="Times New Roman"/>
          <w:sz w:val="24"/>
          <w:szCs w:val="24"/>
        </w:rPr>
      </w:pPr>
      <w:r w:rsidRPr="007A1B85">
        <w:rPr>
          <w:rFonts w:ascii="Times New Roman" w:hAnsi="Times New Roman"/>
          <w:sz w:val="24"/>
          <w:szCs w:val="24"/>
        </w:rPr>
        <w:t xml:space="preserve">Nieprawidłowe działanie, stanowiące naruszenie art. 111 ust. 1 ustawy o podatku od towarów i usług, dotyczy podmiotów, które mają obowiązek ewidencjonowania obrotu za pomocą kasy rejestrującej (tj. podatników dokonujących sprzedaży na rzecz osób fizycznych nieprowadzących działalności gospodarczej). Polega na świadomym braku ewidencjonowania osiąganych przychodów z tytułu świadczonej usługi/sprzedanego towaru na kasach rejestrujących lub ewidencjonowania tylko części faktycznego przychodu osiąganego z tego rodzaju transakcji, w celu obniżenia faktycznej wysokości zobowiązań podatkowych. Brak ewidencjonowania związany jest jednocześnie z niewystawieniem rachunku klientowi (nabywcy usługi/towaru), bądź wystawieniem paragonu fiskalnego na niższą – niż poniesiona w rzeczywistości przez klienta – kwotę. Proceder – w podobszarach </w:t>
      </w:r>
      <w:r w:rsidRPr="007A1B85">
        <w:rPr>
          <w:rFonts w:ascii="Times New Roman" w:hAnsi="Times New Roman"/>
          <w:i/>
          <w:iCs/>
          <w:sz w:val="24"/>
          <w:szCs w:val="24"/>
        </w:rPr>
        <w:t>Motoryzacja</w:t>
      </w:r>
      <w:r w:rsidRPr="007A1B85">
        <w:rPr>
          <w:rFonts w:ascii="Times New Roman" w:hAnsi="Times New Roman"/>
          <w:sz w:val="24"/>
          <w:szCs w:val="24"/>
        </w:rPr>
        <w:t xml:space="preserve"> oraz </w:t>
      </w:r>
      <w:r w:rsidRPr="007A1B85">
        <w:rPr>
          <w:rFonts w:ascii="Times New Roman" w:hAnsi="Times New Roman"/>
          <w:i/>
          <w:iCs/>
          <w:sz w:val="24"/>
          <w:szCs w:val="24"/>
        </w:rPr>
        <w:t>Produkcja materiałów budowlanych i usługi budowlane</w:t>
      </w:r>
      <w:r w:rsidRPr="007A1B85">
        <w:rPr>
          <w:rFonts w:ascii="Times New Roman" w:hAnsi="Times New Roman"/>
          <w:sz w:val="24"/>
          <w:szCs w:val="24"/>
        </w:rPr>
        <w:t xml:space="preserve"> – dokonywany jest często za zgodą samego klienta, który w zamian za zgodę na niewystawianie paragonu fiskalnego, lub otrzymanie rachunku na niższą niż w istocie zapłacona kwota, uzyskuje niższą cenę usługi/towaru.</w:t>
      </w:r>
    </w:p>
    <w:p w14:paraId="506966FB" w14:textId="7FED6719" w:rsidR="007A1B85" w:rsidRPr="007A1B85" w:rsidRDefault="007A1B85" w:rsidP="00F65683">
      <w:pPr>
        <w:spacing w:after="0" w:line="240" w:lineRule="auto"/>
        <w:ind w:left="360"/>
        <w:jc w:val="both"/>
        <w:rPr>
          <w:rFonts w:ascii="Times New Roman" w:hAnsi="Times New Roman"/>
          <w:sz w:val="24"/>
          <w:szCs w:val="24"/>
        </w:rPr>
      </w:pPr>
      <w:r w:rsidRPr="007A1B85">
        <w:rPr>
          <w:rFonts w:ascii="Times New Roman" w:hAnsi="Times New Roman"/>
          <w:sz w:val="24"/>
          <w:szCs w:val="24"/>
        </w:rPr>
        <w:t xml:space="preserve">W podobszarze </w:t>
      </w:r>
      <w:r w:rsidRPr="007A1B85">
        <w:rPr>
          <w:rFonts w:ascii="Times New Roman" w:hAnsi="Times New Roman"/>
          <w:i/>
          <w:iCs/>
          <w:sz w:val="24"/>
          <w:szCs w:val="24"/>
        </w:rPr>
        <w:t>Opieka zdrowotna</w:t>
      </w:r>
      <w:r w:rsidRPr="007A1B85">
        <w:rPr>
          <w:rFonts w:ascii="Times New Roman" w:hAnsi="Times New Roman"/>
          <w:sz w:val="24"/>
          <w:szCs w:val="24"/>
        </w:rPr>
        <w:t xml:space="preserve"> ryzyko identyfikowane jest przede wszystkim w ramach prywatnych praktyk lekarskich: specjalistycznej, ogólnej oraz dentystycznej, gdzie obowiązek stosowania kas rejestrujących wprowadzono dopiero z dniem 1 maja 2011 r. (dla podmiotów, któr</w:t>
      </w:r>
      <w:r w:rsidR="000438C0">
        <w:rPr>
          <w:rFonts w:ascii="Times New Roman" w:hAnsi="Times New Roman"/>
          <w:sz w:val="24"/>
          <w:szCs w:val="24"/>
        </w:rPr>
        <w:t>e</w:t>
      </w:r>
      <w:r w:rsidRPr="007A1B85">
        <w:rPr>
          <w:rFonts w:ascii="Times New Roman" w:hAnsi="Times New Roman"/>
          <w:sz w:val="24"/>
          <w:szCs w:val="24"/>
        </w:rPr>
        <w:t xml:space="preserve"> w minionym roku podatkowym uzyska</w:t>
      </w:r>
      <w:r w:rsidR="000438C0">
        <w:rPr>
          <w:rFonts w:ascii="Times New Roman" w:hAnsi="Times New Roman"/>
          <w:sz w:val="24"/>
          <w:szCs w:val="24"/>
        </w:rPr>
        <w:t>ły</w:t>
      </w:r>
      <w:r w:rsidRPr="007A1B85">
        <w:rPr>
          <w:rFonts w:ascii="Times New Roman" w:hAnsi="Times New Roman"/>
          <w:sz w:val="24"/>
          <w:szCs w:val="24"/>
        </w:rPr>
        <w:t xml:space="preserve"> obroty przekraczające 40 tys. zł, a przy podmiotach rozpoczynających działalność </w:t>
      </w:r>
      <w:r w:rsidR="000438C0">
        <w:rPr>
          <w:rFonts w:ascii="Times New Roman" w:hAnsi="Times New Roman"/>
          <w:sz w:val="24"/>
          <w:szCs w:val="24"/>
        </w:rPr>
        <w:t>–</w:t>
      </w:r>
      <w:r w:rsidRPr="007A1B85">
        <w:rPr>
          <w:rFonts w:ascii="Times New Roman" w:hAnsi="Times New Roman"/>
          <w:sz w:val="24"/>
          <w:szCs w:val="24"/>
        </w:rPr>
        <w:t xml:space="preserve"> powyżej kwoty 20 tys. zł), a</w:t>
      </w:r>
      <w:r w:rsidR="000438C0">
        <w:rPr>
          <w:rFonts w:ascii="Times New Roman" w:hAnsi="Times New Roman"/>
          <w:sz w:val="24"/>
          <w:szCs w:val="24"/>
        </w:rPr>
        <w:t> </w:t>
      </w:r>
      <w:r w:rsidRPr="007A1B85">
        <w:rPr>
          <w:rFonts w:ascii="Times New Roman" w:hAnsi="Times New Roman"/>
          <w:sz w:val="24"/>
          <w:szCs w:val="24"/>
        </w:rPr>
        <w:t>w</w:t>
      </w:r>
      <w:r w:rsidR="000438C0">
        <w:rPr>
          <w:rFonts w:ascii="Times New Roman" w:hAnsi="Times New Roman"/>
          <w:sz w:val="24"/>
          <w:szCs w:val="24"/>
        </w:rPr>
        <w:t> </w:t>
      </w:r>
      <w:r w:rsidRPr="007A1B85">
        <w:rPr>
          <w:rFonts w:ascii="Times New Roman" w:hAnsi="Times New Roman"/>
          <w:sz w:val="24"/>
          <w:szCs w:val="24"/>
        </w:rPr>
        <w:t xml:space="preserve">pełnym zakresie – bez limitu obrotu – od dnia 1 marca 2015 r. </w:t>
      </w:r>
    </w:p>
    <w:p w14:paraId="76A08D09" w14:textId="77777777" w:rsidR="007A1B85" w:rsidRPr="007A1B85" w:rsidRDefault="007A1B85" w:rsidP="00F65683">
      <w:pPr>
        <w:spacing w:after="0" w:line="240" w:lineRule="auto"/>
        <w:ind w:left="360"/>
        <w:jc w:val="both"/>
        <w:rPr>
          <w:rFonts w:ascii="Times New Roman" w:hAnsi="Times New Roman"/>
          <w:sz w:val="24"/>
          <w:szCs w:val="24"/>
        </w:rPr>
      </w:pPr>
      <w:r w:rsidRPr="007A1B85">
        <w:rPr>
          <w:rFonts w:ascii="Times New Roman" w:hAnsi="Times New Roman"/>
          <w:sz w:val="24"/>
          <w:szCs w:val="24"/>
        </w:rPr>
        <w:t xml:space="preserve">Z kolei w podobszarze </w:t>
      </w:r>
      <w:r w:rsidRPr="007A1B85">
        <w:rPr>
          <w:rFonts w:ascii="Times New Roman" w:hAnsi="Times New Roman"/>
          <w:i/>
          <w:iCs/>
          <w:sz w:val="24"/>
          <w:szCs w:val="24"/>
        </w:rPr>
        <w:t xml:space="preserve">Handel produktami spożywczymi i tytoniem </w:t>
      </w:r>
      <w:r w:rsidRPr="007A1B85">
        <w:rPr>
          <w:rFonts w:ascii="Times New Roman" w:hAnsi="Times New Roman"/>
          <w:sz w:val="24"/>
          <w:szCs w:val="24"/>
        </w:rPr>
        <w:t xml:space="preserve">nieewidencjonowanie obrotu na kasach rejestrujących występuje najczęściej w działalności sklepów wielobranżowych, zajmujących się sprzedażą detaliczną różnego rodzaju towarów, wśród których przeważa żywność, napoje i wyroby tytoniowe (z wyłączeniem sklepów wielkopowierzchniowych). </w:t>
      </w:r>
    </w:p>
    <w:p w14:paraId="084F9B04" w14:textId="77777777" w:rsidR="007A1B85" w:rsidRPr="007A1B85" w:rsidRDefault="007A1B85" w:rsidP="00F65683">
      <w:pPr>
        <w:spacing w:after="0" w:line="240" w:lineRule="auto"/>
        <w:ind w:left="360"/>
        <w:jc w:val="both"/>
        <w:rPr>
          <w:rFonts w:ascii="Times New Roman" w:hAnsi="Times New Roman"/>
          <w:sz w:val="24"/>
          <w:szCs w:val="24"/>
        </w:rPr>
      </w:pPr>
      <w:r w:rsidRPr="00713F4B">
        <w:rPr>
          <w:rFonts w:ascii="Times New Roman" w:hAnsi="Times New Roman"/>
          <w:sz w:val="24"/>
          <w:szCs w:val="24"/>
        </w:rPr>
        <w:t>W podobszarze</w:t>
      </w:r>
      <w:r w:rsidRPr="007A1B85">
        <w:rPr>
          <w:rFonts w:ascii="Times New Roman" w:hAnsi="Times New Roman"/>
          <w:sz w:val="24"/>
          <w:szCs w:val="24"/>
        </w:rPr>
        <w:t xml:space="preserve"> </w:t>
      </w:r>
      <w:r w:rsidRPr="007A1B85">
        <w:rPr>
          <w:rFonts w:ascii="Times New Roman" w:hAnsi="Times New Roman"/>
          <w:i/>
          <w:iCs/>
          <w:sz w:val="24"/>
          <w:szCs w:val="24"/>
        </w:rPr>
        <w:t>Motoryzacja</w:t>
      </w:r>
      <w:r w:rsidRPr="007A1B85">
        <w:rPr>
          <w:rFonts w:ascii="Times New Roman" w:hAnsi="Times New Roman"/>
          <w:sz w:val="24"/>
          <w:szCs w:val="24"/>
        </w:rPr>
        <w:t xml:space="preserve"> proceder ten dotyczy natomiast najczęściej usług warsztatów samochodowych oraz innych firm świadczących usługi w zakresie konserwacji pojazdów, a także sprzedaży części i akcesoriów do samochodów. Podmiot prowadzący warsztat samochodowy dokonuje zakupu części wymiennych do naprawy pojazdów, a następnie montuje je w pojazdach klientów. Odbiera płatność za części oraz za faktycznie wykonaną usługę, jednakże nie uwzględnia jej dla celów podatkowych poprzez rejestrację na kasie i finalnie nie rozlicza, ewentualnie rozlicza jedynie usługę bez sprzedaży części. Zdarza się również, że rejestruje na kasie tylko sprzedaż części bez faktycznie wykonanej usługi.</w:t>
      </w:r>
    </w:p>
    <w:p w14:paraId="70FAAEF5" w14:textId="7C6E04CD" w:rsidR="007A1B85" w:rsidRPr="007A1B85" w:rsidRDefault="00713F4B" w:rsidP="00F65683">
      <w:pPr>
        <w:spacing w:after="0" w:line="240" w:lineRule="auto"/>
        <w:ind w:left="360"/>
        <w:jc w:val="both"/>
        <w:rPr>
          <w:rFonts w:ascii="Times New Roman" w:hAnsi="Times New Roman"/>
          <w:sz w:val="24"/>
          <w:szCs w:val="24"/>
        </w:rPr>
      </w:pPr>
      <w:r w:rsidRPr="00713F4B">
        <w:rPr>
          <w:rFonts w:ascii="Times New Roman" w:hAnsi="Times New Roman"/>
          <w:sz w:val="24"/>
          <w:szCs w:val="24"/>
        </w:rPr>
        <w:t>W</w:t>
      </w:r>
      <w:r w:rsidR="007A1B85" w:rsidRPr="00713F4B">
        <w:rPr>
          <w:rFonts w:ascii="Times New Roman" w:hAnsi="Times New Roman"/>
          <w:sz w:val="24"/>
          <w:szCs w:val="24"/>
        </w:rPr>
        <w:t xml:space="preserve"> podobszarze </w:t>
      </w:r>
      <w:r w:rsidR="007A1B85" w:rsidRPr="00713F4B">
        <w:rPr>
          <w:rFonts w:ascii="Times New Roman" w:hAnsi="Times New Roman"/>
          <w:i/>
          <w:iCs/>
          <w:sz w:val="24"/>
          <w:szCs w:val="24"/>
        </w:rPr>
        <w:t>Produkcja materiałów budowlanych i usługi budowlane</w:t>
      </w:r>
      <w:r w:rsidR="007A1B85" w:rsidRPr="00713F4B">
        <w:rPr>
          <w:rFonts w:ascii="Times New Roman" w:hAnsi="Times New Roman"/>
          <w:sz w:val="24"/>
          <w:szCs w:val="24"/>
        </w:rPr>
        <w:t xml:space="preserve"> ryzyko identyfikowano najczęściej w działalności związanej ze świadczeniem usług w zakresie cięcia, formatowania i wykańczania kamienia, wykonywania robót budowlanych związanych ze wznoszeniem budynków, zakładaniem stolarki budowlanej oraz wykonywaniem konstrukcji i pokryć dachowych, a także instalacji wodno-kanalizacyjnych, cieplnych, gazowych i klimatyzacyjnych.</w:t>
      </w:r>
      <w:r w:rsidR="007A1B85" w:rsidRPr="007A1B85">
        <w:rPr>
          <w:rFonts w:ascii="Times New Roman" w:hAnsi="Times New Roman"/>
          <w:sz w:val="24"/>
          <w:szCs w:val="24"/>
        </w:rPr>
        <w:t xml:space="preserve"> </w:t>
      </w:r>
    </w:p>
    <w:p w14:paraId="7626C0F7" w14:textId="16C4235A" w:rsidR="007A1B85" w:rsidRPr="007A1B85" w:rsidRDefault="007A1B85" w:rsidP="00F65683">
      <w:pPr>
        <w:spacing w:after="360" w:line="240" w:lineRule="auto"/>
        <w:ind w:left="360"/>
        <w:jc w:val="both"/>
        <w:rPr>
          <w:rFonts w:ascii="Times New Roman" w:hAnsi="Times New Roman"/>
          <w:sz w:val="24"/>
          <w:szCs w:val="24"/>
        </w:rPr>
      </w:pPr>
      <w:r w:rsidRPr="00713F4B">
        <w:rPr>
          <w:rFonts w:ascii="Times New Roman" w:hAnsi="Times New Roman"/>
          <w:sz w:val="24"/>
          <w:szCs w:val="24"/>
        </w:rPr>
        <w:t>W celu zminimalizowania występowania przedmiotowego ryzyka od kilku lat Ministerstwo Finansów prowadzi ogólnopolsk</w:t>
      </w:r>
      <w:r w:rsidR="00713F4B" w:rsidRPr="00713F4B">
        <w:rPr>
          <w:rFonts w:ascii="Times New Roman" w:hAnsi="Times New Roman"/>
          <w:sz w:val="24"/>
          <w:szCs w:val="24"/>
        </w:rPr>
        <w:t>ą</w:t>
      </w:r>
      <w:r w:rsidRPr="00713F4B">
        <w:rPr>
          <w:rFonts w:ascii="Times New Roman" w:hAnsi="Times New Roman"/>
          <w:sz w:val="24"/>
          <w:szCs w:val="24"/>
        </w:rPr>
        <w:t xml:space="preserve"> kampanię edukacyjno-informacyjną pn.</w:t>
      </w:r>
      <w:r w:rsidRPr="00713F4B">
        <w:rPr>
          <w:rFonts w:ascii="Times New Roman" w:hAnsi="Times New Roman"/>
          <w:i/>
          <w:iCs/>
          <w:sz w:val="24"/>
          <w:szCs w:val="24"/>
        </w:rPr>
        <w:t xml:space="preserve"> </w:t>
      </w:r>
      <w:r w:rsidR="007818AE">
        <w:rPr>
          <w:rFonts w:ascii="Times New Roman" w:hAnsi="Times New Roman"/>
          <w:i/>
          <w:iCs/>
          <w:sz w:val="24"/>
          <w:szCs w:val="24"/>
        </w:rPr>
        <w:t>W</w:t>
      </w:r>
      <w:r w:rsidRPr="00713F4B">
        <w:rPr>
          <w:rFonts w:ascii="Times New Roman" w:hAnsi="Times New Roman"/>
          <w:i/>
          <w:iCs/>
          <w:sz w:val="24"/>
          <w:szCs w:val="24"/>
        </w:rPr>
        <w:t>eź paragon</w:t>
      </w:r>
      <w:r w:rsidRPr="00713F4B">
        <w:rPr>
          <w:rFonts w:ascii="Times New Roman" w:hAnsi="Times New Roman"/>
          <w:sz w:val="24"/>
          <w:szCs w:val="24"/>
        </w:rPr>
        <w:t>, która ma na celu uświadomienie konsumentów o leżącym po stronie sprzedawcy obowiązku ewidencjonowania obrotu na kasie rejestrującej i związanej z tym powinności wydawania paragonów fiskalnych. Ukierunkowana na zmniejszenie wskazanego ryzyka, poprzez zachęcanie do brania paragonów, jest również tzw. Loteria Paragonowa, której początek zaplanowano na 1 października bieżącego roku. W jej ramach każda pełnoletnia osoba, która zarejestruje na specjalnej stronie internetowej paragon fiskalny wystawiony na kwotę co najmniej 10 zł, weźmie udział w comiesięcznym losowani</w:t>
      </w:r>
      <w:r w:rsidR="00EE072F">
        <w:rPr>
          <w:rFonts w:ascii="Times New Roman" w:hAnsi="Times New Roman"/>
          <w:sz w:val="24"/>
          <w:szCs w:val="24"/>
        </w:rPr>
        <w:t>u</w:t>
      </w:r>
      <w:r w:rsidRPr="00713F4B">
        <w:rPr>
          <w:rFonts w:ascii="Times New Roman" w:hAnsi="Times New Roman"/>
          <w:sz w:val="24"/>
          <w:szCs w:val="24"/>
        </w:rPr>
        <w:t xml:space="preserve"> nagród. Nagrody przewidziano również dla przedsiębiorców, którzy wystawili zwycięski paragon premiowany nagrodą główną. W ramach akcji, dodatkowo raz na kwartał przewidziano także losowanie spośród paragonów pochodzących z premiowanych branż, tj. takich które szczególnie narażone są na występowanie analizowanego ryzyka.</w:t>
      </w:r>
    </w:p>
    <w:p w14:paraId="47C5CAC0" w14:textId="77777777" w:rsidR="007A1B85" w:rsidRPr="007A1B85" w:rsidRDefault="007A1B85" w:rsidP="00F65683">
      <w:pPr>
        <w:spacing w:line="240" w:lineRule="auto"/>
        <w:ind w:left="360"/>
        <w:rPr>
          <w:rFonts w:ascii="Calibri" w:hAnsi="Calibri"/>
        </w:rPr>
      </w:pPr>
    </w:p>
    <w:p w14:paraId="6F25B933" w14:textId="4AD7651F" w:rsidR="00761870" w:rsidRPr="007818AE" w:rsidRDefault="000C1F0A" w:rsidP="00F65683">
      <w:pPr>
        <w:pStyle w:val="Nagwek2"/>
        <w:numPr>
          <w:ilvl w:val="0"/>
          <w:numId w:val="2"/>
        </w:numPr>
        <w:spacing w:after="240" w:line="240" w:lineRule="auto"/>
        <w:ind w:left="714" w:hanging="357"/>
        <w:jc w:val="both"/>
        <w:rPr>
          <w:b/>
        </w:rPr>
      </w:pPr>
      <w:bookmarkStart w:id="11" w:name="_Toc428775841"/>
      <w:r w:rsidRPr="007818AE">
        <w:rPr>
          <w:b/>
        </w:rPr>
        <w:t>Ryzyko niezrealizowania zobowiązań podatkowych w pełnej wysokości w związku z niewystawianiem faktur lub wystawianiem faktur w kwotach nieodpowiadających wielkościom faktycznym</w:t>
      </w:r>
      <w:bookmarkEnd w:id="11"/>
    </w:p>
    <w:p w14:paraId="153ED84F" w14:textId="77777777" w:rsidR="00500F01" w:rsidRPr="00D262D8" w:rsidRDefault="00500F01" w:rsidP="00F65683">
      <w:pPr>
        <w:spacing w:after="0" w:line="240" w:lineRule="auto"/>
        <w:rPr>
          <w:rFonts w:ascii="Times New Roman" w:hAnsi="Times New Roman" w:cs="Times New Roman"/>
          <w:sz w:val="24"/>
          <w:szCs w:val="24"/>
        </w:rPr>
      </w:pPr>
      <w:r w:rsidRPr="00D262D8">
        <w:rPr>
          <w:rFonts w:ascii="Times New Roman" w:hAnsi="Times New Roman" w:cs="Times New Roman"/>
          <w:sz w:val="24"/>
          <w:szCs w:val="24"/>
        </w:rPr>
        <w:t>Ryzyko to występuje w szczególności w podobszarach:</w:t>
      </w:r>
    </w:p>
    <w:p w14:paraId="26FD0F11" w14:textId="4B6CB6C3"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Doradztwo oraz inne usługi niematerialne,</w:t>
      </w:r>
    </w:p>
    <w:p w14:paraId="5537B3C6" w14:textId="7ECE3E1E"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E handel i usługi informatyczne,</w:t>
      </w:r>
    </w:p>
    <w:p w14:paraId="54F8A066" w14:textId="1F7342C3"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Handel produktami spożywczymi i tytoniem,</w:t>
      </w:r>
    </w:p>
    <w:p w14:paraId="612E515A" w14:textId="3D5D3784"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Nieruchomości,</w:t>
      </w:r>
    </w:p>
    <w:p w14:paraId="48F3E3E7" w14:textId="557D9783"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 xml:space="preserve">Motoryzacja, </w:t>
      </w:r>
    </w:p>
    <w:p w14:paraId="4F7AF892" w14:textId="4D44BD77"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Paliwa,</w:t>
      </w:r>
    </w:p>
    <w:p w14:paraId="3B9EE935" w14:textId="6E9CB422"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Opieka zdrowotna (w tym praktyka lekarska i pozostałe usługi medyczne),</w:t>
      </w:r>
    </w:p>
    <w:p w14:paraId="5A656CDF" w14:textId="75660E70"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Produkcja i obrót metalami i produktami metalowymi,</w:t>
      </w:r>
    </w:p>
    <w:p w14:paraId="000E7FF5" w14:textId="55F15C20"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Produkcja materiałów budowlanych i usługi budowlane,</w:t>
      </w:r>
    </w:p>
    <w:p w14:paraId="474F7E6B" w14:textId="6166D1E3"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Transport i logistyka,</w:t>
      </w:r>
    </w:p>
    <w:p w14:paraId="4FB1B35A" w14:textId="4555F040" w:rsidR="00500F01" w:rsidRPr="00581C78" w:rsidRDefault="00500F01" w:rsidP="00F65683">
      <w:pPr>
        <w:pStyle w:val="Akapitzlist"/>
        <w:numPr>
          <w:ilvl w:val="0"/>
          <w:numId w:val="28"/>
        </w:numPr>
        <w:spacing w:line="240" w:lineRule="auto"/>
        <w:rPr>
          <w:rFonts w:ascii="Times New Roman" w:hAnsi="Times New Roman" w:cs="Times New Roman"/>
          <w:i/>
          <w:sz w:val="24"/>
          <w:szCs w:val="24"/>
        </w:rPr>
      </w:pPr>
      <w:r w:rsidRPr="00581C78">
        <w:rPr>
          <w:rFonts w:ascii="Times New Roman" w:hAnsi="Times New Roman" w:cs="Times New Roman"/>
          <w:i/>
          <w:sz w:val="24"/>
          <w:szCs w:val="24"/>
        </w:rPr>
        <w:t>Usługi finansowe i ubezpieczeniowe.</w:t>
      </w:r>
    </w:p>
    <w:p w14:paraId="4EC712F0" w14:textId="18D5331A" w:rsidR="00F71625" w:rsidRDefault="004B068D" w:rsidP="00F65683">
      <w:pPr>
        <w:spacing w:line="240" w:lineRule="auto"/>
        <w:jc w:val="both"/>
        <w:rPr>
          <w:rFonts w:ascii="Times New Roman" w:hAnsi="Times New Roman" w:cs="Times New Roman"/>
          <w:sz w:val="24"/>
          <w:szCs w:val="24"/>
        </w:rPr>
      </w:pPr>
      <w:r w:rsidRPr="004B068D">
        <w:rPr>
          <w:rFonts w:ascii="Times New Roman" w:hAnsi="Times New Roman" w:cs="Times New Roman"/>
          <w:sz w:val="24"/>
          <w:szCs w:val="24"/>
        </w:rPr>
        <w:t>Ryzyko to występuje w przeważającej większości</w:t>
      </w:r>
      <w:r w:rsidR="000B32C6">
        <w:rPr>
          <w:rFonts w:ascii="Times New Roman" w:hAnsi="Times New Roman" w:cs="Times New Roman"/>
          <w:sz w:val="24"/>
          <w:szCs w:val="24"/>
        </w:rPr>
        <w:t xml:space="preserve"> u</w:t>
      </w:r>
      <w:r w:rsidRPr="004B068D">
        <w:rPr>
          <w:rFonts w:ascii="Times New Roman" w:hAnsi="Times New Roman" w:cs="Times New Roman"/>
          <w:sz w:val="24"/>
          <w:szCs w:val="24"/>
        </w:rPr>
        <w:t xml:space="preserve"> podatników </w:t>
      </w:r>
      <w:r w:rsidR="000B32C6">
        <w:rPr>
          <w:rFonts w:ascii="Times New Roman" w:hAnsi="Times New Roman" w:cs="Times New Roman"/>
          <w:sz w:val="24"/>
          <w:szCs w:val="24"/>
        </w:rPr>
        <w:t>znajdują</w:t>
      </w:r>
      <w:r w:rsidRPr="004B068D">
        <w:rPr>
          <w:rFonts w:ascii="Times New Roman" w:hAnsi="Times New Roman" w:cs="Times New Roman"/>
          <w:sz w:val="24"/>
          <w:szCs w:val="24"/>
        </w:rPr>
        <w:t>cych we właściwości pozostałych urzędów skarbowych.</w:t>
      </w:r>
    </w:p>
    <w:p w14:paraId="4A9F72EF" w14:textId="461634AD" w:rsidR="00581C78" w:rsidRPr="004B068D" w:rsidRDefault="00581C78" w:rsidP="00F65683">
      <w:pPr>
        <w:spacing w:after="0" w:line="240" w:lineRule="auto"/>
        <w:jc w:val="both"/>
        <w:rPr>
          <w:rFonts w:ascii="Times New Roman" w:hAnsi="Times New Roman" w:cs="Times New Roman"/>
          <w:sz w:val="24"/>
          <w:szCs w:val="24"/>
        </w:rPr>
      </w:pPr>
      <w:r w:rsidRPr="004B068D">
        <w:rPr>
          <w:rFonts w:ascii="Times New Roman" w:hAnsi="Times New Roman" w:cs="Times New Roman"/>
          <w:sz w:val="24"/>
          <w:szCs w:val="24"/>
        </w:rPr>
        <w:t>Obecnie podatnicy mają spory okres czasu na wystawienie faktur dokumentujących dokonaną sprzedaż. Niemniej zdarza się, że nie zostaną one z różnych przyczyn zachowane, co skutkuje ich niewystawieniem w ogóle. Dla większości przypadków podatnicy mają czas na wystawienie faktury do 15 dnia miesiąca następującego po tym, w którym dana czynność została wykonana (art. 106i ustawy o podatku od towarów i usług).</w:t>
      </w:r>
    </w:p>
    <w:p w14:paraId="62090F7E" w14:textId="5CEFAE95" w:rsidR="00581C78" w:rsidRPr="004B068D" w:rsidRDefault="00581C78" w:rsidP="00F65683">
      <w:pPr>
        <w:spacing w:after="0" w:line="240" w:lineRule="auto"/>
        <w:jc w:val="both"/>
        <w:rPr>
          <w:rFonts w:ascii="Times New Roman" w:hAnsi="Times New Roman" w:cs="Times New Roman"/>
          <w:sz w:val="24"/>
          <w:szCs w:val="24"/>
        </w:rPr>
      </w:pPr>
      <w:r w:rsidRPr="004B068D">
        <w:rPr>
          <w:rFonts w:ascii="Times New Roman" w:hAnsi="Times New Roman" w:cs="Times New Roman"/>
          <w:sz w:val="24"/>
          <w:szCs w:val="24"/>
        </w:rPr>
        <w:t>Od reguły ogólnej występują pewne wyjątki. Dotyczą one chociażby usług budowlanych, dostawy książek czy drukowania książek. W pierwszym z wymienionych przypadków faktura winna zostać wystawiona w terminie 30 dni od wykonania usługi, w kolejnych odpowiednio w</w:t>
      </w:r>
      <w:r w:rsidR="004B068D">
        <w:rPr>
          <w:rFonts w:ascii="Times New Roman" w:hAnsi="Times New Roman" w:cs="Times New Roman"/>
          <w:sz w:val="24"/>
          <w:szCs w:val="24"/>
        </w:rPr>
        <w:t> </w:t>
      </w:r>
      <w:r w:rsidRPr="004B068D">
        <w:rPr>
          <w:rFonts w:ascii="Times New Roman" w:hAnsi="Times New Roman" w:cs="Times New Roman"/>
          <w:sz w:val="24"/>
          <w:szCs w:val="24"/>
        </w:rPr>
        <w:t xml:space="preserve">terminie 60 (a niekiedy 120 od pierwszego wydania towaru) i 90 dni. </w:t>
      </w:r>
    </w:p>
    <w:p w14:paraId="0712BDE6" w14:textId="77777777" w:rsidR="00581C78" w:rsidRPr="004B068D" w:rsidRDefault="00581C78" w:rsidP="00F65683">
      <w:pPr>
        <w:spacing w:line="240" w:lineRule="auto"/>
        <w:jc w:val="both"/>
        <w:rPr>
          <w:rFonts w:ascii="Times New Roman" w:hAnsi="Times New Roman" w:cs="Times New Roman"/>
          <w:sz w:val="24"/>
          <w:szCs w:val="24"/>
        </w:rPr>
      </w:pPr>
      <w:r w:rsidRPr="004B068D">
        <w:rPr>
          <w:rFonts w:ascii="Times New Roman" w:hAnsi="Times New Roman" w:cs="Times New Roman"/>
          <w:sz w:val="24"/>
          <w:szCs w:val="24"/>
        </w:rPr>
        <w:t>Wskazać należy, iż niewystawienie faktury, nie zwalnia podatnika z obowiązku wykazania sprzedaży w odpowiednim okresie rozliczeniowym, jak też jej ujęcia w deklaracji VAT. Dotyczy to zarówno sprzedaży opodatkowanej jak i zwolnionej z podatku.</w:t>
      </w:r>
    </w:p>
    <w:p w14:paraId="750BD4ED" w14:textId="77777777" w:rsidR="00581C78" w:rsidRPr="004B068D" w:rsidRDefault="00581C78" w:rsidP="00F65683">
      <w:pPr>
        <w:spacing w:after="0" w:line="240" w:lineRule="auto"/>
        <w:rPr>
          <w:rFonts w:ascii="Times New Roman" w:hAnsi="Times New Roman" w:cs="Times New Roman"/>
          <w:i/>
          <w:sz w:val="24"/>
          <w:szCs w:val="24"/>
        </w:rPr>
      </w:pPr>
      <w:r w:rsidRPr="004B068D">
        <w:rPr>
          <w:rFonts w:ascii="Times New Roman" w:hAnsi="Times New Roman" w:cs="Times New Roman"/>
          <w:sz w:val="24"/>
          <w:szCs w:val="24"/>
        </w:rPr>
        <w:t>Ryzyko to uwzględnia dwa rodzaje typowych</w:t>
      </w:r>
      <w:r w:rsidRPr="004B068D">
        <w:rPr>
          <w:rFonts w:ascii="Times New Roman" w:hAnsi="Times New Roman" w:cs="Times New Roman"/>
          <w:i/>
          <w:sz w:val="24"/>
          <w:szCs w:val="24"/>
        </w:rPr>
        <w:t xml:space="preserve"> </w:t>
      </w:r>
      <w:r w:rsidRPr="004B068D">
        <w:rPr>
          <w:rFonts w:ascii="Times New Roman" w:hAnsi="Times New Roman" w:cs="Times New Roman"/>
          <w:sz w:val="24"/>
          <w:szCs w:val="24"/>
        </w:rPr>
        <w:t>zachowań:</w:t>
      </w:r>
    </w:p>
    <w:p w14:paraId="61F48706" w14:textId="50AECD08" w:rsidR="00581C78" w:rsidRPr="004B068D" w:rsidRDefault="00581C78" w:rsidP="00F65683">
      <w:pPr>
        <w:pStyle w:val="Akapitzlist"/>
        <w:numPr>
          <w:ilvl w:val="0"/>
          <w:numId w:val="36"/>
        </w:numPr>
        <w:spacing w:line="240" w:lineRule="auto"/>
        <w:jc w:val="both"/>
        <w:rPr>
          <w:rFonts w:ascii="Times New Roman" w:hAnsi="Times New Roman" w:cs="Times New Roman"/>
          <w:sz w:val="24"/>
          <w:szCs w:val="24"/>
        </w:rPr>
      </w:pPr>
      <w:r w:rsidRPr="004B068D">
        <w:rPr>
          <w:rFonts w:ascii="Times New Roman" w:hAnsi="Times New Roman" w:cs="Times New Roman"/>
          <w:sz w:val="24"/>
          <w:szCs w:val="24"/>
        </w:rPr>
        <w:t>kwota wskazana przez sprzedawcę na fakturze jest niższa niż kwota płatności za usługę zrealizowaną dla nabywcy i ta niższa kwota jest wykazywana przez sprzedawcę w</w:t>
      </w:r>
      <w:r w:rsidR="004B068D">
        <w:rPr>
          <w:rFonts w:ascii="Times New Roman" w:hAnsi="Times New Roman" w:cs="Times New Roman"/>
          <w:sz w:val="24"/>
          <w:szCs w:val="24"/>
        </w:rPr>
        <w:t> </w:t>
      </w:r>
      <w:r w:rsidRPr="004B068D">
        <w:rPr>
          <w:rFonts w:ascii="Times New Roman" w:hAnsi="Times New Roman" w:cs="Times New Roman"/>
          <w:sz w:val="24"/>
          <w:szCs w:val="24"/>
        </w:rPr>
        <w:t>ewidencjach prowadzonych dla celów podatkowych,</w:t>
      </w:r>
    </w:p>
    <w:p w14:paraId="7CECE5FD" w14:textId="0D5BEF8D" w:rsidR="00581C78" w:rsidRPr="004B068D" w:rsidRDefault="00581C78" w:rsidP="00F65683">
      <w:pPr>
        <w:pStyle w:val="Akapitzlist"/>
        <w:numPr>
          <w:ilvl w:val="0"/>
          <w:numId w:val="36"/>
        </w:numPr>
        <w:spacing w:line="240" w:lineRule="auto"/>
        <w:jc w:val="both"/>
        <w:rPr>
          <w:rFonts w:ascii="Times New Roman" w:hAnsi="Times New Roman" w:cs="Times New Roman"/>
          <w:sz w:val="24"/>
          <w:szCs w:val="24"/>
        </w:rPr>
      </w:pPr>
      <w:r w:rsidRPr="004B068D">
        <w:rPr>
          <w:rFonts w:ascii="Times New Roman" w:hAnsi="Times New Roman" w:cs="Times New Roman"/>
          <w:sz w:val="24"/>
          <w:szCs w:val="24"/>
        </w:rPr>
        <w:t>sprzedaż nie jest dokumentowana fakturą, ewidencjonowana i rozliczana dla celów podatkowych przez sprzedawcę.</w:t>
      </w:r>
    </w:p>
    <w:p w14:paraId="62628D96" w14:textId="7EC55BA7" w:rsidR="00581C78" w:rsidRPr="004B068D" w:rsidRDefault="00581C78" w:rsidP="00F65683">
      <w:pPr>
        <w:spacing w:line="240" w:lineRule="auto"/>
        <w:jc w:val="both"/>
        <w:rPr>
          <w:rFonts w:ascii="Times New Roman" w:hAnsi="Times New Roman" w:cs="Times New Roman"/>
          <w:sz w:val="24"/>
          <w:szCs w:val="24"/>
        </w:rPr>
      </w:pPr>
      <w:r w:rsidRPr="004B068D">
        <w:rPr>
          <w:rFonts w:ascii="Times New Roman" w:hAnsi="Times New Roman" w:cs="Times New Roman"/>
          <w:sz w:val="24"/>
          <w:szCs w:val="24"/>
        </w:rPr>
        <w:t>Zmaterializowanie się tego ryzyka rodzi negatywne skutki zarówno w obszarze podatków dochodowych jak i podatku od towarów i usług. Z reguły niewykazywanie przychodów (obrotu) łączy się też z</w:t>
      </w:r>
      <w:r w:rsidR="000B32C6">
        <w:rPr>
          <w:rFonts w:ascii="Times New Roman" w:hAnsi="Times New Roman" w:cs="Times New Roman"/>
          <w:sz w:val="24"/>
          <w:szCs w:val="24"/>
        </w:rPr>
        <w:t xml:space="preserve"> </w:t>
      </w:r>
      <w:r w:rsidRPr="004B068D">
        <w:rPr>
          <w:rFonts w:ascii="Times New Roman" w:hAnsi="Times New Roman" w:cs="Times New Roman"/>
          <w:sz w:val="24"/>
          <w:szCs w:val="24"/>
        </w:rPr>
        <w:t xml:space="preserve"> zatrudnianiem pracowników na czarno i nie odprowadzaniem przez płatnika zaliczek na podatek dochodowy.</w:t>
      </w:r>
    </w:p>
    <w:p w14:paraId="413E6785" w14:textId="77777777" w:rsidR="003E4900" w:rsidRPr="00D262D8" w:rsidRDefault="003E4900" w:rsidP="00F65683">
      <w:pPr>
        <w:spacing w:line="240" w:lineRule="auto"/>
        <w:jc w:val="both"/>
        <w:rPr>
          <w:rFonts w:ascii="Times New Roman" w:hAnsi="Times New Roman" w:cs="Times New Roman"/>
          <w:sz w:val="24"/>
          <w:szCs w:val="24"/>
        </w:rPr>
      </w:pPr>
    </w:p>
    <w:p w14:paraId="6CAF275E" w14:textId="3A89C0A3" w:rsidR="00500F01" w:rsidRPr="007818AE" w:rsidRDefault="00E96EBF" w:rsidP="00F65683">
      <w:pPr>
        <w:pStyle w:val="Nagwek2"/>
        <w:numPr>
          <w:ilvl w:val="0"/>
          <w:numId w:val="2"/>
        </w:numPr>
        <w:spacing w:after="120" w:line="240" w:lineRule="auto"/>
        <w:jc w:val="both"/>
        <w:rPr>
          <w:b/>
        </w:rPr>
      </w:pPr>
      <w:bookmarkStart w:id="12" w:name="_Toc428775842"/>
      <w:r w:rsidRPr="007818AE">
        <w:rPr>
          <w:b/>
        </w:rPr>
        <w:t>Ryzyko nieprawidłowości rozliczenia podatku VAT w odniesieniu do nieściągalnych wierzytelności (tzw. ulga na „złe długi”)</w:t>
      </w:r>
      <w:bookmarkEnd w:id="12"/>
    </w:p>
    <w:p w14:paraId="6B1ED3D6" w14:textId="50852F57" w:rsidR="00E96EBF" w:rsidRDefault="00E96EBF" w:rsidP="00F65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Występowanie wskazanego ryzyka stwierdzono </w:t>
      </w:r>
      <w:r w:rsidR="00AC5AE5">
        <w:rPr>
          <w:rFonts w:ascii="Times New Roman" w:hAnsi="Times New Roman" w:cs="Times New Roman"/>
          <w:sz w:val="24"/>
          <w:szCs w:val="24"/>
        </w:rPr>
        <w:t>w </w:t>
      </w:r>
      <w:r>
        <w:rPr>
          <w:rFonts w:ascii="Times New Roman" w:hAnsi="Times New Roman" w:cs="Times New Roman"/>
          <w:sz w:val="24"/>
          <w:szCs w:val="24"/>
        </w:rPr>
        <w:t>następujących podobszarach:</w:t>
      </w:r>
    </w:p>
    <w:p w14:paraId="18B196C8" w14:textId="0605B04C" w:rsidR="00E96EBF" w:rsidRPr="00F71625" w:rsidRDefault="00E96EBF" w:rsidP="00F65683">
      <w:pPr>
        <w:pStyle w:val="Akapitzlist"/>
        <w:numPr>
          <w:ilvl w:val="0"/>
          <w:numId w:val="21"/>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Produkcja materiałów budowlanych i usługi budowlane,</w:t>
      </w:r>
    </w:p>
    <w:p w14:paraId="6FF228A1" w14:textId="4687474C" w:rsidR="00E96EBF" w:rsidRPr="00F71625" w:rsidRDefault="00E96EBF" w:rsidP="00F65683">
      <w:pPr>
        <w:pStyle w:val="Akapitzlist"/>
        <w:numPr>
          <w:ilvl w:val="0"/>
          <w:numId w:val="21"/>
        </w:numPr>
        <w:spacing w:after="0" w:line="240" w:lineRule="auto"/>
        <w:jc w:val="both"/>
        <w:rPr>
          <w:rFonts w:ascii="Times New Roman" w:hAnsi="Times New Roman" w:cs="Times New Roman"/>
          <w:i/>
          <w:sz w:val="24"/>
          <w:szCs w:val="24"/>
        </w:rPr>
      </w:pPr>
      <w:r w:rsidRPr="00F71625">
        <w:rPr>
          <w:rFonts w:ascii="Times New Roman" w:hAnsi="Times New Roman" w:cs="Times New Roman"/>
          <w:i/>
          <w:sz w:val="24"/>
          <w:szCs w:val="24"/>
        </w:rPr>
        <w:t>Transport i logistyka.</w:t>
      </w:r>
    </w:p>
    <w:p w14:paraId="380DAE9C" w14:textId="77777777" w:rsidR="00E96EBF" w:rsidRDefault="00E96EBF" w:rsidP="00F65683">
      <w:pPr>
        <w:spacing w:after="0" w:line="240" w:lineRule="auto"/>
        <w:jc w:val="both"/>
        <w:rPr>
          <w:rFonts w:ascii="Times New Roman" w:hAnsi="Times New Roman" w:cs="Times New Roman"/>
          <w:bCs/>
          <w:sz w:val="24"/>
          <w:szCs w:val="24"/>
        </w:rPr>
      </w:pPr>
    </w:p>
    <w:p w14:paraId="7FF075E7" w14:textId="53F2548A" w:rsidR="00E96EBF" w:rsidRDefault="00E96EBF" w:rsidP="00F65683">
      <w:pPr>
        <w:spacing w:line="240" w:lineRule="auto"/>
        <w:jc w:val="both"/>
        <w:rPr>
          <w:rFonts w:ascii="Times New Roman" w:hAnsi="Times New Roman" w:cs="Times New Roman"/>
          <w:sz w:val="24"/>
          <w:szCs w:val="24"/>
        </w:rPr>
      </w:pPr>
      <w:r w:rsidRPr="007B6E51">
        <w:rPr>
          <w:rFonts w:ascii="Times New Roman" w:hAnsi="Times New Roman" w:cs="Times New Roman"/>
          <w:bCs/>
          <w:sz w:val="24"/>
          <w:szCs w:val="24"/>
        </w:rPr>
        <w:t xml:space="preserve">Zgodnie </w:t>
      </w:r>
      <w:r>
        <w:rPr>
          <w:rFonts w:ascii="Times New Roman" w:hAnsi="Times New Roman" w:cs="Times New Roman"/>
          <w:bCs/>
          <w:sz w:val="24"/>
          <w:szCs w:val="24"/>
        </w:rPr>
        <w:t>z ogólną zasadą wyrażoną w a</w:t>
      </w:r>
      <w:r w:rsidRPr="007B6E51">
        <w:rPr>
          <w:rFonts w:ascii="Times New Roman" w:hAnsi="Times New Roman" w:cs="Times New Roman"/>
          <w:bCs/>
          <w:sz w:val="24"/>
          <w:szCs w:val="24"/>
        </w:rPr>
        <w:t>rt. 19a</w:t>
      </w:r>
      <w:r>
        <w:rPr>
          <w:rFonts w:ascii="Times New Roman" w:hAnsi="Times New Roman" w:cs="Times New Roman"/>
          <w:bCs/>
          <w:sz w:val="24"/>
          <w:szCs w:val="24"/>
        </w:rPr>
        <w:t xml:space="preserve"> ust.</w:t>
      </w:r>
      <w:r w:rsidRPr="007B6E51">
        <w:rPr>
          <w:rFonts w:ascii="Times New Roman" w:hAnsi="Times New Roman" w:cs="Times New Roman"/>
          <w:bCs/>
          <w:sz w:val="24"/>
          <w:szCs w:val="24"/>
        </w:rPr>
        <w:t xml:space="preserve"> </w:t>
      </w:r>
      <w:r w:rsidRPr="007B6E51">
        <w:rPr>
          <w:rFonts w:ascii="Times New Roman" w:hAnsi="Times New Roman" w:cs="Times New Roman"/>
          <w:sz w:val="24"/>
          <w:szCs w:val="24"/>
        </w:rPr>
        <w:t>1</w:t>
      </w:r>
      <w:r>
        <w:rPr>
          <w:rFonts w:ascii="Times New Roman" w:hAnsi="Times New Roman" w:cs="Times New Roman"/>
          <w:sz w:val="24"/>
          <w:szCs w:val="24"/>
        </w:rPr>
        <w:t xml:space="preserve"> ustawy o podatku od towarów i usług (dalej: uVAT),</w:t>
      </w:r>
      <w:r w:rsidRPr="007B6E51">
        <w:rPr>
          <w:rFonts w:ascii="Times New Roman" w:hAnsi="Times New Roman" w:cs="Times New Roman"/>
          <w:sz w:val="24"/>
          <w:szCs w:val="24"/>
        </w:rPr>
        <w:t xml:space="preserve"> </w:t>
      </w:r>
      <w:r>
        <w:rPr>
          <w:rFonts w:ascii="Times New Roman" w:hAnsi="Times New Roman" w:cs="Times New Roman"/>
          <w:sz w:val="24"/>
          <w:szCs w:val="24"/>
        </w:rPr>
        <w:t>o</w:t>
      </w:r>
      <w:r w:rsidRPr="007B6E51">
        <w:rPr>
          <w:rFonts w:ascii="Times New Roman" w:hAnsi="Times New Roman" w:cs="Times New Roman"/>
          <w:sz w:val="24"/>
          <w:szCs w:val="24"/>
        </w:rPr>
        <w:t>bowiązek podatkowy</w:t>
      </w:r>
      <w:r>
        <w:rPr>
          <w:rFonts w:ascii="Times New Roman" w:hAnsi="Times New Roman" w:cs="Times New Roman"/>
          <w:sz w:val="24"/>
          <w:szCs w:val="24"/>
        </w:rPr>
        <w:t xml:space="preserve"> w podatku VAT</w:t>
      </w:r>
      <w:r w:rsidRPr="007B6E51">
        <w:rPr>
          <w:rFonts w:ascii="Times New Roman" w:hAnsi="Times New Roman" w:cs="Times New Roman"/>
          <w:sz w:val="24"/>
          <w:szCs w:val="24"/>
        </w:rPr>
        <w:t xml:space="preserve"> powstaje z chwilą dokonania dostawy towarów lub </w:t>
      </w:r>
      <w:r w:rsidRPr="00954DEC">
        <w:rPr>
          <w:rFonts w:ascii="Times New Roman" w:hAnsi="Times New Roman" w:cs="Times New Roman"/>
          <w:sz w:val="24"/>
          <w:szCs w:val="24"/>
        </w:rPr>
        <w:t>wykonania usługi; pewne zastrzeżenia w odniesieniu do tej zasady przewidziano w</w:t>
      </w:r>
      <w:r w:rsidR="007E1BD9">
        <w:rPr>
          <w:rFonts w:ascii="Times New Roman" w:hAnsi="Times New Roman" w:cs="Times New Roman"/>
          <w:sz w:val="24"/>
          <w:szCs w:val="24"/>
        </w:rPr>
        <w:t> </w:t>
      </w:r>
      <w:r w:rsidRPr="00954DEC">
        <w:rPr>
          <w:rFonts w:ascii="Times New Roman" w:hAnsi="Times New Roman" w:cs="Times New Roman"/>
          <w:sz w:val="24"/>
          <w:szCs w:val="24"/>
        </w:rPr>
        <w:t xml:space="preserve">przepisach art. 19a ust. 5 i 7–11, art. 14 ust. 6, art. 20 i art. 21 ust. 1 uVAT. </w:t>
      </w:r>
      <w:r>
        <w:rPr>
          <w:rFonts w:ascii="Times New Roman" w:hAnsi="Times New Roman" w:cs="Times New Roman"/>
          <w:sz w:val="24"/>
          <w:szCs w:val="24"/>
        </w:rPr>
        <w:t>Brzmienie przytoczonego przepisu ws</w:t>
      </w:r>
      <w:r w:rsidRPr="00954DEC">
        <w:rPr>
          <w:rFonts w:ascii="Times New Roman" w:hAnsi="Times New Roman" w:cs="Times New Roman"/>
          <w:sz w:val="24"/>
          <w:szCs w:val="24"/>
        </w:rPr>
        <w:t>ka</w:t>
      </w:r>
      <w:r>
        <w:rPr>
          <w:rFonts w:ascii="Times New Roman" w:hAnsi="Times New Roman" w:cs="Times New Roman"/>
          <w:sz w:val="24"/>
          <w:szCs w:val="24"/>
        </w:rPr>
        <w:t>zuje</w:t>
      </w:r>
      <w:r w:rsidRPr="00954DEC">
        <w:rPr>
          <w:rFonts w:ascii="Times New Roman" w:hAnsi="Times New Roman" w:cs="Times New Roman"/>
          <w:sz w:val="24"/>
          <w:szCs w:val="24"/>
        </w:rPr>
        <w:t>, że podstawowym warunkiem przesądzającym o powstaniu obowiązku zapłaty podatku VAT zasadniczo jest samo dokonanie dostawy towaru lub wykonanie usługi. W myśl ogólnej zasady przewidzianej w a</w:t>
      </w:r>
      <w:r w:rsidRPr="00954DEC">
        <w:rPr>
          <w:rFonts w:ascii="Times New Roman" w:hAnsi="Times New Roman" w:cs="Times New Roman"/>
          <w:bCs/>
          <w:sz w:val="24"/>
          <w:szCs w:val="24"/>
        </w:rPr>
        <w:t xml:space="preserve">rt. 103 ust. </w:t>
      </w:r>
      <w:r w:rsidRPr="00954DEC">
        <w:rPr>
          <w:rFonts w:ascii="Times New Roman" w:hAnsi="Times New Roman" w:cs="Times New Roman"/>
          <w:sz w:val="24"/>
          <w:szCs w:val="24"/>
        </w:rPr>
        <w:t xml:space="preserve">1 </w:t>
      </w:r>
      <w:r w:rsidR="007818AE">
        <w:rPr>
          <w:rFonts w:ascii="Times New Roman" w:hAnsi="Times New Roman" w:cs="Times New Roman"/>
          <w:sz w:val="24"/>
          <w:szCs w:val="24"/>
        </w:rPr>
        <w:t xml:space="preserve">i 2 </w:t>
      </w:r>
      <w:r w:rsidRPr="00954DEC">
        <w:rPr>
          <w:rFonts w:ascii="Times New Roman" w:hAnsi="Times New Roman" w:cs="Times New Roman"/>
          <w:sz w:val="24"/>
          <w:szCs w:val="24"/>
        </w:rPr>
        <w:t xml:space="preserve">uVAT podatnicy są zobligowani, bez wezwania naczelnika urzędu skarbowego, do obliczania i wpłacania na rachunek urzędu skarbowego podatku VAT za okresy miesięczne </w:t>
      </w:r>
      <w:r w:rsidR="007818AE">
        <w:rPr>
          <w:rFonts w:ascii="Times New Roman" w:hAnsi="Times New Roman" w:cs="Times New Roman"/>
          <w:sz w:val="24"/>
          <w:szCs w:val="24"/>
        </w:rPr>
        <w:t xml:space="preserve">(kwartalne) </w:t>
      </w:r>
      <w:r w:rsidRPr="00954DEC">
        <w:rPr>
          <w:rFonts w:ascii="Times New Roman" w:hAnsi="Times New Roman" w:cs="Times New Roman"/>
          <w:sz w:val="24"/>
          <w:szCs w:val="24"/>
        </w:rPr>
        <w:t>w terminie do 25. dnia miesiąca następującego po miesiącu, w którym powstał obowiązek podatkowy. Z</w:t>
      </w:r>
      <w:r w:rsidR="007818AE">
        <w:rPr>
          <w:rFonts w:ascii="Times New Roman" w:hAnsi="Times New Roman" w:cs="Times New Roman"/>
          <w:sz w:val="24"/>
          <w:szCs w:val="24"/>
        </w:rPr>
        <w:t> </w:t>
      </w:r>
      <w:r w:rsidRPr="00954DEC">
        <w:rPr>
          <w:rFonts w:ascii="Times New Roman" w:hAnsi="Times New Roman" w:cs="Times New Roman"/>
          <w:sz w:val="24"/>
          <w:szCs w:val="24"/>
        </w:rPr>
        <w:t>powyższego wynika, że obowiązek zapłaty podatku należnego od dokonanej dostawy towaru lub wykonanej usługi w miesiącu następującym po miesiącu</w:t>
      </w:r>
      <w:r w:rsidR="004D7507">
        <w:rPr>
          <w:rFonts w:ascii="Times New Roman" w:hAnsi="Times New Roman" w:cs="Times New Roman"/>
          <w:sz w:val="24"/>
          <w:szCs w:val="24"/>
        </w:rPr>
        <w:t xml:space="preserve"> (kwartale)</w:t>
      </w:r>
      <w:r w:rsidRPr="00954DEC">
        <w:rPr>
          <w:rFonts w:ascii="Times New Roman" w:hAnsi="Times New Roman" w:cs="Times New Roman"/>
          <w:sz w:val="24"/>
          <w:szCs w:val="24"/>
        </w:rPr>
        <w:t>, w którym nastąpiła dostawa towaru lub</w:t>
      </w:r>
      <w:r w:rsidR="007E1BD9">
        <w:rPr>
          <w:rFonts w:ascii="Times New Roman" w:hAnsi="Times New Roman" w:cs="Times New Roman"/>
          <w:sz w:val="24"/>
          <w:szCs w:val="24"/>
        </w:rPr>
        <w:t> </w:t>
      </w:r>
      <w:r w:rsidRPr="00954DEC">
        <w:rPr>
          <w:rFonts w:ascii="Times New Roman" w:hAnsi="Times New Roman" w:cs="Times New Roman"/>
          <w:sz w:val="24"/>
          <w:szCs w:val="24"/>
        </w:rPr>
        <w:t>wykonanie usługi,</w:t>
      </w:r>
      <w:r>
        <w:rPr>
          <w:rFonts w:ascii="Times New Roman" w:hAnsi="Times New Roman" w:cs="Times New Roman"/>
          <w:sz w:val="24"/>
          <w:szCs w:val="24"/>
        </w:rPr>
        <w:t xml:space="preserve"> powstaje niezależnie od tego, czy podatnik uzyskał zapłatę za dostarczony towar lub wykonaną usługę. Z uwagi na powszechne stosowanie w</w:t>
      </w:r>
      <w:r w:rsidR="00F437FB">
        <w:rPr>
          <w:rFonts w:ascii="Times New Roman" w:hAnsi="Times New Roman" w:cs="Times New Roman"/>
          <w:sz w:val="24"/>
          <w:szCs w:val="24"/>
        </w:rPr>
        <w:t> </w:t>
      </w:r>
      <w:r>
        <w:rPr>
          <w:rFonts w:ascii="Times New Roman" w:hAnsi="Times New Roman" w:cs="Times New Roman"/>
          <w:sz w:val="24"/>
          <w:szCs w:val="24"/>
        </w:rPr>
        <w:t>obrocie gospodarczym tzw. kredytu kupieckiego (czyli odraczanie obowiązku zapłaty ceny na późniejszy termin, niekiedy nawet kilkumiesięczny), podatnik często zmuszony jest dokonać zapłaty podatku VAT z własnych środków, gdyż przed upływem terminu zapłaty tego podatku nie otrzymał jeszcze zapłaty od swojego kontrahenta. Niestety, nierzadko zdarza się, iż – mimo upływu umówionego odroczonego terminu płatności – podatnik spodziewanej zapłaty nie</w:t>
      </w:r>
      <w:r w:rsidR="00F437FB">
        <w:rPr>
          <w:rFonts w:ascii="Times New Roman" w:hAnsi="Times New Roman" w:cs="Times New Roman"/>
          <w:sz w:val="24"/>
          <w:szCs w:val="24"/>
        </w:rPr>
        <w:t> </w:t>
      </w:r>
      <w:r>
        <w:rPr>
          <w:rFonts w:ascii="Times New Roman" w:hAnsi="Times New Roman" w:cs="Times New Roman"/>
          <w:sz w:val="24"/>
          <w:szCs w:val="24"/>
        </w:rPr>
        <w:t>otrzymuje. Co gorsze, wdrożone postępowanie windykacyjne (pociągające</w:t>
      </w:r>
      <w:r w:rsidRPr="00FA70AE">
        <w:rPr>
          <w:rFonts w:ascii="Times New Roman" w:hAnsi="Times New Roman" w:cs="Times New Roman"/>
          <w:sz w:val="24"/>
          <w:szCs w:val="24"/>
        </w:rPr>
        <w:t xml:space="preserve"> </w:t>
      </w:r>
      <w:r>
        <w:rPr>
          <w:rFonts w:ascii="Times New Roman" w:hAnsi="Times New Roman" w:cs="Times New Roman"/>
          <w:sz w:val="24"/>
          <w:szCs w:val="24"/>
        </w:rPr>
        <w:t>wszak za sobą konieczność poniesienia przez podatnika dodatkowych kosztów) dość często nie przynosi oczekiwanego rezultatu. Z uwagi na dużą częstotliwość takich sytuacji pojawia się w obrocie gospodarczym nadzwyczaj niekorzystne zjawisko tzw. zatorów płatniczych, prowadzące bardzo często do zrujnowania i bankructwa licznych przedsiębiorstw, które – z uwagi na z</w:t>
      </w:r>
      <w:r w:rsidR="007E1BD9">
        <w:rPr>
          <w:rFonts w:ascii="Times New Roman" w:hAnsi="Times New Roman" w:cs="Times New Roman"/>
          <w:sz w:val="24"/>
          <w:szCs w:val="24"/>
        </w:rPr>
        <w:t> </w:t>
      </w:r>
      <w:r>
        <w:rPr>
          <w:rFonts w:ascii="Times New Roman" w:hAnsi="Times New Roman" w:cs="Times New Roman"/>
          <w:sz w:val="24"/>
          <w:szCs w:val="24"/>
        </w:rPr>
        <w:t>reguły swój mniejszy rozmiar – nie posiadały dostatecznej bazy kapitałowej zabezpieczającej płynność finansową na wypadek niesolidności swoich kontrahentów.</w:t>
      </w:r>
    </w:p>
    <w:p w14:paraId="46E819F3" w14:textId="77777777" w:rsidR="00E96EBF" w:rsidRDefault="00E96EBF" w:rsidP="00F656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Dostrzegając skalę zagrożeń dla całej gospodarki płynących z występowania zatorów płatniczych, ustawodawca wprowadził do uVAT rozwiązania (art. 89a i art. 89b) mające przynieść ulgę (tzw. ulgę na „złe długi”) podatnikom długoterminowo kredytującym niesolidnych kontrahentów, a jednocześnie zmobilizować tychże kontrahentów do wywiązania się z zobowiązań </w:t>
      </w:r>
      <w:r w:rsidRPr="004E2D01">
        <w:rPr>
          <w:rFonts w:ascii="Times New Roman" w:hAnsi="Times New Roman" w:cs="Times New Roman"/>
          <w:sz w:val="24"/>
          <w:szCs w:val="24"/>
        </w:rPr>
        <w:t>płatniczych. Zgodnie z art. 89a ust. 1 uVAT podatnik</w:t>
      </w:r>
      <w:r>
        <w:rPr>
          <w:rFonts w:ascii="Times New Roman" w:hAnsi="Times New Roman" w:cs="Times New Roman"/>
          <w:sz w:val="24"/>
          <w:szCs w:val="24"/>
        </w:rPr>
        <w:t>/wierzyciel</w:t>
      </w:r>
      <w:r w:rsidRPr="004E2D01">
        <w:rPr>
          <w:rFonts w:ascii="Times New Roman" w:hAnsi="Times New Roman" w:cs="Times New Roman"/>
          <w:sz w:val="24"/>
          <w:szCs w:val="24"/>
        </w:rPr>
        <w:t xml:space="preserve"> nabywa zatem prawo do skorygowania (w całości lub części) podstawy opodatkowania oraz podatku należnego z </w:t>
      </w:r>
      <w:r w:rsidRPr="006B4AD1">
        <w:rPr>
          <w:rFonts w:ascii="Times New Roman" w:hAnsi="Times New Roman" w:cs="Times New Roman"/>
          <w:sz w:val="24"/>
          <w:szCs w:val="24"/>
        </w:rPr>
        <w:t xml:space="preserve">tytułu dostawy towarów lub świadczenia usług na terytorium kraju w przypadku wierzytelności, których nieściągalność została uprawdopodobniona. Nieściągalność wierzytelności uważa się za uprawdopodobnioną, w przypadku gdy wierzytelność nie została uregulowana lub zbyta w jakiejkolwiek formie w ciągu 150 dni od dnia upływu terminu jej płatności określonego w </w:t>
      </w:r>
      <w:r w:rsidRPr="00E34634">
        <w:rPr>
          <w:rFonts w:ascii="Times New Roman" w:hAnsi="Times New Roman" w:cs="Times New Roman"/>
          <w:sz w:val="24"/>
          <w:szCs w:val="24"/>
        </w:rPr>
        <w:t xml:space="preserve">umowie lub na fakturze (art. 89a ust. 1a). W myśl art. 89a ust. 5 podatnik/wierzyciel, składając korygującą deklarację podatkową, obowiązany jest zawiadomić o tej korekcie właściwego dla niego naczelnika urzędu skarbowego wraz z podaniem kwot korekty oraz danych dłużnika. Dłużnik z kolei – w myśl art. 89b ust. 1 uVAT – w </w:t>
      </w:r>
      <w:r w:rsidRPr="005B5713">
        <w:rPr>
          <w:rFonts w:ascii="Times New Roman" w:hAnsi="Times New Roman" w:cs="Times New Roman"/>
          <w:sz w:val="24"/>
          <w:szCs w:val="24"/>
        </w:rPr>
        <w:t xml:space="preserve">przypadku nieuregulowania należności wynikającej z faktury dokumentującej dostawę towarów lub świadczenie usług na terytorium kraju w terminie 150 dni od dnia upływu terminu jej płatności określonego w umowie lub na fakturze, zobligowany jest do korekty odliczonej kwoty podatku wynikającej z tej faktury, w rozliczeniu za okres, w którym upłynął 150 dzień od dnia upływu terminu płatności określonego w umowie lub na fakturze. Taka </w:t>
      </w:r>
      <w:r>
        <w:rPr>
          <w:rFonts w:ascii="Times New Roman" w:hAnsi="Times New Roman" w:cs="Times New Roman"/>
          <w:sz w:val="24"/>
          <w:szCs w:val="24"/>
        </w:rPr>
        <w:t>„zwierciadlana” relacja pomiędzy uprawnieniem wierzyciela a obowiązkiem dłużnika, oprócz sprawiedliwego rozłożenia ciężaru finansowania podatku VAT należnego od dokonanej dostawy towaru lub wykonanej usługi, ma także zapewnić finansową neutralność</w:t>
      </w:r>
      <w:r w:rsidRPr="005B5713">
        <w:rPr>
          <w:rFonts w:ascii="Times New Roman" w:hAnsi="Times New Roman" w:cs="Times New Roman"/>
          <w:sz w:val="24"/>
          <w:szCs w:val="24"/>
        </w:rPr>
        <w:t xml:space="preserve"> </w:t>
      </w:r>
      <w:r>
        <w:rPr>
          <w:rFonts w:ascii="Times New Roman" w:hAnsi="Times New Roman" w:cs="Times New Roman"/>
          <w:sz w:val="24"/>
          <w:szCs w:val="24"/>
        </w:rPr>
        <w:t>tego rozwiązania dla budżetu Państwa.</w:t>
      </w:r>
    </w:p>
    <w:p w14:paraId="51386302" w14:textId="77777777" w:rsidR="00E96EBF" w:rsidRPr="00AE6494" w:rsidRDefault="00E96EBF" w:rsidP="00F656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Nieprawidłowości w wykonywaniu obowiązków podatkowych w związku ze skorzystaniem z ulgi na „złe długi” mogą </w:t>
      </w:r>
      <w:r w:rsidRPr="00AE6494">
        <w:rPr>
          <w:rFonts w:ascii="Times New Roman" w:hAnsi="Times New Roman" w:cs="Times New Roman"/>
          <w:sz w:val="24"/>
          <w:szCs w:val="24"/>
        </w:rPr>
        <w:t xml:space="preserve">wystąpić zarówno po stronie dłużnika, jak i wierzyciela. </w:t>
      </w:r>
      <w:r>
        <w:rPr>
          <w:rFonts w:ascii="Times New Roman" w:hAnsi="Times New Roman" w:cs="Times New Roman"/>
          <w:sz w:val="24"/>
          <w:szCs w:val="24"/>
        </w:rPr>
        <w:t>Wykrycie takich nieprawidłowości – z zasady – wymaga przeprowadzenia skoordynowanych czynności wyjaśniających w stosunku do wierzyciela i dłużnika, co może być utrudnione w przypadku różnej właściwości miejscowej tych podmiotów.</w:t>
      </w:r>
    </w:p>
    <w:p w14:paraId="7B3B147F" w14:textId="77777777" w:rsidR="00E96EBF" w:rsidRPr="00AE6494" w:rsidRDefault="00E96EBF" w:rsidP="00F65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Potencjalnie możliwe u</w:t>
      </w:r>
      <w:r w:rsidRPr="00AE6494">
        <w:rPr>
          <w:rFonts w:ascii="Times New Roman" w:hAnsi="Times New Roman" w:cs="Times New Roman"/>
          <w:sz w:val="24"/>
          <w:szCs w:val="24"/>
        </w:rPr>
        <w:t>chybienia po stronie dłużnika:</w:t>
      </w:r>
    </w:p>
    <w:p w14:paraId="248E4500" w14:textId="77777777" w:rsidR="00E96EBF" w:rsidRPr="00AE6494" w:rsidRDefault="00E96EBF" w:rsidP="00F65683">
      <w:pPr>
        <w:pStyle w:val="Akapitzlist"/>
        <w:numPr>
          <w:ilvl w:val="0"/>
          <w:numId w:val="8"/>
        </w:numPr>
        <w:spacing w:line="240" w:lineRule="auto"/>
        <w:jc w:val="both"/>
        <w:rPr>
          <w:rFonts w:ascii="Times New Roman" w:hAnsi="Times New Roman" w:cs="Times New Roman"/>
          <w:sz w:val="24"/>
          <w:szCs w:val="24"/>
        </w:rPr>
      </w:pPr>
      <w:r w:rsidRPr="00AE6494">
        <w:rPr>
          <w:rFonts w:ascii="Times New Roman" w:hAnsi="Times New Roman" w:cs="Times New Roman"/>
          <w:sz w:val="24"/>
          <w:szCs w:val="24"/>
        </w:rPr>
        <w:t>zaniechanie dokonania przewidzianej w art. 89b ust. 1 korekty odliczonej kwoty podatku wynikającej z niezapłaconej faktury</w:t>
      </w:r>
      <w:r>
        <w:rPr>
          <w:rFonts w:ascii="Times New Roman" w:hAnsi="Times New Roman" w:cs="Times New Roman"/>
          <w:sz w:val="24"/>
          <w:szCs w:val="24"/>
        </w:rPr>
        <w:t xml:space="preserve"> (ewentualnie wykazanie w deklaracji korygującej nieprawidłowej kwoty)</w:t>
      </w:r>
      <w:r w:rsidRPr="00AE6494">
        <w:rPr>
          <w:rFonts w:ascii="Times New Roman" w:hAnsi="Times New Roman" w:cs="Times New Roman"/>
          <w:sz w:val="24"/>
          <w:szCs w:val="24"/>
        </w:rPr>
        <w:t>, w rozliczeniu za okres, w którym upłynął 150 dzień od dnia upływu terminu płatności określonego w umowie lub na fakturze,</w:t>
      </w:r>
    </w:p>
    <w:p w14:paraId="00F9C408" w14:textId="65D1F841" w:rsidR="00E96EBF" w:rsidRPr="00AE6494" w:rsidRDefault="00E96EBF" w:rsidP="00F65683">
      <w:pPr>
        <w:pStyle w:val="Akapitzlist"/>
        <w:numPr>
          <w:ilvl w:val="0"/>
          <w:numId w:val="8"/>
        </w:numPr>
        <w:spacing w:line="240" w:lineRule="auto"/>
        <w:jc w:val="both"/>
        <w:rPr>
          <w:rFonts w:ascii="Times New Roman" w:hAnsi="Times New Roman" w:cs="Times New Roman"/>
          <w:sz w:val="24"/>
          <w:szCs w:val="24"/>
        </w:rPr>
      </w:pPr>
      <w:r w:rsidRPr="00AE6494">
        <w:rPr>
          <w:rFonts w:ascii="Times New Roman" w:hAnsi="Times New Roman" w:cs="Times New Roman"/>
          <w:sz w:val="24"/>
          <w:szCs w:val="24"/>
        </w:rPr>
        <w:t xml:space="preserve">bezzasadne </w:t>
      </w:r>
      <w:r w:rsidR="006D0387">
        <w:rPr>
          <w:rFonts w:ascii="Times New Roman" w:hAnsi="Times New Roman" w:cs="Times New Roman"/>
          <w:sz w:val="24"/>
          <w:szCs w:val="24"/>
        </w:rPr>
        <w:t xml:space="preserve">(niemające odzwierciedlenia w faktycznym uregulowaniu długu przez dłużnika) </w:t>
      </w:r>
      <w:r w:rsidRPr="00AE6494">
        <w:rPr>
          <w:rFonts w:ascii="Times New Roman" w:hAnsi="Times New Roman" w:cs="Times New Roman"/>
          <w:sz w:val="24"/>
          <w:szCs w:val="24"/>
        </w:rPr>
        <w:t>skorzystanie przez dłużnika z przewidzianego w</w:t>
      </w:r>
      <w:r w:rsidR="00D61908">
        <w:rPr>
          <w:rFonts w:ascii="Times New Roman" w:hAnsi="Times New Roman" w:cs="Times New Roman"/>
          <w:sz w:val="24"/>
          <w:szCs w:val="24"/>
        </w:rPr>
        <w:t> </w:t>
      </w:r>
      <w:r w:rsidRPr="00AE6494">
        <w:rPr>
          <w:rFonts w:ascii="Times New Roman" w:hAnsi="Times New Roman" w:cs="Times New Roman"/>
          <w:sz w:val="24"/>
          <w:szCs w:val="24"/>
        </w:rPr>
        <w:t>art.</w:t>
      </w:r>
      <w:r w:rsidR="007E1BD9">
        <w:rPr>
          <w:rFonts w:ascii="Times New Roman" w:hAnsi="Times New Roman" w:cs="Times New Roman"/>
          <w:sz w:val="24"/>
          <w:szCs w:val="24"/>
        </w:rPr>
        <w:t> </w:t>
      </w:r>
      <w:r w:rsidR="006D0387">
        <w:rPr>
          <w:rFonts w:ascii="Times New Roman" w:hAnsi="Times New Roman" w:cs="Times New Roman"/>
          <w:sz w:val="24"/>
          <w:szCs w:val="24"/>
        </w:rPr>
        <w:t>89b ust. 4 p</w:t>
      </w:r>
      <w:r w:rsidRPr="00AE6494">
        <w:rPr>
          <w:rFonts w:ascii="Times New Roman" w:hAnsi="Times New Roman" w:cs="Times New Roman"/>
          <w:sz w:val="24"/>
          <w:szCs w:val="24"/>
        </w:rPr>
        <w:t xml:space="preserve">rawa do zwiększenia kwoty podatku naliczonego w rozliczeniu za okres, w którym należność </w:t>
      </w:r>
      <w:r w:rsidR="006D0387">
        <w:rPr>
          <w:rFonts w:ascii="Times New Roman" w:hAnsi="Times New Roman" w:cs="Times New Roman"/>
          <w:sz w:val="24"/>
          <w:szCs w:val="24"/>
        </w:rPr>
        <w:t xml:space="preserve">rzekomo </w:t>
      </w:r>
      <w:r w:rsidRPr="00AE6494">
        <w:rPr>
          <w:rFonts w:ascii="Times New Roman" w:hAnsi="Times New Roman" w:cs="Times New Roman"/>
          <w:sz w:val="24"/>
          <w:szCs w:val="24"/>
        </w:rPr>
        <w:t>uregulowano, o kwotę podatku skorygowanego.</w:t>
      </w:r>
    </w:p>
    <w:p w14:paraId="08E20EC6" w14:textId="77777777" w:rsidR="00E96EBF" w:rsidRPr="00AE6494" w:rsidRDefault="00E96EBF" w:rsidP="00F65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Potencjalnie możliwe u</w:t>
      </w:r>
      <w:r w:rsidRPr="00AE6494">
        <w:rPr>
          <w:rFonts w:ascii="Times New Roman" w:hAnsi="Times New Roman" w:cs="Times New Roman"/>
          <w:sz w:val="24"/>
          <w:szCs w:val="24"/>
        </w:rPr>
        <w:t>chybienia po stronie wierzyciela:</w:t>
      </w:r>
    </w:p>
    <w:p w14:paraId="635D6751" w14:textId="77777777" w:rsidR="00E96EBF" w:rsidRDefault="00E96EBF" w:rsidP="00F65683">
      <w:pPr>
        <w:pStyle w:val="Akapitzlist"/>
        <w:numPr>
          <w:ilvl w:val="0"/>
          <w:numId w:val="9"/>
        </w:numPr>
        <w:spacing w:line="240" w:lineRule="auto"/>
        <w:jc w:val="both"/>
        <w:rPr>
          <w:rFonts w:ascii="Times New Roman" w:hAnsi="Times New Roman" w:cs="Times New Roman"/>
          <w:sz w:val="24"/>
          <w:szCs w:val="24"/>
        </w:rPr>
      </w:pPr>
      <w:r w:rsidRPr="00AE6494">
        <w:rPr>
          <w:rFonts w:ascii="Times New Roman" w:hAnsi="Times New Roman" w:cs="Times New Roman"/>
          <w:sz w:val="24"/>
          <w:szCs w:val="24"/>
        </w:rPr>
        <w:t>niespełnienie warunków do skorzystania z prawa do ulgi na „złe długi” (np. zbycie nieuregulowanej wierzytelności, upadłość lub likwidacja dłużnika, upływ 2-letniego okresu od daty wystawienia faktury dokumentującej wierzytelność</w:t>
      </w:r>
      <w:r>
        <w:rPr>
          <w:rFonts w:ascii="Times New Roman" w:hAnsi="Times New Roman" w:cs="Times New Roman"/>
          <w:sz w:val="24"/>
          <w:szCs w:val="24"/>
        </w:rPr>
        <w:t>),</w:t>
      </w:r>
    </w:p>
    <w:p w14:paraId="007EFC33" w14:textId="595F589E" w:rsidR="00E96EBF" w:rsidRPr="00AE6494" w:rsidRDefault="00E96EBF" w:rsidP="00F65683">
      <w:pPr>
        <w:pStyle w:val="Akapitzlist"/>
        <w:numPr>
          <w:ilvl w:val="0"/>
          <w:numId w:val="9"/>
        </w:numPr>
        <w:spacing w:line="240" w:lineRule="auto"/>
        <w:jc w:val="both"/>
        <w:rPr>
          <w:rFonts w:ascii="Times New Roman" w:hAnsi="Times New Roman" w:cs="Times New Roman"/>
          <w:sz w:val="24"/>
          <w:szCs w:val="24"/>
        </w:rPr>
      </w:pPr>
      <w:r w:rsidRPr="00D62D0F">
        <w:rPr>
          <w:rFonts w:ascii="Times New Roman" w:hAnsi="Times New Roman" w:cs="Times New Roman"/>
          <w:sz w:val="24"/>
          <w:szCs w:val="24"/>
        </w:rPr>
        <w:t xml:space="preserve">niewykonanie obowiązku (w całości lub w części) – </w:t>
      </w:r>
      <w:r w:rsidR="00D579DD">
        <w:rPr>
          <w:rFonts w:ascii="Times New Roman" w:hAnsi="Times New Roman" w:cs="Times New Roman"/>
          <w:sz w:val="24"/>
          <w:szCs w:val="24"/>
        </w:rPr>
        <w:t xml:space="preserve">w </w:t>
      </w:r>
      <w:r w:rsidRPr="00D62D0F">
        <w:rPr>
          <w:rFonts w:ascii="Times New Roman" w:hAnsi="Times New Roman" w:cs="Times New Roman"/>
          <w:sz w:val="24"/>
          <w:szCs w:val="24"/>
        </w:rPr>
        <w:t>przypadku, gdy po złożeniu deklaracji korygującej podatek należny, należność została uregulowana przez dłużnika lub zbyta w jakiejkolwiek formie – zwiększenia podstawy opodatkowania oraz kwoty podatku należnego w rozliczeniu za okres, w którym należność została uregulowana lub zbyta.</w:t>
      </w:r>
    </w:p>
    <w:p w14:paraId="51B0039B" w14:textId="77777777" w:rsidR="00E96EBF" w:rsidRPr="00E96EBF" w:rsidRDefault="00E96EBF" w:rsidP="00F65683">
      <w:pPr>
        <w:spacing w:line="240" w:lineRule="auto"/>
      </w:pPr>
    </w:p>
    <w:p w14:paraId="16863298" w14:textId="5550FFE4" w:rsidR="00661C17" w:rsidRPr="003A4E49" w:rsidRDefault="00661C17" w:rsidP="00F65683">
      <w:pPr>
        <w:pStyle w:val="Nagwek2"/>
        <w:numPr>
          <w:ilvl w:val="0"/>
          <w:numId w:val="2"/>
        </w:numPr>
        <w:spacing w:after="120" w:line="240" w:lineRule="auto"/>
        <w:jc w:val="both"/>
        <w:rPr>
          <w:b/>
        </w:rPr>
      </w:pPr>
      <w:bookmarkStart w:id="13" w:name="_Toc428775843"/>
      <w:r w:rsidRPr="003A4E49">
        <w:rPr>
          <w:b/>
        </w:rPr>
        <w:t>Ryzyko zawyżenia kosztów uzyskania przychodów w prowadzonej działalności gospodarczej oraz podatku naliczonego związane z wykorzystaniem faktur, które nie dokumentują rzeczywistego przebiegu zdarzeń gospodarczych</w:t>
      </w:r>
      <w:bookmarkEnd w:id="13"/>
    </w:p>
    <w:p w14:paraId="069CFF61" w14:textId="64F79839" w:rsidR="00DC3E65" w:rsidRPr="00DA6EC9"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 xml:space="preserve">Występowanie wskazanego ryzyka w mniejszym lub większym natężeniu stwierdzono praktycznie we wszystkich analizowanych </w:t>
      </w:r>
      <w:r w:rsidRPr="00DA6EC9">
        <w:rPr>
          <w:rFonts w:ascii="Times New Roman" w:hAnsi="Times New Roman" w:cs="Times New Roman"/>
          <w:sz w:val="24"/>
          <w:szCs w:val="24"/>
        </w:rPr>
        <w:t xml:space="preserve">podobszarach Z uwagi na ogólną liczebność stwierdzonych podczas kontroli podatkowych uchybień polegających na zawyżeniu kosztów uzyskania przychodu oraz podatku naliczonego związanym z wykorzystaniem faktur, które nie dokumentują rzeczywistego przebiegu zdarzeń gospodarczych, zdecydowanie wyróżnia się podobszar </w:t>
      </w:r>
      <w:r w:rsidRPr="00DA6EC9">
        <w:rPr>
          <w:rFonts w:ascii="Times New Roman" w:hAnsi="Times New Roman" w:cs="Times New Roman"/>
          <w:i/>
          <w:sz w:val="24"/>
          <w:szCs w:val="24"/>
        </w:rPr>
        <w:t>Produkcja materiałów budowlanych i usługi budowlane</w:t>
      </w:r>
      <w:r w:rsidRPr="00DA6EC9">
        <w:rPr>
          <w:rFonts w:ascii="Times New Roman" w:hAnsi="Times New Roman" w:cs="Times New Roman"/>
          <w:sz w:val="24"/>
          <w:szCs w:val="24"/>
        </w:rPr>
        <w:t xml:space="preserve"> (1017 wystąpień), który ponad 2-krotnie przewyższa drugi w kolejności podobszar </w:t>
      </w:r>
      <w:r w:rsidRPr="00DA6EC9">
        <w:rPr>
          <w:rFonts w:ascii="Times New Roman" w:hAnsi="Times New Roman" w:cs="Times New Roman"/>
          <w:i/>
          <w:sz w:val="24"/>
          <w:szCs w:val="24"/>
        </w:rPr>
        <w:t>Transport i logistyka</w:t>
      </w:r>
      <w:r w:rsidR="00971590">
        <w:rPr>
          <w:rFonts w:ascii="Times New Roman" w:hAnsi="Times New Roman" w:cs="Times New Roman"/>
          <w:sz w:val="24"/>
          <w:szCs w:val="24"/>
        </w:rPr>
        <w:t xml:space="preserve"> (471</w:t>
      </w:r>
      <w:r w:rsidR="00DA6EC9">
        <w:rPr>
          <w:rFonts w:ascii="Times New Roman" w:hAnsi="Times New Roman" w:cs="Times New Roman"/>
          <w:sz w:val="24"/>
          <w:szCs w:val="24"/>
        </w:rPr>
        <w:t> </w:t>
      </w:r>
      <w:r w:rsidR="00971590">
        <w:rPr>
          <w:rFonts w:ascii="Times New Roman" w:hAnsi="Times New Roman" w:cs="Times New Roman"/>
          <w:sz w:val="24"/>
          <w:szCs w:val="24"/>
        </w:rPr>
        <w:t>w</w:t>
      </w:r>
      <w:r w:rsidRPr="00DA6EC9">
        <w:rPr>
          <w:rFonts w:ascii="Times New Roman" w:hAnsi="Times New Roman" w:cs="Times New Roman"/>
          <w:sz w:val="24"/>
          <w:szCs w:val="24"/>
        </w:rPr>
        <w:t xml:space="preserve">ystąpień) i ponad 3-krotnie – trzeci w kolejności podobszar </w:t>
      </w:r>
      <w:r w:rsidRPr="00DA6EC9">
        <w:rPr>
          <w:rFonts w:ascii="Times New Roman" w:hAnsi="Times New Roman" w:cs="Times New Roman"/>
          <w:i/>
          <w:sz w:val="24"/>
          <w:szCs w:val="24"/>
        </w:rPr>
        <w:t>Handel hurtowy pozostały</w:t>
      </w:r>
      <w:r w:rsidRPr="00DA6EC9">
        <w:rPr>
          <w:rFonts w:ascii="Times New Roman" w:hAnsi="Times New Roman" w:cs="Times New Roman"/>
          <w:sz w:val="24"/>
          <w:szCs w:val="24"/>
        </w:rPr>
        <w:t xml:space="preserve"> (324 wystąpienia). Z kolei pod względem najwyższego udziału zaewidencjonowanych błędów podatkowych związanych z zawyżaniem kosztów przy wykorzystaniu faktur niedokumentujących rzeczywistego przebiegu zdarzeń gospodarczych w ogólnej liczbie błędów podatkowych ujawnionych w poszczególnych podobszarach wyróżnia się podobszar </w:t>
      </w:r>
      <w:r w:rsidRPr="00DA6EC9">
        <w:rPr>
          <w:rFonts w:ascii="Times New Roman" w:hAnsi="Times New Roman" w:cs="Times New Roman"/>
          <w:i/>
          <w:sz w:val="24"/>
          <w:szCs w:val="24"/>
        </w:rPr>
        <w:t>Handel hurtowy pozostały</w:t>
      </w:r>
      <w:r w:rsidRPr="00DA6EC9">
        <w:rPr>
          <w:rFonts w:ascii="Times New Roman" w:hAnsi="Times New Roman" w:cs="Times New Roman"/>
          <w:sz w:val="24"/>
          <w:szCs w:val="24"/>
        </w:rPr>
        <w:t xml:space="preserve">. </w:t>
      </w:r>
    </w:p>
    <w:p w14:paraId="4FFDD7D9" w14:textId="481B0387" w:rsidR="00DC3E65" w:rsidRPr="00D76B1B"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Zagrożenie w postaci zawyżenia kosztów uzyskania przychodu jest – obok zaniżenia deklarowanych przychodów – podstawowym rodzajem ryzyka dla prawidłowości wykonania zobowiązań w podatkach dochodowych naliczanych wg tzw. zasad ogólnych, w których podstawą opodatkowania jest dochód (stanowiący nadwyżkę wartości osiągniętych przychodów nad wartością kosztów poniesionych w celu uzyskania tych przychodów). Im</w:t>
      </w:r>
      <w:r w:rsidR="00DA6EC9">
        <w:rPr>
          <w:rFonts w:ascii="Times New Roman" w:hAnsi="Times New Roman" w:cs="Times New Roman"/>
          <w:sz w:val="24"/>
          <w:szCs w:val="24"/>
        </w:rPr>
        <w:t> </w:t>
      </w:r>
      <w:r w:rsidRPr="00D76B1B">
        <w:rPr>
          <w:rFonts w:ascii="Times New Roman" w:hAnsi="Times New Roman" w:cs="Times New Roman"/>
          <w:sz w:val="24"/>
          <w:szCs w:val="24"/>
        </w:rPr>
        <w:t>bowiem wyższe deklarowane koszty uzyskania przychodu (dalej: k.u.p.), tym niższy dochód i</w:t>
      </w:r>
      <w:r>
        <w:rPr>
          <w:rFonts w:ascii="Times New Roman" w:hAnsi="Times New Roman" w:cs="Times New Roman"/>
          <w:sz w:val="24"/>
          <w:szCs w:val="24"/>
        </w:rPr>
        <w:t> </w:t>
      </w:r>
      <w:r w:rsidRPr="00D76B1B">
        <w:rPr>
          <w:rFonts w:ascii="Times New Roman" w:hAnsi="Times New Roman" w:cs="Times New Roman"/>
          <w:sz w:val="24"/>
          <w:szCs w:val="24"/>
        </w:rPr>
        <w:t>tym samym należny podatek dochodowy.</w:t>
      </w:r>
    </w:p>
    <w:p w14:paraId="584E6EBB" w14:textId="0700D32A" w:rsidR="00DC3E65" w:rsidRPr="00D76B1B"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 xml:space="preserve">Warunki zakwalifikowania wydatków do kosztów uzyskania przychodów uregulowane zostały w przepisach art. 15 i art. 16 ustawy o podatku dochodowym od osób prawnych (dalej: </w:t>
      </w:r>
      <w:r w:rsidR="00E12D63" w:rsidRPr="003D78ED">
        <w:rPr>
          <w:rFonts w:ascii="Times New Roman" w:eastAsiaTheme="majorEastAsia" w:hAnsi="Times New Roman" w:cs="Times New Roman"/>
          <w:sz w:val="24"/>
          <w:szCs w:val="24"/>
        </w:rPr>
        <w:t>ustaw</w:t>
      </w:r>
      <w:r w:rsidR="00E12D63">
        <w:rPr>
          <w:rFonts w:ascii="Times New Roman" w:eastAsiaTheme="majorEastAsia" w:hAnsi="Times New Roman" w:cs="Times New Roman"/>
          <w:sz w:val="24"/>
          <w:szCs w:val="24"/>
        </w:rPr>
        <w:t>a</w:t>
      </w:r>
      <w:r w:rsidR="00E12D63" w:rsidRPr="003D78ED">
        <w:rPr>
          <w:rFonts w:ascii="Times New Roman" w:eastAsiaTheme="majorEastAsia" w:hAnsi="Times New Roman" w:cs="Times New Roman"/>
          <w:sz w:val="24"/>
          <w:szCs w:val="24"/>
        </w:rPr>
        <w:t xml:space="preserve"> o podatku dochodowym od osób </w:t>
      </w:r>
      <w:r w:rsidR="00E12D63">
        <w:rPr>
          <w:rFonts w:ascii="Times New Roman" w:eastAsiaTheme="majorEastAsia" w:hAnsi="Times New Roman" w:cs="Times New Roman"/>
          <w:sz w:val="24"/>
          <w:szCs w:val="24"/>
        </w:rPr>
        <w:t>praw</w:t>
      </w:r>
      <w:r w:rsidR="00E12D63" w:rsidRPr="003D78ED">
        <w:rPr>
          <w:rFonts w:ascii="Times New Roman" w:eastAsiaTheme="majorEastAsia" w:hAnsi="Times New Roman" w:cs="Times New Roman"/>
          <w:sz w:val="24"/>
          <w:szCs w:val="24"/>
        </w:rPr>
        <w:t>nych</w:t>
      </w:r>
      <w:r w:rsidR="00E12D63">
        <w:rPr>
          <w:rFonts w:ascii="Times New Roman" w:eastAsiaTheme="majorEastAsia" w:hAnsi="Times New Roman" w:cs="Times New Roman"/>
          <w:sz w:val="24"/>
          <w:szCs w:val="24"/>
        </w:rPr>
        <w:t>,</w:t>
      </w:r>
      <w:r w:rsidR="00E12D63" w:rsidRPr="00D76B1B">
        <w:rPr>
          <w:rFonts w:ascii="Times New Roman" w:hAnsi="Times New Roman" w:cs="Times New Roman"/>
          <w:sz w:val="24"/>
          <w:szCs w:val="24"/>
        </w:rPr>
        <w:t xml:space="preserve"> </w:t>
      </w:r>
      <w:r w:rsidRPr="00D76B1B">
        <w:rPr>
          <w:rFonts w:ascii="Times New Roman" w:hAnsi="Times New Roman" w:cs="Times New Roman"/>
          <w:sz w:val="24"/>
          <w:szCs w:val="24"/>
        </w:rPr>
        <w:t xml:space="preserve">updop) oraz w analogicznych przepisach art. 22 i art. 23 </w:t>
      </w:r>
      <w:r w:rsidR="00E12D63" w:rsidRPr="00CF0DAC">
        <w:rPr>
          <w:rFonts w:ascii="Times New Roman" w:hAnsi="Times New Roman" w:cs="Times New Roman"/>
          <w:sz w:val="24"/>
          <w:szCs w:val="24"/>
        </w:rPr>
        <w:t>ustawy z dnia 26 lipca 1991r. o podatku dochodowym od osób fizycznych</w:t>
      </w:r>
      <w:r w:rsidRPr="00D76B1B">
        <w:rPr>
          <w:rFonts w:ascii="Times New Roman" w:hAnsi="Times New Roman" w:cs="Times New Roman"/>
          <w:sz w:val="24"/>
          <w:szCs w:val="24"/>
        </w:rPr>
        <w:t xml:space="preserve"> (dalej</w:t>
      </w:r>
      <w:r w:rsidR="00E12D63">
        <w:rPr>
          <w:rFonts w:ascii="Times New Roman" w:hAnsi="Times New Roman" w:cs="Times New Roman"/>
          <w:sz w:val="24"/>
          <w:szCs w:val="24"/>
        </w:rPr>
        <w:t xml:space="preserve"> również</w:t>
      </w:r>
      <w:r w:rsidRPr="00D76B1B">
        <w:rPr>
          <w:rFonts w:ascii="Times New Roman" w:hAnsi="Times New Roman" w:cs="Times New Roman"/>
          <w:sz w:val="24"/>
          <w:szCs w:val="24"/>
        </w:rPr>
        <w:t xml:space="preserve">: </w:t>
      </w:r>
      <w:r w:rsidR="00E12D63" w:rsidRPr="003D78ED">
        <w:rPr>
          <w:rFonts w:ascii="Times New Roman" w:eastAsiaTheme="majorEastAsia" w:hAnsi="Times New Roman" w:cs="Times New Roman"/>
          <w:sz w:val="24"/>
          <w:szCs w:val="24"/>
        </w:rPr>
        <w:t>ustaw</w:t>
      </w:r>
      <w:r w:rsidR="00E12D63">
        <w:rPr>
          <w:rFonts w:ascii="Times New Roman" w:eastAsiaTheme="majorEastAsia" w:hAnsi="Times New Roman" w:cs="Times New Roman"/>
          <w:sz w:val="24"/>
          <w:szCs w:val="24"/>
        </w:rPr>
        <w:t>a</w:t>
      </w:r>
      <w:r w:rsidR="00E12D63" w:rsidRPr="003D78ED">
        <w:rPr>
          <w:rFonts w:ascii="Times New Roman" w:eastAsiaTheme="majorEastAsia" w:hAnsi="Times New Roman" w:cs="Times New Roman"/>
          <w:sz w:val="24"/>
          <w:szCs w:val="24"/>
        </w:rPr>
        <w:t xml:space="preserve"> o podatku dochodowym od osób fizycznych</w:t>
      </w:r>
      <w:r w:rsidR="00E12D63" w:rsidRPr="00D76B1B">
        <w:rPr>
          <w:rFonts w:ascii="Times New Roman" w:hAnsi="Times New Roman" w:cs="Times New Roman"/>
          <w:sz w:val="24"/>
          <w:szCs w:val="24"/>
        </w:rPr>
        <w:t xml:space="preserve"> </w:t>
      </w:r>
      <w:r w:rsidR="00E12D63">
        <w:rPr>
          <w:rFonts w:ascii="Times New Roman" w:hAnsi="Times New Roman" w:cs="Times New Roman"/>
          <w:sz w:val="24"/>
          <w:szCs w:val="24"/>
        </w:rPr>
        <w:t xml:space="preserve">, </w:t>
      </w:r>
      <w:r w:rsidRPr="00D76B1B">
        <w:rPr>
          <w:rFonts w:ascii="Times New Roman" w:hAnsi="Times New Roman" w:cs="Times New Roman"/>
          <w:sz w:val="24"/>
          <w:szCs w:val="24"/>
        </w:rPr>
        <w:t>updof). Zasadniczo kosztami uzyskania przychodów – zgodnie z art. 15 ust.</w:t>
      </w:r>
      <w:r>
        <w:rPr>
          <w:rFonts w:ascii="Times New Roman" w:hAnsi="Times New Roman" w:cs="Times New Roman"/>
          <w:sz w:val="24"/>
          <w:szCs w:val="24"/>
        </w:rPr>
        <w:t> </w:t>
      </w:r>
      <w:r w:rsidRPr="00D76B1B">
        <w:rPr>
          <w:rFonts w:ascii="Times New Roman" w:hAnsi="Times New Roman" w:cs="Times New Roman"/>
          <w:sz w:val="24"/>
          <w:szCs w:val="24"/>
        </w:rPr>
        <w:t>1 updop i art. 22 ust. 1 updof – są koszty poniesione w celu osiągnięcia przychodów lub</w:t>
      </w:r>
      <w:r w:rsidR="00F4749E">
        <w:rPr>
          <w:rFonts w:ascii="Times New Roman" w:hAnsi="Times New Roman" w:cs="Times New Roman"/>
          <w:sz w:val="24"/>
          <w:szCs w:val="24"/>
        </w:rPr>
        <w:t> </w:t>
      </w:r>
      <w:r w:rsidRPr="00D76B1B">
        <w:rPr>
          <w:rFonts w:ascii="Times New Roman" w:hAnsi="Times New Roman" w:cs="Times New Roman"/>
          <w:sz w:val="24"/>
          <w:szCs w:val="24"/>
        </w:rPr>
        <w:t>zachowania albo zabezpieczenia źródła przychodów, z wyjątkiem kosztów wyraźnie przez ustawodawcę wyliczonych w art. 16 ust. 1 updop i art. 23 updof. Dla uznania danego kosztu za k.u.p. niezbędnym jest zatem ustalenie samego faktu poniesienia kosztu, jak i adekwatnego związku przyczynowo-skutkowego („w celu”) pomiędzy poniesieniem tego kosztu a</w:t>
      </w:r>
      <w:r>
        <w:rPr>
          <w:rFonts w:ascii="Times New Roman" w:hAnsi="Times New Roman" w:cs="Times New Roman"/>
          <w:sz w:val="24"/>
          <w:szCs w:val="24"/>
        </w:rPr>
        <w:t> </w:t>
      </w:r>
      <w:r w:rsidRPr="00D76B1B">
        <w:rPr>
          <w:rFonts w:ascii="Times New Roman" w:hAnsi="Times New Roman" w:cs="Times New Roman"/>
          <w:sz w:val="24"/>
          <w:szCs w:val="24"/>
        </w:rPr>
        <w:t>uzyskaniem przychodu.</w:t>
      </w:r>
    </w:p>
    <w:p w14:paraId="53FAE009" w14:textId="25E404D4" w:rsidR="00DC3E65" w:rsidRPr="0068412C"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Mając powyższe na względzie, w poszczególnej analizie nie może zostać pominięta okoliczność, iż podstawowym warunkiem uznania deklarowanego przez podatnika kosztu za koszt uzyskania przychodu jest faktyczność poniesienia danego kosztu. Zauważyć należy, iż</w:t>
      </w:r>
      <w:r w:rsidR="00F4749E">
        <w:rPr>
          <w:rFonts w:ascii="Times New Roman" w:hAnsi="Times New Roman" w:cs="Times New Roman"/>
          <w:sz w:val="24"/>
          <w:szCs w:val="24"/>
        </w:rPr>
        <w:t> </w:t>
      </w:r>
      <w:r w:rsidRPr="00D76B1B">
        <w:rPr>
          <w:rFonts w:ascii="Times New Roman" w:hAnsi="Times New Roman" w:cs="Times New Roman"/>
          <w:sz w:val="24"/>
          <w:szCs w:val="24"/>
        </w:rPr>
        <w:t>ryzyko bezprawnego zaniżania podstawy opodatkowania poprzez zawyżanie k.u.p. jest powszechne w tym sensie, że zjawisko to występuje właściwie w każdym podobszarze. Zwrócić jednakże trzeba uwagę na okoliczność, że ryzyko bezprawnych działań podatnika wzrasta wprost proporcjonalnie do skali oczekiwany</w:t>
      </w:r>
      <w:r>
        <w:rPr>
          <w:rFonts w:ascii="Times New Roman" w:hAnsi="Times New Roman" w:cs="Times New Roman"/>
          <w:sz w:val="24"/>
          <w:szCs w:val="24"/>
        </w:rPr>
        <w:t>ch przezeń korzyści płynących z </w:t>
      </w:r>
      <w:r w:rsidRPr="00D76B1B">
        <w:rPr>
          <w:rFonts w:ascii="Times New Roman" w:hAnsi="Times New Roman" w:cs="Times New Roman"/>
          <w:sz w:val="24"/>
          <w:szCs w:val="24"/>
        </w:rPr>
        <w:t>nielegalnego procederu. Nie dziwi zatem, że szczególnie zagrożeni pokusą zawyżenia k.u.p. są podatnicy uzyskujący wysokie dochody, w tym zwł</w:t>
      </w:r>
      <w:r>
        <w:rPr>
          <w:rFonts w:ascii="Times New Roman" w:hAnsi="Times New Roman" w:cs="Times New Roman"/>
          <w:sz w:val="24"/>
          <w:szCs w:val="24"/>
        </w:rPr>
        <w:t>aszcza prowadzący działalność o </w:t>
      </w:r>
      <w:r w:rsidRPr="00D76B1B">
        <w:rPr>
          <w:rFonts w:ascii="Times New Roman" w:hAnsi="Times New Roman" w:cs="Times New Roman"/>
          <w:sz w:val="24"/>
          <w:szCs w:val="24"/>
        </w:rPr>
        <w:t>wysokim stopniu rentowności (rozumianej jako proporcja dochodu w osiągniętym przychodzie), jak np. w działalności usługowej.</w:t>
      </w:r>
      <w:r>
        <w:rPr>
          <w:rFonts w:ascii="Times New Roman" w:hAnsi="Times New Roman" w:cs="Times New Roman"/>
          <w:sz w:val="24"/>
          <w:szCs w:val="24"/>
        </w:rPr>
        <w:t xml:space="preserve"> </w:t>
      </w:r>
      <w:r w:rsidRPr="0068412C">
        <w:rPr>
          <w:rFonts w:ascii="Times New Roman" w:hAnsi="Times New Roman" w:cs="Times New Roman"/>
          <w:sz w:val="24"/>
          <w:szCs w:val="24"/>
        </w:rPr>
        <w:t xml:space="preserve">Wyniki przeprowadzonych analiz pokazują, że szczególnie dużą częstotliwość wystąpienia błędów podatkowych związanych z zawyżaniem kosztów przy wykorzystaniu faktur niedokumentujących rzeczywistego przebiegu zdarzeń gospodarczych stwierdzono właśnie w dwóch branżach usługowych: </w:t>
      </w:r>
      <w:r w:rsidRPr="0068412C">
        <w:rPr>
          <w:rFonts w:ascii="Times New Roman" w:hAnsi="Times New Roman" w:cs="Times New Roman"/>
          <w:i/>
          <w:sz w:val="24"/>
          <w:szCs w:val="24"/>
        </w:rPr>
        <w:t>Transport drogowy towarów</w:t>
      </w:r>
      <w:r w:rsidRPr="0068412C">
        <w:rPr>
          <w:rFonts w:ascii="Times New Roman" w:hAnsi="Times New Roman" w:cs="Times New Roman"/>
          <w:sz w:val="24"/>
          <w:szCs w:val="24"/>
        </w:rPr>
        <w:t xml:space="preserve"> (414 wystąpień) i </w:t>
      </w:r>
      <w:r w:rsidRPr="0068412C">
        <w:rPr>
          <w:rFonts w:ascii="Times New Roman" w:hAnsi="Times New Roman" w:cs="Times New Roman"/>
          <w:i/>
          <w:sz w:val="24"/>
          <w:szCs w:val="24"/>
        </w:rPr>
        <w:t>Roboty budowlane związane ze wznoszeniem budynków mieszkalnych i niemieszkalnych</w:t>
      </w:r>
      <w:r w:rsidRPr="0068412C">
        <w:rPr>
          <w:rFonts w:ascii="Times New Roman" w:hAnsi="Times New Roman" w:cs="Times New Roman"/>
          <w:sz w:val="24"/>
          <w:szCs w:val="24"/>
        </w:rPr>
        <w:t xml:space="preserve"> (291 wystąpień).</w:t>
      </w:r>
    </w:p>
    <w:p w14:paraId="5A71ACE2" w14:textId="77777777" w:rsidR="00DC3E65" w:rsidRPr="0068412C" w:rsidRDefault="00DC3E65" w:rsidP="00F65683">
      <w:pPr>
        <w:spacing w:after="0" w:line="240" w:lineRule="auto"/>
        <w:jc w:val="both"/>
        <w:rPr>
          <w:rFonts w:ascii="Times New Roman" w:hAnsi="Times New Roman" w:cs="Times New Roman"/>
          <w:sz w:val="24"/>
          <w:szCs w:val="24"/>
        </w:rPr>
      </w:pPr>
      <w:r w:rsidRPr="0068412C">
        <w:rPr>
          <w:rFonts w:ascii="Times New Roman" w:hAnsi="Times New Roman" w:cs="Times New Roman"/>
          <w:sz w:val="24"/>
          <w:szCs w:val="24"/>
        </w:rPr>
        <w:t>Jedną z podstawowych form zawyżenia k.u.p. jest zaliczenie w ich ciężar kosztów fikcyjnych, tj. kosztów które nie zostały w rzeczywistości poniesione. W takich przypadkach, dla dopełnienia wymogów formalnych podatnicy ewidencjonują w swojej dokumentacji księgowej dowody źródłowe (faktury, rachunki) potwierdzające poniesienie kosztu, które w rzeczywistości nie miało miejsca. Z fikcyjnością faktury kosztowej mamy do czynienia:</w:t>
      </w:r>
    </w:p>
    <w:p w14:paraId="56023E5B" w14:textId="77777777" w:rsidR="00DC3E65" w:rsidRPr="0068412C" w:rsidRDefault="00DC3E65" w:rsidP="00F65683">
      <w:pPr>
        <w:pStyle w:val="Akapitzlist"/>
        <w:numPr>
          <w:ilvl w:val="0"/>
          <w:numId w:val="5"/>
        </w:numPr>
        <w:spacing w:line="240" w:lineRule="auto"/>
        <w:jc w:val="both"/>
        <w:rPr>
          <w:rFonts w:ascii="Times New Roman" w:hAnsi="Times New Roman" w:cs="Times New Roman"/>
          <w:sz w:val="24"/>
          <w:szCs w:val="24"/>
        </w:rPr>
      </w:pPr>
      <w:r w:rsidRPr="0068412C">
        <w:rPr>
          <w:rFonts w:ascii="Times New Roman" w:hAnsi="Times New Roman" w:cs="Times New Roman"/>
          <w:sz w:val="24"/>
          <w:szCs w:val="24"/>
        </w:rPr>
        <w:t xml:space="preserve">w przypadku „wystawienia” takiego dokumentu przez podmiot nieistniejący,  </w:t>
      </w:r>
    </w:p>
    <w:p w14:paraId="2F1F043F" w14:textId="77777777" w:rsidR="00DC3E65" w:rsidRPr="0068412C" w:rsidRDefault="00DC3E65" w:rsidP="00F65683">
      <w:pPr>
        <w:pStyle w:val="Akapitzlist"/>
        <w:numPr>
          <w:ilvl w:val="0"/>
          <w:numId w:val="5"/>
        </w:numPr>
        <w:spacing w:line="240" w:lineRule="auto"/>
        <w:jc w:val="both"/>
        <w:rPr>
          <w:rFonts w:ascii="Times New Roman" w:hAnsi="Times New Roman" w:cs="Times New Roman"/>
          <w:sz w:val="24"/>
          <w:szCs w:val="24"/>
        </w:rPr>
      </w:pPr>
      <w:r w:rsidRPr="0068412C">
        <w:rPr>
          <w:rFonts w:ascii="Times New Roman" w:hAnsi="Times New Roman" w:cs="Times New Roman"/>
          <w:sz w:val="24"/>
          <w:szCs w:val="24"/>
        </w:rPr>
        <w:t>w przypadku dowodu księgowego (formalnie pochodzącego od podmiotu istniejącego) potwierdzającego przeprowadzenie operacji gospodarczej (stanowiącej k.u.p. dla kontrahenta, tj. kontrolowanego podatnika), która jednak w rzeczywistości nie miała miejsca, przy czym w odniesieniu do takiego dowodu księgowego możliwe są 2 warianty:</w:t>
      </w:r>
    </w:p>
    <w:p w14:paraId="53F2C0E6" w14:textId="77777777" w:rsidR="00DC3E65" w:rsidRPr="0068412C" w:rsidRDefault="00DC3E65" w:rsidP="00F65683">
      <w:pPr>
        <w:pStyle w:val="Akapitzlist"/>
        <w:numPr>
          <w:ilvl w:val="0"/>
          <w:numId w:val="7"/>
        </w:numPr>
        <w:spacing w:line="240" w:lineRule="auto"/>
        <w:jc w:val="both"/>
        <w:rPr>
          <w:rFonts w:ascii="Times New Roman" w:hAnsi="Times New Roman" w:cs="Times New Roman"/>
          <w:sz w:val="24"/>
          <w:szCs w:val="24"/>
        </w:rPr>
      </w:pPr>
      <w:r w:rsidRPr="0068412C">
        <w:rPr>
          <w:rFonts w:ascii="Times New Roman" w:hAnsi="Times New Roman" w:cs="Times New Roman"/>
          <w:sz w:val="24"/>
          <w:szCs w:val="24"/>
        </w:rPr>
        <w:t>zupełne sfałszowanie faktury poprzez nie tylko wykazanie fikcyjnej transakcji, ale także przez posłużenie się prawdziwymi danymi rzeczywiście istniejącego podmiotu gospodarczego bez jego wiedzy i zgody,</w:t>
      </w:r>
    </w:p>
    <w:p w14:paraId="22DF137E" w14:textId="77777777" w:rsidR="00DC3E65" w:rsidRPr="0068412C" w:rsidRDefault="00DC3E65" w:rsidP="00F65683">
      <w:pPr>
        <w:pStyle w:val="Akapitzlist"/>
        <w:numPr>
          <w:ilvl w:val="0"/>
          <w:numId w:val="7"/>
        </w:numPr>
        <w:spacing w:line="240" w:lineRule="auto"/>
        <w:jc w:val="both"/>
        <w:rPr>
          <w:rFonts w:ascii="Times New Roman" w:hAnsi="Times New Roman" w:cs="Times New Roman"/>
          <w:sz w:val="24"/>
          <w:szCs w:val="24"/>
        </w:rPr>
      </w:pPr>
      <w:r w:rsidRPr="0068412C">
        <w:rPr>
          <w:rFonts w:ascii="Times New Roman" w:hAnsi="Times New Roman" w:cs="Times New Roman"/>
          <w:sz w:val="24"/>
          <w:szCs w:val="24"/>
        </w:rPr>
        <w:t>fałszerstwo dokonane przez kontrolowanego podatnika w porozumieniu z kontrahentem (rzeczywiście istniejącym podmiotem gospodarczym), który za odpowiednim wynagrodzeniem godzi się na wystawienie fikcyjnej faktury i zaewidencjonowanie w swojej dokumentacji księgowej przychodu z fikcyjnej transakcji, ujętej u kontrolowanego podatnika w ciężar kosztów uzyskania przychodu.</w:t>
      </w:r>
    </w:p>
    <w:p w14:paraId="62FB9DBE" w14:textId="676571A1" w:rsidR="00DC3E65" w:rsidRPr="00D76B1B" w:rsidRDefault="00DC3E65" w:rsidP="00F65683">
      <w:pPr>
        <w:spacing w:line="240" w:lineRule="auto"/>
        <w:jc w:val="both"/>
        <w:rPr>
          <w:rFonts w:ascii="Times New Roman" w:hAnsi="Times New Roman" w:cs="Times New Roman"/>
          <w:sz w:val="24"/>
          <w:szCs w:val="24"/>
        </w:rPr>
      </w:pPr>
      <w:r w:rsidRPr="0068412C">
        <w:rPr>
          <w:rFonts w:ascii="Times New Roman" w:hAnsi="Times New Roman" w:cs="Times New Roman"/>
          <w:sz w:val="24"/>
          <w:szCs w:val="24"/>
        </w:rPr>
        <w:t xml:space="preserve">Wobec dobrze działających baz danych (system SeRCe, ale także Baza Podmiotów Szczególnych </w:t>
      </w:r>
      <w:r w:rsidR="00DD29E1">
        <w:rPr>
          <w:rFonts w:ascii="Times New Roman" w:hAnsi="Times New Roman" w:cs="Times New Roman"/>
          <w:sz w:val="24"/>
          <w:szCs w:val="24"/>
        </w:rPr>
        <w:t>–</w:t>
      </w:r>
      <w:r w:rsidRPr="0068412C">
        <w:rPr>
          <w:rFonts w:ascii="Times New Roman" w:hAnsi="Times New Roman" w:cs="Times New Roman"/>
          <w:sz w:val="24"/>
          <w:szCs w:val="24"/>
        </w:rPr>
        <w:t xml:space="preserve"> BPS), zweryfikowanie rzetelności podejrzanego dowodu księgowego w przypadku opisanym w pkt. 1 nie powinno nastręczać kontrolerom specjalnych trudności. Spośród danych zgromadzonych w BPS szczególnie istotne znaczenie w procesie weryfikacji faktycznego istnienia kontrahenta kontrolowanego podatnika powinny mieć zwłaszcza informacje zawarte w Tablicy T1 „</w:t>
      </w:r>
      <w:r w:rsidRPr="0068412C">
        <w:rPr>
          <w:rFonts w:ascii="Times New Roman" w:hAnsi="Times New Roman" w:cs="Times New Roman"/>
          <w:i/>
          <w:sz w:val="24"/>
          <w:szCs w:val="24"/>
        </w:rPr>
        <w:t xml:space="preserve">Podmioty </w:t>
      </w:r>
      <w:r w:rsidRPr="0068412C">
        <w:rPr>
          <w:rFonts w:ascii="Times New Roman" w:hAnsi="Times New Roman" w:cs="Times New Roman"/>
          <w:i/>
          <w:sz w:val="24"/>
          <w:szCs w:val="24"/>
          <w:u w:val="single"/>
        </w:rPr>
        <w:t>‘nieistniejące’</w:t>
      </w:r>
      <w:r w:rsidRPr="0068412C">
        <w:rPr>
          <w:rFonts w:ascii="Times New Roman" w:hAnsi="Times New Roman" w:cs="Times New Roman"/>
          <w:i/>
          <w:sz w:val="24"/>
          <w:szCs w:val="24"/>
        </w:rPr>
        <w:t xml:space="preserve"> oraz nierzetelne</w:t>
      </w:r>
      <w:r w:rsidRPr="0068412C">
        <w:rPr>
          <w:rFonts w:ascii="Times New Roman" w:hAnsi="Times New Roman" w:cs="Times New Roman"/>
          <w:sz w:val="24"/>
          <w:szCs w:val="24"/>
        </w:rPr>
        <w:t>”, która jest wprost dedykowana do opisu wykrytych dotąd podmiotów istniejących jedynie wirtualnie. Znaczną przydatność przy weryfikacji powinny mieć również dane zawarte w Tablicach: T13 „</w:t>
      </w:r>
      <w:r w:rsidRPr="0068412C">
        <w:rPr>
          <w:rFonts w:ascii="Times New Roman" w:hAnsi="Times New Roman" w:cs="Times New Roman"/>
          <w:i/>
          <w:sz w:val="24"/>
          <w:szCs w:val="24"/>
        </w:rPr>
        <w:t>Podatnicy pozbawieni prawa wykonywania działalności gospodarczej</w:t>
      </w:r>
      <w:r w:rsidRPr="0068412C">
        <w:rPr>
          <w:rFonts w:ascii="Times New Roman" w:hAnsi="Times New Roman" w:cs="Times New Roman"/>
          <w:sz w:val="24"/>
          <w:szCs w:val="24"/>
        </w:rPr>
        <w:t>” oraz T11 „</w:t>
      </w:r>
      <w:r w:rsidRPr="0068412C">
        <w:rPr>
          <w:rFonts w:ascii="Times New Roman" w:hAnsi="Times New Roman" w:cs="Times New Roman"/>
          <w:i/>
          <w:sz w:val="24"/>
          <w:szCs w:val="24"/>
        </w:rPr>
        <w:t>Podmioty wykreślone z rejestru podatników VAT</w:t>
      </w:r>
      <w:r w:rsidRPr="0068412C">
        <w:rPr>
          <w:rFonts w:ascii="Times New Roman" w:hAnsi="Times New Roman" w:cs="Times New Roman"/>
          <w:sz w:val="24"/>
          <w:szCs w:val="24"/>
        </w:rPr>
        <w:t xml:space="preserve">”. Tablice te dotyczą bowiem podmiotów, którym – jako dziedzictwo po wcześniejszym w pełni legalnym funkcjonowaniu w obrocie gospodarczym – pozostały pewne „wartości niematerialne” w postaci „legalnej historii” i określonej rozpoznawalności na rynku (np. poprzez wyniki użycia wyszukiwarek internetowych), a zwłaszcza w postaci własnych autentycznych i unikatowych numerów rejestracyjnych (NIP, KRS, REGON). Z dotychczasowych obserwacji organów skarbowych wynika, że takie autentyczne, lecz już nieaktualne oficjalne numery rejestracyjne (należące do już niefunkcjonujących w obrocie podmiotów) nierzadko były wykorzystywane do kamuflowania fikcyjnych operacji gospodarczych. Konsekwencją wykrycia uchybienia w postaci zaewidencjonowania fikcyjnej faktury kosztowej wystawionej przez podmiot nieistniejący jest </w:t>
      </w:r>
      <w:r w:rsidRPr="00D76B1B">
        <w:rPr>
          <w:rFonts w:ascii="Times New Roman" w:hAnsi="Times New Roman" w:cs="Times New Roman"/>
          <w:sz w:val="24"/>
          <w:szCs w:val="24"/>
        </w:rPr>
        <w:t>oczywiście wyłączenie fałszywej transakcji z kosztów uzyskania przychodu (co skutkuje podwyższeniem dochodu do opodatkowania podatkiem dochodowym – vide: art. 7 ust. 2 updop i art. 9 ust. 2 updof) i nieuznanie takiej faktury za podstawę do obniżenia podatku należnego VAT oraz zwrotu różnicy podatku lub zwrotu podatku naliczonego VAT (art. 88 ust. 3a pkt 1 lit. a ustawy o podatku od towarów i usług – dalej: uVAT).</w:t>
      </w:r>
    </w:p>
    <w:p w14:paraId="69DF5B1C" w14:textId="590FB828" w:rsidR="00DC3E65" w:rsidRPr="00D76B1B"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Dla wykrycia i udowodnienia fałszerstwa opisanego w pkt. 2a wymagane jest przeprowadzenie kontroli krzyżowej sprawdzającej dokumentację księgową rzekomego kontrahenta. Następstwem wykrycia takiego nadużycia (podobnie jak w przypadku opisanym w pkt. 1) jest wyłączenie fałszywej transakcji z kosztów uzyskania przychodu (co skutkuje podwyższeniem dochodu do opodatkowania podatkiem dochodowym – vide: art. 7 ust. 2 updop i art. 9 ust. 2 updof) i nieuznanie takiej faktury za podstawę do obniżenia podatku należnego VAT oraz zwrotu różnicy podatku lub zwrotu podatku naliczonego VAT (art. 88 ust. 3a pkt 4 lit. a uVAT).</w:t>
      </w:r>
    </w:p>
    <w:p w14:paraId="286FB7BD" w14:textId="246827FB" w:rsidR="00B52B4C" w:rsidRPr="00D76B1B" w:rsidRDefault="00DC3E65" w:rsidP="00F65683">
      <w:pPr>
        <w:spacing w:line="240" w:lineRule="auto"/>
        <w:jc w:val="both"/>
        <w:rPr>
          <w:rFonts w:ascii="Times New Roman" w:hAnsi="Times New Roman" w:cs="Times New Roman"/>
          <w:sz w:val="24"/>
          <w:szCs w:val="24"/>
        </w:rPr>
      </w:pPr>
      <w:r w:rsidRPr="00D76B1B">
        <w:rPr>
          <w:rFonts w:ascii="Times New Roman" w:hAnsi="Times New Roman" w:cs="Times New Roman"/>
          <w:sz w:val="24"/>
          <w:szCs w:val="24"/>
        </w:rPr>
        <w:t xml:space="preserve">Najbardziej skomplikowane i pracochłonne jest wykrycie uchybienia opisanego w pkt. 2b. </w:t>
      </w:r>
      <w:r w:rsidRPr="0068412C">
        <w:rPr>
          <w:rFonts w:ascii="Times New Roman" w:hAnsi="Times New Roman" w:cs="Times New Roman"/>
          <w:sz w:val="24"/>
          <w:szCs w:val="24"/>
        </w:rPr>
        <w:t>Szczególnie trudnym do wykazania źródłem nadużyć są przypadki deklarowania zakupu fikcyjnych usług niemających materialnego wymiaru (np. usługi doradcze i konsultingowe, prawne, reklamowe), w odniesieniu do których nie ma prostej metody sprawdzenia, czy zostały rzeczywiście wykonane i w jakim zakresie. Jako cenny instrument wspierający proces weryfikacji wskazać należy wspomnianą wcześniej Bazę Podmiotów Szczególnych, a</w:t>
      </w:r>
      <w:r w:rsidR="0068412C" w:rsidRPr="0068412C">
        <w:rPr>
          <w:rFonts w:ascii="Times New Roman" w:hAnsi="Times New Roman" w:cs="Times New Roman"/>
          <w:sz w:val="24"/>
          <w:szCs w:val="24"/>
        </w:rPr>
        <w:t> </w:t>
      </w:r>
      <w:r w:rsidRPr="0068412C">
        <w:rPr>
          <w:rFonts w:ascii="Times New Roman" w:hAnsi="Times New Roman" w:cs="Times New Roman"/>
          <w:sz w:val="24"/>
          <w:szCs w:val="24"/>
        </w:rPr>
        <w:t>zwłaszcza wymienioną już Tablicę T1 „</w:t>
      </w:r>
      <w:r w:rsidRPr="0068412C">
        <w:rPr>
          <w:rFonts w:ascii="Times New Roman" w:hAnsi="Times New Roman" w:cs="Times New Roman"/>
          <w:i/>
          <w:sz w:val="24"/>
          <w:szCs w:val="24"/>
        </w:rPr>
        <w:t xml:space="preserve">Podmioty ‘nieistniejące’ oraz </w:t>
      </w:r>
      <w:r w:rsidRPr="0068412C">
        <w:rPr>
          <w:rFonts w:ascii="Times New Roman" w:hAnsi="Times New Roman" w:cs="Times New Roman"/>
          <w:i/>
          <w:sz w:val="24"/>
          <w:szCs w:val="24"/>
          <w:u w:val="single"/>
        </w:rPr>
        <w:t>nierzetelne</w:t>
      </w:r>
      <w:r w:rsidRPr="0068412C">
        <w:rPr>
          <w:rFonts w:ascii="Times New Roman" w:hAnsi="Times New Roman" w:cs="Times New Roman"/>
          <w:sz w:val="24"/>
          <w:szCs w:val="24"/>
        </w:rPr>
        <w:t xml:space="preserve">”, zawierającą – oprócz podmiotów fikcyjnych – także zestawienie podmiotów, które – na bazie dotychczasowych ustaleń dokonanych przez organy podatkowe – zostały ocenione jako nierzetelne, czyli dopuszczające się nieprawidłowości w wykonywaniu obowiązków podatkowych. Wskazane </w:t>
      </w:r>
      <w:r w:rsidRPr="00D76B1B">
        <w:rPr>
          <w:rFonts w:ascii="Times New Roman" w:hAnsi="Times New Roman" w:cs="Times New Roman"/>
          <w:sz w:val="24"/>
          <w:szCs w:val="24"/>
        </w:rPr>
        <w:t>zagrożenie występuje zwłaszcza w przypadku usług świadczonych przez podmioty korzystające z ewentualnych preferencji podatkowych, np. ryczałtowa forma opodatkowania, uprzywilejowany (przedłużony) termin rozliczenia podatku, posiadane prawo do odliczeń (m.in. strat z lat poprzednich) lub zwolnień podatkowych. Za osobną grupę „świadczeniodawców” można uznać podmioty istniejące tylko formalnie (ale których nie można wprost uznać za podmioty nieistniejące), a których funkcjonowanie jest nastawione jedynie na kreowanie u kontrahentów fikcyjnych kosztów i</w:t>
      </w:r>
      <w:r>
        <w:rPr>
          <w:rFonts w:ascii="Times New Roman" w:hAnsi="Times New Roman" w:cs="Times New Roman"/>
          <w:sz w:val="24"/>
          <w:szCs w:val="24"/>
        </w:rPr>
        <w:t> podatku VAT naliczonego; w </w:t>
      </w:r>
      <w:r w:rsidRPr="00D76B1B">
        <w:rPr>
          <w:rFonts w:ascii="Times New Roman" w:hAnsi="Times New Roman" w:cs="Times New Roman"/>
          <w:sz w:val="24"/>
          <w:szCs w:val="24"/>
        </w:rPr>
        <w:t>przypadku takich podmiotów (tzw. „słupów” nie dysponujących praktycznie żadnym majątkiem umożliwiającym prowadzenie ewentualnej egzekucji) z zasady brak jest jakiejkolwiek intencji dokonania rozliczenia własnych zobowiązań podatkowych. Ze</w:t>
      </w:r>
      <w:r>
        <w:rPr>
          <w:rFonts w:ascii="Times New Roman" w:hAnsi="Times New Roman" w:cs="Times New Roman"/>
          <w:sz w:val="24"/>
          <w:szCs w:val="24"/>
        </w:rPr>
        <w:t> </w:t>
      </w:r>
      <w:r w:rsidRPr="00D76B1B">
        <w:rPr>
          <w:rFonts w:ascii="Times New Roman" w:hAnsi="Times New Roman" w:cs="Times New Roman"/>
          <w:sz w:val="24"/>
          <w:szCs w:val="24"/>
        </w:rPr>
        <w:t>względu na fakt, iż występujące nieprawidłowości w tym zakresie polegają głównie na fikcyjności transakcji (w przypadku których wszelkie wymogi i warunki prawne są spełnione jedynie formalnie), niezwykle istotne znaczenie ma w takich przypadkach zbadanie istnienia jakichkolwiek materialnych dowodów wykonywania świadczenia (w tym usługi niematerialnej). W trakcie działań weryfikacyjnych należy w szczególności sprawdzać wszelkie okoliczności mogące potwierdzić lub podważyć faktyczną zdolność (kompetencyjną, organizacyjną, kapitałową) nominalnego dostawcy towaru lub usługi do dostarczenia przedmiotu świadczenia, w tym do wykonania określonej usługi. Szczególną uwagę kontrolujący muszą skierować na transakcje zawarte pomiędzy podmiotami powiązanymi osobowo lub kapitałowo (w tym szczególnie na powiązania z podmiotami zagranicznymi), gdyż w ich przypadku prawdopodobieństwo fikcyjności operacji gospodarczej znacząco wzrasta. Konsekwencją wykrycia opisanego nadużycia (podobnie jak w przypadkach omówionych w pkt. 1 i 2a) jest wyłączenie fałszywej transakcji z kosztów uzyskania przychodu (co skutkuje podwyższeniem dochodu do opodatkowania podatkiem dochodowym – vide: art.</w:t>
      </w:r>
      <w:r>
        <w:rPr>
          <w:rFonts w:ascii="Times New Roman" w:hAnsi="Times New Roman" w:cs="Times New Roman"/>
          <w:sz w:val="24"/>
          <w:szCs w:val="24"/>
        </w:rPr>
        <w:t> </w:t>
      </w:r>
      <w:r w:rsidRPr="00D76B1B">
        <w:rPr>
          <w:rFonts w:ascii="Times New Roman" w:hAnsi="Times New Roman" w:cs="Times New Roman"/>
          <w:sz w:val="24"/>
          <w:szCs w:val="24"/>
        </w:rPr>
        <w:t>7</w:t>
      </w:r>
      <w:r>
        <w:rPr>
          <w:rFonts w:ascii="Times New Roman" w:hAnsi="Times New Roman" w:cs="Times New Roman"/>
          <w:sz w:val="24"/>
          <w:szCs w:val="24"/>
        </w:rPr>
        <w:t> </w:t>
      </w:r>
      <w:r w:rsidRPr="00D76B1B">
        <w:rPr>
          <w:rFonts w:ascii="Times New Roman" w:hAnsi="Times New Roman" w:cs="Times New Roman"/>
          <w:sz w:val="24"/>
          <w:szCs w:val="24"/>
        </w:rPr>
        <w:t>ust. 2 updop i art. 9 ust. 2 updof) i nieuznanie takiej faktury za podstawę do obniżenia podatku należnego VAT oraz zwrotu różnicy podatku lub zwrotu podatku naliczonego VAT (art. 88 ust. 3a pkt 4 lit. a uVAT). Zauważyć przy tym jednak należy, iż opisana korekta (obniżenie) podatku naliczonego u nominalnego nabywcy towaru/usługi, nie będzie miała przełożenia na automatyczne obniżenie podatku należnego u wystawcy zakwestionowanej faktury /faktur/. Dokonane przez organy podatkowe ustalenie, że dana faktura VAT /faktury/ sprzedaży wystawiona została wyłącznie w celu upozorowania przeprowadzenia transakcji, która faktycznie została dokonana jedynie „na papierze” nie zwolni wystawcy z obowiązku zapłaty podatku należnego, gdyż – po myśli art. 108 ust. 1 uVAT – również w części dotyczącej czynności pozornych osoba prawna, jednostka organizacyjna niemająca osobowości prawnej lub osoba fizyczna wystawiająca fakturę, w której wykaże kwotę podatku, jest obowiązana do jego zapłaty.</w:t>
      </w:r>
    </w:p>
    <w:p w14:paraId="3F7F4992" w14:textId="6DF1EA65" w:rsidR="00661C17" w:rsidRPr="00551EFC" w:rsidRDefault="00661C17" w:rsidP="00F65683">
      <w:pPr>
        <w:pStyle w:val="Nagwek2"/>
        <w:numPr>
          <w:ilvl w:val="0"/>
          <w:numId w:val="2"/>
        </w:numPr>
        <w:spacing w:after="120" w:line="240" w:lineRule="auto"/>
        <w:jc w:val="both"/>
        <w:rPr>
          <w:b/>
        </w:rPr>
      </w:pPr>
      <w:bookmarkStart w:id="14" w:name="_Toc428775844"/>
      <w:r w:rsidRPr="00551EFC">
        <w:rPr>
          <w:b/>
        </w:rPr>
        <w:t>Ryzyko zawyżenia kosztów uzyskania przychodów w prowadzonej działalności gospodarczej oraz podatku naliczonego związane z wykorzystaniem faktur, które dotyczą kosztów niestanowiących kosztów uzyskania przychodów</w:t>
      </w:r>
      <w:bookmarkEnd w:id="14"/>
    </w:p>
    <w:p w14:paraId="11362954" w14:textId="77777777" w:rsidR="003D78ED" w:rsidRP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Występowanie wskazanego ryzyka w mniejszym lub większym natężeniu stwierdzono praktycznie we wszystkich analizowanych podobszarach.</w:t>
      </w:r>
    </w:p>
    <w:p w14:paraId="65DC3356" w14:textId="7A7229FB" w:rsidR="003D78ED" w:rsidRP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Zagrożenie w postaci zawyżenia kosztów uzyskania przychodu jest – obok zaniżenia deklarowanych przychodów – podstawowym rodzajem ryzyka dla prawidłowości wykonania zobowiązań w podatkach dochodowych naliczanych wg tzw. zasad ogólnych, w których podstawą opodatkowania jest dochód (stanowiący nadwyżkę wartości osiągniętych przychodów nad wartością kosztów poniesionych w celu uzyskania tych przychodów). Im</w:t>
      </w:r>
      <w:r w:rsidR="000F1674">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bowiem wyższe deklarowane koszty uzyskania przychodu (dalej: k.u.p.), tym niższy dochód i tym samym należny podatek dochodowy. Zauważyć przy tym należy, iż ryzyko bezprawnego zaniżania podstawy opodatkowania poprzez zawyżanie k.u.p. jest powszechne w tym sensie, że zjawisko to występuje właściwie w każdym podobszarze.</w:t>
      </w:r>
    </w:p>
    <w:p w14:paraId="2DDDB987" w14:textId="0D24C568" w:rsidR="00242ED1" w:rsidRDefault="003D78ED" w:rsidP="00F65683">
      <w:pPr>
        <w:spacing w:after="0"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Warunki zakwalifikowania wydatków do kosztów uzyskania przychodów uregulowane zostały w przepisach art. 15 i art. 16 ustawy o podatku dochodowym od osób prawnych oraz w</w:t>
      </w:r>
      <w:r w:rsidR="00E12D63">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analogicznych przepisach art. 22 i art. 23 ustawy o podatku dochodowym od osób fizycznych. Zasadniczo kosztami uzyskania przychodów – zgodnie z art. 15 ust. 1 updop i art. 22 ust. 1 updof – są koszty poniesione w celu osiągnięcia przychodów lub zachowania albo zabezpieczenia źródła przychodów, z wyjątkiem kosztów wyraźnie przez ustawodawcę wyliczonych w art. 16 ust. 1 updop i art. 23 updof. Z przytoczonej regulacji wynika, że ustawodawca nie podał enumeratywnego katalogu kosztów uznawanych za koszty uzyskania przychodu, co zresztą – wobec wielości i nieustannego rozwoju różnorakich form aktywności podejmowanych z zamiarem osiągnięcia przychodu – nie byłoby w ogóle możliwe. Z tych też powodów prawodawca zdecydował się na określenie pojęcia „kosztów uzyskania przychodów” w sposób opisowy poprzez ogólne wskazanie cech, którymi dany koszt musi się charakteryzować, aby mógł zostać uznany za k.u.p. Koniecznym zatem jest, aby poniesienie takiego kosztu nastąpiło</w:t>
      </w:r>
      <w:r w:rsidR="00242ED1">
        <w:rPr>
          <w:rFonts w:ascii="Times New Roman" w:eastAsiaTheme="majorEastAsia" w:hAnsi="Times New Roman" w:cs="Times New Roman"/>
          <w:sz w:val="24"/>
          <w:szCs w:val="24"/>
        </w:rPr>
        <w:t>:</w:t>
      </w:r>
    </w:p>
    <w:p w14:paraId="20703320" w14:textId="22AD66F1" w:rsidR="00242ED1" w:rsidRDefault="003D78ED" w:rsidP="00F65683">
      <w:pPr>
        <w:pStyle w:val="Akapitzlist"/>
        <w:numPr>
          <w:ilvl w:val="0"/>
          <w:numId w:val="10"/>
        </w:numPr>
        <w:spacing w:line="240" w:lineRule="auto"/>
        <w:jc w:val="both"/>
        <w:rPr>
          <w:rFonts w:ascii="Times New Roman" w:eastAsiaTheme="majorEastAsia" w:hAnsi="Times New Roman" w:cs="Times New Roman"/>
          <w:sz w:val="24"/>
          <w:szCs w:val="24"/>
        </w:rPr>
      </w:pPr>
      <w:r w:rsidRPr="00242ED1">
        <w:rPr>
          <w:rFonts w:ascii="Times New Roman" w:eastAsiaTheme="majorEastAsia" w:hAnsi="Times New Roman" w:cs="Times New Roman"/>
          <w:sz w:val="24"/>
          <w:szCs w:val="24"/>
        </w:rPr>
        <w:t xml:space="preserve">„w celu osiągnięcia przychodów lub zachowania albo zabezpieczenia źródła przychodów” (spełnienie przesłanki pozytywnej), </w:t>
      </w:r>
      <w:r w:rsidR="003900BF" w:rsidRPr="003900BF">
        <w:rPr>
          <w:rFonts w:ascii="Times New Roman" w:eastAsiaTheme="majorEastAsia" w:hAnsi="Times New Roman" w:cs="Times New Roman"/>
          <w:sz w:val="24"/>
          <w:szCs w:val="24"/>
          <w:u w:val="single"/>
        </w:rPr>
        <w:t>oraz jednocześnie</w:t>
      </w:r>
    </w:p>
    <w:p w14:paraId="4BAA5072" w14:textId="16060167" w:rsidR="003D78ED" w:rsidRPr="00242ED1" w:rsidRDefault="003D78ED" w:rsidP="00F65683">
      <w:pPr>
        <w:pStyle w:val="Akapitzlist"/>
        <w:numPr>
          <w:ilvl w:val="0"/>
          <w:numId w:val="10"/>
        </w:numPr>
        <w:spacing w:line="240" w:lineRule="auto"/>
        <w:jc w:val="both"/>
        <w:rPr>
          <w:rFonts w:ascii="Times New Roman" w:eastAsiaTheme="majorEastAsia" w:hAnsi="Times New Roman" w:cs="Times New Roman"/>
          <w:sz w:val="24"/>
          <w:szCs w:val="24"/>
        </w:rPr>
      </w:pPr>
      <w:r w:rsidRPr="00242ED1">
        <w:rPr>
          <w:rFonts w:ascii="Times New Roman" w:eastAsiaTheme="majorEastAsia" w:hAnsi="Times New Roman" w:cs="Times New Roman"/>
          <w:sz w:val="24"/>
          <w:szCs w:val="24"/>
        </w:rPr>
        <w:t>koszt ten nie może zostać wykluczony z k.u.p. na mocy bardzo rozbudowanych przepisów art. 16 ust. 1 updop i</w:t>
      </w:r>
      <w:r w:rsidR="000F1674" w:rsidRPr="00242ED1">
        <w:rPr>
          <w:rFonts w:ascii="Times New Roman" w:eastAsiaTheme="majorEastAsia" w:hAnsi="Times New Roman" w:cs="Times New Roman"/>
          <w:sz w:val="24"/>
          <w:szCs w:val="24"/>
        </w:rPr>
        <w:t> </w:t>
      </w:r>
      <w:r w:rsidRPr="00242ED1">
        <w:rPr>
          <w:rFonts w:ascii="Times New Roman" w:eastAsiaTheme="majorEastAsia" w:hAnsi="Times New Roman" w:cs="Times New Roman"/>
          <w:sz w:val="24"/>
          <w:szCs w:val="24"/>
        </w:rPr>
        <w:t>art.</w:t>
      </w:r>
      <w:r w:rsidR="000F1674" w:rsidRPr="00242ED1">
        <w:rPr>
          <w:rFonts w:ascii="Times New Roman" w:eastAsiaTheme="majorEastAsia" w:hAnsi="Times New Roman" w:cs="Times New Roman"/>
          <w:sz w:val="24"/>
          <w:szCs w:val="24"/>
        </w:rPr>
        <w:t> </w:t>
      </w:r>
      <w:r w:rsidRPr="00242ED1">
        <w:rPr>
          <w:rFonts w:ascii="Times New Roman" w:eastAsiaTheme="majorEastAsia" w:hAnsi="Times New Roman" w:cs="Times New Roman"/>
          <w:sz w:val="24"/>
          <w:szCs w:val="24"/>
        </w:rPr>
        <w:t xml:space="preserve">23 updof (niespełnienie przesłanki negatywnej). </w:t>
      </w:r>
    </w:p>
    <w:p w14:paraId="24C485C7" w14:textId="31B76FF0" w:rsidR="00242ED1" w:rsidRDefault="00242ED1" w:rsidP="00F65683">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ad </w:t>
      </w:r>
      <w:r w:rsidR="003D78ED" w:rsidRPr="003D78ED">
        <w:rPr>
          <w:rFonts w:ascii="Times New Roman" w:eastAsiaTheme="majorEastAsia" w:hAnsi="Times New Roman" w:cs="Times New Roman"/>
          <w:sz w:val="24"/>
          <w:szCs w:val="24"/>
        </w:rPr>
        <w:t>(a)</w:t>
      </w:r>
      <w:r w:rsidR="003D78ED" w:rsidRPr="003D78ED">
        <w:rPr>
          <w:rFonts w:ascii="Times New Roman" w:eastAsiaTheme="majorEastAsia" w:hAnsi="Times New Roman" w:cs="Times New Roman"/>
          <w:sz w:val="24"/>
          <w:szCs w:val="24"/>
        </w:rPr>
        <w:tab/>
      </w:r>
    </w:p>
    <w:p w14:paraId="5FDCF5F6" w14:textId="224CEBC0" w:rsidR="003D78ED" w:rsidRP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Z uwagi na ogólnikowość i pewną lakoniczność przytoczonej definicji kosztów uzyskania przychodu, w orzecznictwie sądowoadministracyjnym wypracowane zostało (z</w:t>
      </w:r>
      <w:r w:rsidR="000F1674">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wykorzystaniem poglądów doktryny prawniczej) stanowisko w kwestii doprecyzowania przesłanek umożliwiających zakwalifikowanie poszczególnych kosztów do k.u.p., zwłaszcza zaś przesłanki pozytywnej scharakteryzowanej zwrotem niedookreślonym „poniesione w celu”. W judykaturze (vide: np. wyrok NSA z dnia 20.02.2001</w:t>
      </w:r>
      <w:r w:rsidR="000F1674">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r., sygn. III SA 3269/99) wyrażono pogląd, że dla uznania danego kosztu za k.u.p. nie wystarczy samo niewymienienie tego kosztu w katalogu negatywnym (art. 23 ust. 1 updof lub art. 16 ust. 1 updop), ponieważ niezbędnym jest, aby zachodził „bezpośredni związek kosztu z prowadzoną działalnością, a jego poniesienie miało lub mogło mieć bezpośredni wpływ na wielkość osiągniętego przychodu dla danego rodzaju prowadzonej działalności gospodarczej”. Jakkolwiek za oczywiste przyjmuje się, że</w:t>
      </w:r>
      <w:r w:rsidR="00242ED1">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związek zachodzący pomiędzy poniesieniem kosztu a osiągnięciem przychodu winien mieć charakter przyczynowo-skutkowy, składy orzekające wskazywały (np. wyrok NSA z dnia 16.12.1999</w:t>
      </w:r>
      <w:r w:rsidR="00242ED1">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r., sygn. SA/Bk 1619/98), iż „istnieją jednak sytuacje, w których ów związek przyczynowo-skutkowy nie jest wyraźny. Należy je rozwiązywać w oparciu o zasadę zdrowego rozsądku, a każda sytuacja wymaga odrębnego potraktowania”. Przyjmuje się zatem, iż</w:t>
      </w:r>
      <w:r w:rsidR="00242ED1">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wskazany związek przyczynowo-skutkowy winien być tzw. związkiem adekwatnym, tzn.</w:t>
      </w:r>
      <w:r w:rsidR="00242ED1">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uwzględniającym normalne następstwa określonych działań (tu: poniesionych kosztów), przy czym „normalność” następstw oceniać należy w oparciu o normy pozaprawne (zasady logiki i zasady doświadczenia życiowego, którymi winien się kierować interpretator cechujący się wyżej wspomnianym „zdrowym rozsądkiem”). Opisana powyżej adekwatność związku przyczynowo-skutkowego wymaga dodatkowo rozstrzygania każdej sytuacji w kontekście danej sprawy z punktu widzenia zasad doświadczenia życiowego, bowiem możliwe są przypadki, gdy u jednego podatnika konkretny wydatek dotyczący takiego samego przedmiotu będzie się kwalifikował do uznania za koszt uzyskania przychodu, natomiast u drugiego nie będzie mógł być w kosztach uwzględniony.</w:t>
      </w:r>
    </w:p>
    <w:p w14:paraId="3AD4C252" w14:textId="79D15812" w:rsidR="003D78ED" w:rsidRP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Z uwagi na występującą powszechnie wśród podatników dążność do „optymalizowania” (czyli obniżania) wysokości swoich zobowiązań podatkowych, zasygnalizowany wyżej stosunkowo znaczny stopień niedookreśloności pojęcia kosztów uzyskania przychodów jest szczególnie poważnym czynnikiem ryzyka. Owa niedookreśloność częstokroć skłania bowiem podatników do nadw</w:t>
      </w:r>
      <w:r w:rsidR="00C26A26">
        <w:rPr>
          <w:rFonts w:ascii="Times New Roman" w:eastAsiaTheme="majorEastAsia" w:hAnsi="Times New Roman" w:cs="Times New Roman"/>
          <w:sz w:val="24"/>
          <w:szCs w:val="24"/>
        </w:rPr>
        <w:t>y</w:t>
      </w:r>
      <w:r w:rsidRPr="003D78ED">
        <w:rPr>
          <w:rFonts w:ascii="Times New Roman" w:eastAsiaTheme="majorEastAsia" w:hAnsi="Times New Roman" w:cs="Times New Roman"/>
          <w:sz w:val="24"/>
          <w:szCs w:val="24"/>
        </w:rPr>
        <w:t>rężania granic „zdrowego rozsądku” przy ustalaniu – na potrzeby rozliczeń podatkowych – związku swoich poszczególnych kosztów z uzyskiwaniem przychodów. Nadal nie należą zatem do rzadkości przypadki ujmowania w kosztach działalności gospodarczej wydatków niemających z tą działalnością związku, a przeznaczonych de facto na zaspokojenie potrzeb osobistych podatnika (a czasem także potrzeb członków jego rodziny), jak np. zakup odzieży i obuwia (niekiedy dla zachowania pozoru określanych mianem „roboczych” lub „służbowych”), zakup domowego sprzętu elektronicznego (np. drogich telewizorów określanych jako monitory do prezentacji), zakup mebli i innego wyposażenia mieszkań, zakup usług turystycznych. Do tej samej grupy naruszeń prawa podatkowego zaliczyć należy także przypadki odnoszenia w ciężar k.u.p. wydatków związanych z budową lub remontem mieszkania podatnika, wykazywanych jednak w dokumentacji podatkowej jako wydatki związane z budową lub remontem lokali przeznaczonych na prowadzenie działalności gospodarczej.</w:t>
      </w:r>
    </w:p>
    <w:p w14:paraId="0F2FA978" w14:textId="0B7825C3" w:rsidR="003D78ED" w:rsidRP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Konsekwencją stwierdzenia opisanych wyżej nieprawidłowości jest nie tylko wyłączenie takich wydatków „prywatnych” z kosztów uzyskania przychodu, jako niezwiązanych z osiąganiem przychodu z działalności gospodarczej, ale także nieuznanie</w:t>
      </w:r>
      <w:r w:rsidR="006A6AFE">
        <w:rPr>
          <w:rFonts w:ascii="Times New Roman" w:eastAsiaTheme="majorEastAsia" w:hAnsi="Times New Roman" w:cs="Times New Roman"/>
          <w:sz w:val="24"/>
          <w:szCs w:val="24"/>
        </w:rPr>
        <w:t xml:space="preserve"> – w zakresie rozliczenia podatku od towarów i usług –</w:t>
      </w:r>
      <w:r w:rsidRPr="003D78ED">
        <w:rPr>
          <w:rFonts w:ascii="Times New Roman" w:eastAsiaTheme="majorEastAsia" w:hAnsi="Times New Roman" w:cs="Times New Roman"/>
          <w:sz w:val="24"/>
          <w:szCs w:val="24"/>
        </w:rPr>
        <w:t xml:space="preserve"> faktur potwierdzających poniesienie tych wydatków za podstawę do obniżenia podatku należnego o wartość podatku naliczonego dotyczącego zakwestionowanych wydatków. W myśl bowiem art. 86 ust. 1 uVAT podatnikowi przysługuje prawo do obniżenia kwoty podatku należnego o kwotę podatku naliczonego w zakresie, w jakim nabyte przezeń towary i usługi są wykorzystywane do wykonywania czynności opodatkowanych. Przywołany przepis potwierdza, iż podatek od towarów i usług został skonstruowany jako danina publicznoprawna obciążająca konsumpcję. W związku z tym ciężarem tego podatku nie powinni być obarczani podatnicy VAT w tym zakresie, w jakim wykorzystują zakupione towary i usługi do prowadzenia działalności opodatkowanej; w takim przypadku nie występują oni bowiem w charakterze ostatnich nabywców/konsumentów zakupionych dóbr. Jeżeli jednak dokonane przez organ podatkowy ustalenia wskazują, że w konkretnej sytuacji nabycie przez podatnika towarów lub usług miało charakter konsumpcji, nastawionej na zaspokojenie prywatnych potrzeb samego podatnika (ewentualnie osób bliskich), wówczas nie sposób przyjąć, że nabyte towary i usługi są wykorzystywane do wykonywania czynności opodatkowanych, co – </w:t>
      </w:r>
      <w:r w:rsidRPr="006A6AFE">
        <w:rPr>
          <w:rFonts w:ascii="Times New Roman" w:eastAsiaTheme="majorEastAsia" w:hAnsi="Times New Roman" w:cs="Times New Roman"/>
          <w:i/>
          <w:sz w:val="24"/>
          <w:szCs w:val="24"/>
        </w:rPr>
        <w:t>a contrario</w:t>
      </w:r>
      <w:r w:rsidRPr="003D78ED">
        <w:rPr>
          <w:rFonts w:ascii="Times New Roman" w:eastAsiaTheme="majorEastAsia" w:hAnsi="Times New Roman" w:cs="Times New Roman"/>
          <w:sz w:val="24"/>
          <w:szCs w:val="24"/>
        </w:rPr>
        <w:t xml:space="preserve"> w myśl przytoczonego art. 86 ust. 1 uVAT – obniżenie kwoty podatku należnego o kwotę podatku naliczonego (dot</w:t>
      </w:r>
      <w:r w:rsidR="00AC5AE5">
        <w:rPr>
          <w:rFonts w:ascii="Times New Roman" w:eastAsiaTheme="majorEastAsia" w:hAnsi="Times New Roman" w:cs="Times New Roman"/>
          <w:sz w:val="24"/>
          <w:szCs w:val="24"/>
        </w:rPr>
        <w:t>yczącego</w:t>
      </w:r>
      <w:r w:rsidRPr="003D78ED">
        <w:rPr>
          <w:rFonts w:ascii="Times New Roman" w:eastAsiaTheme="majorEastAsia" w:hAnsi="Times New Roman" w:cs="Times New Roman"/>
          <w:sz w:val="24"/>
          <w:szCs w:val="24"/>
        </w:rPr>
        <w:t xml:space="preserve"> zakwestionowanych wydatków) czyni niedopuszczalnym.</w:t>
      </w:r>
    </w:p>
    <w:p w14:paraId="6266B6BC" w14:textId="77777777" w:rsidR="004B068D" w:rsidRDefault="004B068D" w:rsidP="00F65683">
      <w:pPr>
        <w:spacing w:after="0" w:line="240" w:lineRule="auto"/>
        <w:jc w:val="both"/>
        <w:rPr>
          <w:rFonts w:ascii="Times New Roman" w:eastAsiaTheme="majorEastAsia" w:hAnsi="Times New Roman" w:cs="Times New Roman"/>
          <w:sz w:val="24"/>
          <w:szCs w:val="24"/>
        </w:rPr>
      </w:pPr>
    </w:p>
    <w:p w14:paraId="262B8D03" w14:textId="6F27E069" w:rsidR="00242ED1" w:rsidRDefault="00242ED1" w:rsidP="00F65683">
      <w:pPr>
        <w:spacing w:after="0" w:line="24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ad </w:t>
      </w:r>
      <w:r w:rsidR="003D78ED" w:rsidRPr="003D78ED">
        <w:rPr>
          <w:rFonts w:ascii="Times New Roman" w:eastAsiaTheme="majorEastAsia" w:hAnsi="Times New Roman" w:cs="Times New Roman"/>
          <w:sz w:val="24"/>
          <w:szCs w:val="24"/>
        </w:rPr>
        <w:t>(b)</w:t>
      </w:r>
      <w:r w:rsidR="003D78ED" w:rsidRPr="003D78ED">
        <w:rPr>
          <w:rFonts w:ascii="Times New Roman" w:eastAsiaTheme="majorEastAsia" w:hAnsi="Times New Roman" w:cs="Times New Roman"/>
          <w:sz w:val="24"/>
          <w:szCs w:val="24"/>
        </w:rPr>
        <w:tab/>
      </w:r>
    </w:p>
    <w:p w14:paraId="702DE58F" w14:textId="77777777" w:rsidR="00057AE7"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 xml:space="preserve">Osobną grupą nieprawidłowości związanych z k.u.p. są przypadki zaliczania do kosztów uzyskania przychodów takich rodzajów kosztów, które wprawdzie zasadniczo spełniają przesłankę pozytywną (tj. wykazują związek z działalnością gospodarczą podatnika), jednakże wolą ustawodawcy – wyrażoną w art. 16 ust. 1 updop i art. 23 ust. 1 updof – zostały wykluczone z kategorii kosztów stanowiących k.u.p. </w:t>
      </w:r>
    </w:p>
    <w:p w14:paraId="328526BA" w14:textId="1579582A" w:rsidR="003D78ED" w:rsidRDefault="003D78ED" w:rsidP="00F65683">
      <w:pPr>
        <w:spacing w:line="240" w:lineRule="auto"/>
        <w:jc w:val="both"/>
        <w:rPr>
          <w:rFonts w:ascii="Times New Roman" w:eastAsiaTheme="majorEastAsia" w:hAnsi="Times New Roman" w:cs="Times New Roman"/>
          <w:sz w:val="24"/>
          <w:szCs w:val="24"/>
        </w:rPr>
      </w:pPr>
      <w:r w:rsidRPr="003D78ED">
        <w:rPr>
          <w:rFonts w:ascii="Times New Roman" w:eastAsiaTheme="majorEastAsia" w:hAnsi="Times New Roman" w:cs="Times New Roman"/>
          <w:sz w:val="24"/>
          <w:szCs w:val="24"/>
        </w:rPr>
        <w:t>We wspomnianyc</w:t>
      </w:r>
      <w:r w:rsidR="00AC5AE5">
        <w:rPr>
          <w:rFonts w:ascii="Times New Roman" w:eastAsiaTheme="majorEastAsia" w:hAnsi="Times New Roman" w:cs="Times New Roman"/>
          <w:sz w:val="24"/>
          <w:szCs w:val="24"/>
        </w:rPr>
        <w:t xml:space="preserve">h powyżej regulacjach ustaw dotyczących </w:t>
      </w:r>
      <w:r w:rsidRPr="003D78ED">
        <w:rPr>
          <w:rFonts w:ascii="Times New Roman" w:eastAsiaTheme="majorEastAsia" w:hAnsi="Times New Roman" w:cs="Times New Roman"/>
          <w:sz w:val="24"/>
          <w:szCs w:val="24"/>
        </w:rPr>
        <w:t>podatków dochodowych wyliczono po kilkadziesiąt rodzajów wydatków (jak np. wydatki na nabycie lub wytworzenie środków trwałych, wydatki na spłatę pożyczek, zapłacony podatek dochodowy lub podatek od spadków i darowizn, zapłacone kary umowne, podatek od wydobycia niektórych kopalin), które – mimo że poniesione w związku z działalnością gospodarczą podatnika – nie są zaliczane do kosztów uzyskania przychodu. Z uwagi na mnogość i różnorodność rodzajów kosztów wyłączonych decyzją prawodawcy z kategorii kosztów uzyskania przychodu, a także ze względu na często bardzo rozbudowane katalogi warunków wyłączenia poszczególnych kosztów z k.u.p. (dodatkowo wzbogacone o wieloletni dorobek orzecznictwa sądowego i</w:t>
      </w:r>
      <w:r w:rsidR="00AC5AE5">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 xml:space="preserve">doktryny, dokonujących wykładni poszczególnych przepisów ustaw podatkowych), weryfikacja prawidłowości zaliczenia takich kosztów do k.u.p. każdorazowo wymaga szczegółowej analizy uwzględniającej wyżej opisane czynniki (w tym zwłaszcza linię orzecznictwa sądów administracyjnych). Zaznaczenia w tym miejscu dodatkowo wymaga, </w:t>
      </w:r>
      <w:r w:rsidR="00AC5AE5">
        <w:rPr>
          <w:rFonts w:ascii="Times New Roman" w:eastAsiaTheme="majorEastAsia" w:hAnsi="Times New Roman" w:cs="Times New Roman"/>
          <w:sz w:val="24"/>
          <w:szCs w:val="24"/>
        </w:rPr>
        <w:br/>
      </w:r>
      <w:r w:rsidRPr="003D78ED">
        <w:rPr>
          <w:rFonts w:ascii="Times New Roman" w:eastAsiaTheme="majorEastAsia" w:hAnsi="Times New Roman" w:cs="Times New Roman"/>
          <w:sz w:val="24"/>
          <w:szCs w:val="24"/>
        </w:rPr>
        <w:t>że</w:t>
      </w:r>
      <w:r w:rsidR="00AC5AE5">
        <w:rPr>
          <w:rFonts w:ascii="Times New Roman" w:eastAsiaTheme="majorEastAsia" w:hAnsi="Times New Roman" w:cs="Times New Roman"/>
          <w:sz w:val="24"/>
          <w:szCs w:val="24"/>
        </w:rPr>
        <w:t> </w:t>
      </w:r>
      <w:r w:rsidRPr="003D78ED">
        <w:rPr>
          <w:rFonts w:ascii="Times New Roman" w:eastAsiaTheme="majorEastAsia" w:hAnsi="Times New Roman" w:cs="Times New Roman"/>
          <w:sz w:val="24"/>
          <w:szCs w:val="24"/>
        </w:rPr>
        <w:t>– w odróżnieniu od opisanej w pkt a) pierwszej grupy wydatków wyłączonych z k.u.p. (niewykazujących związku z prowadzoną działalnością gospodarczą) – wyłączenie danego wydatku z k.u.p. na mocy art. 16 updop lub art. 23 updof nie zawsze wiąże się z jednoczesnym i niejako automatycznym wyłączeniem możliwości obniżenia należnego podatku VAT o kwotę podatku naliczonego (vide: np. zakup środka trwałego).</w:t>
      </w:r>
    </w:p>
    <w:p w14:paraId="619588D9" w14:textId="77777777" w:rsidR="00057AE7" w:rsidRPr="003D78ED" w:rsidRDefault="00057AE7" w:rsidP="00F65683">
      <w:pPr>
        <w:spacing w:line="240" w:lineRule="auto"/>
        <w:jc w:val="both"/>
        <w:rPr>
          <w:rFonts w:ascii="Times New Roman" w:eastAsiaTheme="majorEastAsia" w:hAnsi="Times New Roman" w:cs="Times New Roman"/>
          <w:sz w:val="24"/>
          <w:szCs w:val="24"/>
        </w:rPr>
      </w:pPr>
    </w:p>
    <w:p w14:paraId="392B8802" w14:textId="2D2EA488" w:rsidR="00661C17" w:rsidRPr="006674A8" w:rsidRDefault="00661C17" w:rsidP="00F65683">
      <w:pPr>
        <w:pStyle w:val="Nagwek2"/>
        <w:numPr>
          <w:ilvl w:val="0"/>
          <w:numId w:val="2"/>
        </w:numPr>
        <w:spacing w:after="120" w:line="240" w:lineRule="auto"/>
        <w:jc w:val="both"/>
        <w:rPr>
          <w:b/>
        </w:rPr>
      </w:pPr>
      <w:bookmarkStart w:id="15" w:name="_Toc428775845"/>
      <w:r w:rsidRPr="006674A8">
        <w:rPr>
          <w:b/>
        </w:rPr>
        <w:t>Ryzyko narażenia budżetu państwa na straty w wyniku uczestnictwa podmiotów w transakcjach karuzelowych</w:t>
      </w:r>
      <w:bookmarkEnd w:id="15"/>
    </w:p>
    <w:p w14:paraId="560D97C8" w14:textId="77777777" w:rsidR="00661C17" w:rsidRPr="00661C17" w:rsidRDefault="00661C17" w:rsidP="00F65683">
      <w:pPr>
        <w:spacing w:after="0" w:line="240" w:lineRule="auto"/>
        <w:rPr>
          <w:rFonts w:ascii="Times New Roman" w:hAnsi="Times New Roman" w:cs="Times New Roman"/>
          <w:sz w:val="24"/>
          <w:szCs w:val="24"/>
        </w:rPr>
      </w:pPr>
      <w:r w:rsidRPr="00661C17">
        <w:rPr>
          <w:rFonts w:ascii="Times New Roman" w:hAnsi="Times New Roman" w:cs="Times New Roman"/>
          <w:sz w:val="24"/>
          <w:szCs w:val="24"/>
        </w:rPr>
        <w:t>Ryzyko to występuje głównie w następujących podobszarach:</w:t>
      </w:r>
    </w:p>
    <w:p w14:paraId="6284B270" w14:textId="26A39D8F"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Działalność agentów sprzedaży,</w:t>
      </w:r>
    </w:p>
    <w:p w14:paraId="17BE6A47" w14:textId="4C0D662A"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Handel hurtowy pozostały,</w:t>
      </w:r>
    </w:p>
    <w:p w14:paraId="7EFFD55E" w14:textId="7FB77C55"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Handel produktami spożywczymi i tytoniem,</w:t>
      </w:r>
    </w:p>
    <w:p w14:paraId="37A98477" w14:textId="08502E27"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Paliwa,</w:t>
      </w:r>
    </w:p>
    <w:p w14:paraId="7D4B92E2" w14:textId="3E767135"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Produkcja i obrót metalami i produktami metalowymi,</w:t>
      </w:r>
    </w:p>
    <w:p w14:paraId="574ED725" w14:textId="508E2086"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Motoryzacja,</w:t>
      </w:r>
    </w:p>
    <w:p w14:paraId="06A087C7" w14:textId="66BC34D3" w:rsidR="00661C17" w:rsidRPr="00C14B85" w:rsidRDefault="00661C17" w:rsidP="00F65683">
      <w:pPr>
        <w:pStyle w:val="Akapitzlist"/>
        <w:numPr>
          <w:ilvl w:val="0"/>
          <w:numId w:val="20"/>
        </w:numPr>
        <w:spacing w:after="0" w:line="240" w:lineRule="auto"/>
        <w:rPr>
          <w:rFonts w:ascii="Times New Roman" w:hAnsi="Times New Roman" w:cs="Times New Roman"/>
          <w:i/>
          <w:sz w:val="24"/>
          <w:szCs w:val="24"/>
        </w:rPr>
      </w:pPr>
      <w:r w:rsidRPr="00C14B85">
        <w:rPr>
          <w:rFonts w:ascii="Times New Roman" w:hAnsi="Times New Roman" w:cs="Times New Roman"/>
          <w:i/>
          <w:sz w:val="24"/>
          <w:szCs w:val="24"/>
        </w:rPr>
        <w:t>Handel elektroniką.</w:t>
      </w:r>
    </w:p>
    <w:p w14:paraId="79F38602" w14:textId="77777777" w:rsidR="00C14B85" w:rsidRDefault="00C14B85" w:rsidP="00F65683">
      <w:pPr>
        <w:spacing w:line="240" w:lineRule="auto"/>
        <w:jc w:val="both"/>
        <w:rPr>
          <w:rFonts w:ascii="Times New Roman" w:hAnsi="Times New Roman" w:cs="Times New Roman"/>
          <w:sz w:val="24"/>
          <w:szCs w:val="24"/>
        </w:rPr>
      </w:pPr>
    </w:p>
    <w:p w14:paraId="57858EE5" w14:textId="77777777"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Mechanizm oszustwa karuzelowego polega na stworzeniu „łańcucha firm” wystawiających faktury VAT – najczęściej w tym samym dniu, które dokumentują fikcyjne dostawy (czasem rzeczywiste dostawy) towarów, w identycznych ilościach i asortymencie, z naliczeniem niewielkiej marży przez kolejnych uczestników łańcucha. W ślad za wystawionymi fakturami następują płatności, najczęściej tego samego dnia, często za pośrednictwem przelewów bankowych.</w:t>
      </w:r>
    </w:p>
    <w:p w14:paraId="39C7CA79" w14:textId="13808072"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Każdy z podmiotów biorących udział w łańcuchu transakcji posiada najczęściej komplet dokumentów dotyczących danej transakcji, tj. faktury VAT, dowody magazynowe (PZ, WZ), specyfikacje towarów, potwierdzenie odbioru towarów, dokumenty transportowe CMR oraz</w:t>
      </w:r>
      <w:r w:rsidR="005A454C">
        <w:rPr>
          <w:rFonts w:ascii="Times New Roman" w:hAnsi="Times New Roman" w:cs="Times New Roman"/>
          <w:sz w:val="24"/>
          <w:szCs w:val="24"/>
        </w:rPr>
        <w:t> </w:t>
      </w:r>
      <w:r w:rsidRPr="00661C17">
        <w:rPr>
          <w:rFonts w:ascii="Times New Roman" w:hAnsi="Times New Roman" w:cs="Times New Roman"/>
          <w:sz w:val="24"/>
          <w:szCs w:val="24"/>
        </w:rPr>
        <w:t>dowody zapłaty. Z tego powodu weryfikowanie spraw, w których istnieje podejrzenie wystąpienia oszustwa karuzelowego, musi charakteryzować się różnorodnością środków dowodowych, które umożliwią podważenie zapisów wynikających z dokumentacji podmiotów.</w:t>
      </w:r>
    </w:p>
    <w:p w14:paraId="40AF5149" w14:textId="77777777" w:rsidR="00661C17" w:rsidRPr="00661C17" w:rsidRDefault="00661C17" w:rsidP="00F65683">
      <w:pPr>
        <w:spacing w:after="0" w:line="240" w:lineRule="auto"/>
        <w:jc w:val="both"/>
        <w:rPr>
          <w:rFonts w:ascii="Times New Roman" w:hAnsi="Times New Roman" w:cs="Times New Roman"/>
          <w:sz w:val="24"/>
          <w:szCs w:val="24"/>
        </w:rPr>
      </w:pPr>
      <w:r w:rsidRPr="00661C17">
        <w:rPr>
          <w:rFonts w:ascii="Times New Roman" w:hAnsi="Times New Roman" w:cs="Times New Roman"/>
          <w:sz w:val="24"/>
          <w:szCs w:val="24"/>
        </w:rPr>
        <w:t>Każdy z podmiotów biorących udział w oszustwie karuzelowym pełni określoną funkcję:</w:t>
      </w:r>
    </w:p>
    <w:p w14:paraId="20CE2262" w14:textId="5C91B918" w:rsidR="00661C17" w:rsidRPr="00076DA5" w:rsidRDefault="00661C17" w:rsidP="00F65683">
      <w:pPr>
        <w:pStyle w:val="Akapitzlist"/>
        <w:numPr>
          <w:ilvl w:val="0"/>
          <w:numId w:val="13"/>
        </w:numPr>
        <w:spacing w:line="240" w:lineRule="auto"/>
        <w:jc w:val="both"/>
        <w:rPr>
          <w:rFonts w:ascii="Times New Roman" w:hAnsi="Times New Roman" w:cs="Times New Roman"/>
          <w:sz w:val="24"/>
          <w:szCs w:val="24"/>
        </w:rPr>
      </w:pPr>
      <w:r w:rsidRPr="00076DA5">
        <w:rPr>
          <w:rFonts w:ascii="Times New Roman" w:hAnsi="Times New Roman" w:cs="Times New Roman"/>
          <w:b/>
          <w:sz w:val="24"/>
          <w:szCs w:val="24"/>
        </w:rPr>
        <w:t>Spółka wiodąca</w:t>
      </w:r>
      <w:r w:rsidRPr="00076DA5">
        <w:rPr>
          <w:rFonts w:ascii="Times New Roman" w:hAnsi="Times New Roman" w:cs="Times New Roman"/>
          <w:sz w:val="24"/>
          <w:szCs w:val="24"/>
        </w:rPr>
        <w:t xml:space="preserve"> – steruje łańcuchem transakcji z państwa członkowskiego innego niż to, na terytorium którego funkcjonują „znikający podatnik”, broker oraz przedsiębiorstwa buforowe. Dokonuje ona wewnątrzwspólnotowej dostawy</w:t>
      </w:r>
      <w:r w:rsidR="006674A8">
        <w:rPr>
          <w:rFonts w:ascii="Times New Roman" w:hAnsi="Times New Roman" w:cs="Times New Roman"/>
          <w:sz w:val="24"/>
          <w:szCs w:val="24"/>
        </w:rPr>
        <w:t xml:space="preserve"> lub eksportu towarów</w:t>
      </w:r>
      <w:r w:rsidRPr="00076DA5">
        <w:rPr>
          <w:rFonts w:ascii="Times New Roman" w:hAnsi="Times New Roman" w:cs="Times New Roman"/>
          <w:sz w:val="24"/>
          <w:szCs w:val="24"/>
        </w:rPr>
        <w:t xml:space="preserve"> z</w:t>
      </w:r>
      <w:r w:rsidR="006674A8">
        <w:rPr>
          <w:rFonts w:ascii="Times New Roman" w:hAnsi="Times New Roman" w:cs="Times New Roman"/>
          <w:sz w:val="24"/>
          <w:szCs w:val="24"/>
        </w:rPr>
        <w:t> </w:t>
      </w:r>
      <w:r w:rsidRPr="00076DA5">
        <w:rPr>
          <w:rFonts w:ascii="Times New Roman" w:hAnsi="Times New Roman" w:cs="Times New Roman"/>
          <w:sz w:val="24"/>
          <w:szCs w:val="24"/>
        </w:rPr>
        <w:t>zastosowaniem stawki VAT 0%, a następnie składa wniosek o zwrot podatku naliczonego od zakupów krajowych (podatek ten zostanie odprowadzony przez dostawcę, którym zwykle jest hurtownik). W</w:t>
      </w:r>
      <w:r w:rsidR="005A454C">
        <w:rPr>
          <w:rFonts w:ascii="Times New Roman" w:hAnsi="Times New Roman" w:cs="Times New Roman"/>
          <w:sz w:val="24"/>
          <w:szCs w:val="24"/>
        </w:rPr>
        <w:t> </w:t>
      </w:r>
      <w:r w:rsidRPr="00076DA5">
        <w:rPr>
          <w:rFonts w:ascii="Times New Roman" w:hAnsi="Times New Roman" w:cs="Times New Roman"/>
          <w:sz w:val="24"/>
          <w:szCs w:val="24"/>
        </w:rPr>
        <w:t xml:space="preserve">konsekwencji państwo, w którym spółka jest zarejestrowana nie ponosi strat budżetowych z tytułu podatku VAT. </w:t>
      </w:r>
    </w:p>
    <w:p w14:paraId="1F09BA4F" w14:textId="6EFCF712" w:rsidR="00661C17" w:rsidRPr="00076DA5" w:rsidRDefault="00661C17" w:rsidP="00F65683">
      <w:pPr>
        <w:pStyle w:val="Akapitzlist"/>
        <w:numPr>
          <w:ilvl w:val="0"/>
          <w:numId w:val="13"/>
        </w:numPr>
        <w:spacing w:line="240" w:lineRule="auto"/>
        <w:jc w:val="both"/>
        <w:rPr>
          <w:rFonts w:ascii="Times New Roman" w:hAnsi="Times New Roman" w:cs="Times New Roman"/>
          <w:sz w:val="24"/>
          <w:szCs w:val="24"/>
        </w:rPr>
      </w:pPr>
      <w:r w:rsidRPr="00975E56">
        <w:rPr>
          <w:rFonts w:ascii="Times New Roman" w:hAnsi="Times New Roman" w:cs="Times New Roman"/>
          <w:b/>
          <w:sz w:val="24"/>
          <w:szCs w:val="24"/>
        </w:rPr>
        <w:t>Znikający podatnik</w:t>
      </w:r>
      <w:r w:rsidRPr="00076DA5">
        <w:rPr>
          <w:rFonts w:ascii="Times New Roman" w:hAnsi="Times New Roman" w:cs="Times New Roman"/>
          <w:sz w:val="24"/>
          <w:szCs w:val="24"/>
        </w:rPr>
        <w:t xml:space="preserve"> – nie wywiązuje się ze zobowiązań podatkowych. W wielu przypadkach nie tylko nie wpłaca do właściwego urzędu kwot podatku należnego z tytułu dokonania dostaw towarów, ale w ogóle nie składa deklaracji podatkowych. Zwykle posiada tylko skrzynkę pocztową, nieistniejący lub nawet sfałszowany adres siedziby oraz nie prowadzi rzeczywistej działalności handlowej. Znikający podatnik przyjmuje często formę spółki z ograniczoną odpowiedzialnością, której członkami zarządu są osoby podstawione lub firmy zagraniczne.</w:t>
      </w:r>
    </w:p>
    <w:p w14:paraId="533D1EB9" w14:textId="786E288A" w:rsidR="00661C17" w:rsidRPr="00076DA5" w:rsidRDefault="00661C17" w:rsidP="00F65683">
      <w:pPr>
        <w:pStyle w:val="Akapitzlist"/>
        <w:numPr>
          <w:ilvl w:val="0"/>
          <w:numId w:val="13"/>
        </w:numPr>
        <w:spacing w:line="240" w:lineRule="auto"/>
        <w:jc w:val="both"/>
        <w:rPr>
          <w:rFonts w:ascii="Times New Roman" w:hAnsi="Times New Roman" w:cs="Times New Roman"/>
          <w:sz w:val="24"/>
          <w:szCs w:val="24"/>
        </w:rPr>
      </w:pPr>
      <w:r w:rsidRPr="00975E56">
        <w:rPr>
          <w:rFonts w:ascii="Times New Roman" w:hAnsi="Times New Roman" w:cs="Times New Roman"/>
          <w:b/>
          <w:sz w:val="24"/>
          <w:szCs w:val="24"/>
        </w:rPr>
        <w:t>Przedsiębiorstwo buforowe</w:t>
      </w:r>
      <w:r w:rsidRPr="00076DA5">
        <w:rPr>
          <w:rFonts w:ascii="Times New Roman" w:hAnsi="Times New Roman" w:cs="Times New Roman"/>
          <w:sz w:val="24"/>
          <w:szCs w:val="24"/>
        </w:rPr>
        <w:t xml:space="preserve"> – jest to podmiot pośredniczący pomiędzy „znikającym podatnikiem” (lub innym buforem) a brokerem. Podmiot ten dokonuje nabycia towarów od „znikającego podatnika” i natychmiast dokonuje dostawy tych towarów do brokera. Bufor przestrzega przepisów, składa deklaracje VAT i płaci podatek należny. Główną jego rolą jest utrudnienie ewentualnego postępowania i zatarcie powiązań, jakie istnieją pomiędzy „znikającym podatnikiem”, a </w:t>
      </w:r>
      <w:r w:rsidR="00493ADB">
        <w:rPr>
          <w:rFonts w:ascii="Times New Roman" w:hAnsi="Times New Roman" w:cs="Times New Roman"/>
          <w:sz w:val="24"/>
          <w:szCs w:val="24"/>
        </w:rPr>
        <w:t xml:space="preserve">brokerem – </w:t>
      </w:r>
      <w:r w:rsidRPr="00076DA5">
        <w:rPr>
          <w:rFonts w:ascii="Times New Roman" w:hAnsi="Times New Roman" w:cs="Times New Roman"/>
          <w:sz w:val="24"/>
          <w:szCs w:val="24"/>
        </w:rPr>
        <w:t>wnioskując</w:t>
      </w:r>
      <w:r w:rsidR="00493ADB">
        <w:rPr>
          <w:rFonts w:ascii="Times New Roman" w:hAnsi="Times New Roman" w:cs="Times New Roman"/>
          <w:sz w:val="24"/>
          <w:szCs w:val="24"/>
        </w:rPr>
        <w:t>ym</w:t>
      </w:r>
      <w:r w:rsidRPr="00076DA5">
        <w:rPr>
          <w:rFonts w:ascii="Times New Roman" w:hAnsi="Times New Roman" w:cs="Times New Roman"/>
          <w:sz w:val="24"/>
          <w:szCs w:val="24"/>
        </w:rPr>
        <w:t xml:space="preserve"> o zwrot podatku VAT. Przedsiębiorstwa buforowe nie zawsze znajdują się w łańcuchu podmiotów występujących w oszustwie karuzelowym. Liczba buforów biorących udział w tym oszustwie zależy od stopnia złożoności danej karuzeli. W licznych przypadkach podmiot pełniący rolę bufora nie jest przedsiębiorstwem powołanym dla celów dokonania oszustwa podatkowego. Rolę bufora często pełnią znane na danym obszarze przedsiębiorstwa z dobrą reputacją, nieświadome, że uczestniczą w oszustwie. Mimo to, mogą czasami podejrzewać, iż niektóre transakcje, których dokonują, noszą znamiona transakcji charakterystycznych dla mechanizmu oszustwa (są nietypowe dla zachowań rynkowych). Bufor nalicza niewielką marżę i nie ponosi ryzyka handlowego.</w:t>
      </w:r>
    </w:p>
    <w:p w14:paraId="6AD0779F" w14:textId="2DD96DE4" w:rsidR="00661C17" w:rsidRPr="00076DA5" w:rsidRDefault="00661C17" w:rsidP="00F65683">
      <w:pPr>
        <w:pStyle w:val="Akapitzlist"/>
        <w:numPr>
          <w:ilvl w:val="0"/>
          <w:numId w:val="13"/>
        </w:numPr>
        <w:spacing w:line="240" w:lineRule="auto"/>
        <w:jc w:val="both"/>
        <w:rPr>
          <w:rFonts w:ascii="Times New Roman" w:hAnsi="Times New Roman" w:cs="Times New Roman"/>
          <w:sz w:val="24"/>
          <w:szCs w:val="24"/>
        </w:rPr>
      </w:pPr>
      <w:r w:rsidRPr="002E4131">
        <w:rPr>
          <w:rFonts w:ascii="Times New Roman" w:hAnsi="Times New Roman" w:cs="Times New Roman"/>
          <w:b/>
          <w:sz w:val="24"/>
          <w:szCs w:val="24"/>
        </w:rPr>
        <w:t>Broker</w:t>
      </w:r>
      <w:r w:rsidRPr="00076DA5">
        <w:rPr>
          <w:rFonts w:ascii="Times New Roman" w:hAnsi="Times New Roman" w:cs="Times New Roman"/>
          <w:sz w:val="24"/>
          <w:szCs w:val="24"/>
        </w:rPr>
        <w:t xml:space="preserve"> zwany także </w:t>
      </w:r>
      <w:r w:rsidRPr="002E4131">
        <w:rPr>
          <w:rFonts w:ascii="Times New Roman" w:hAnsi="Times New Roman" w:cs="Times New Roman"/>
          <w:b/>
          <w:sz w:val="24"/>
          <w:szCs w:val="24"/>
        </w:rPr>
        <w:t>nabywcą</w:t>
      </w:r>
      <w:r w:rsidRPr="00076DA5">
        <w:rPr>
          <w:rFonts w:ascii="Times New Roman" w:hAnsi="Times New Roman" w:cs="Times New Roman"/>
          <w:sz w:val="24"/>
          <w:szCs w:val="24"/>
        </w:rPr>
        <w:t xml:space="preserve"> lub </w:t>
      </w:r>
      <w:r w:rsidRPr="002E4131">
        <w:rPr>
          <w:rFonts w:ascii="Times New Roman" w:hAnsi="Times New Roman" w:cs="Times New Roman"/>
          <w:b/>
          <w:sz w:val="24"/>
          <w:szCs w:val="24"/>
        </w:rPr>
        <w:t>ogniwem końcowym</w:t>
      </w:r>
      <w:r w:rsidRPr="00076DA5">
        <w:rPr>
          <w:rFonts w:ascii="Times New Roman" w:hAnsi="Times New Roman" w:cs="Times New Roman"/>
          <w:sz w:val="24"/>
          <w:szCs w:val="24"/>
        </w:rPr>
        <w:t xml:space="preserve"> – dokonuje nabycia towarów od przedsiębiorstwa buforowego (rzadziej bezpośrednio od „znikającego podatnika”) i</w:t>
      </w:r>
      <w:r w:rsidR="00493ADB">
        <w:rPr>
          <w:rFonts w:ascii="Times New Roman" w:hAnsi="Times New Roman" w:cs="Times New Roman"/>
          <w:sz w:val="24"/>
          <w:szCs w:val="24"/>
        </w:rPr>
        <w:t> </w:t>
      </w:r>
      <w:r w:rsidRPr="00076DA5">
        <w:rPr>
          <w:rFonts w:ascii="Times New Roman" w:hAnsi="Times New Roman" w:cs="Times New Roman"/>
          <w:sz w:val="24"/>
          <w:szCs w:val="24"/>
        </w:rPr>
        <w:t>dokonuje wewnątrzwspólnotowej dostawy towarów z zastosowaniem stawki VAT 0% do spółki wiodącej lub eksportu (czasem dostawy towarów na rynek krajowy). Zawsze składa wniosek o zwrot podatku VAT naliczonego od zakupów lub wpłaca do budżetu niewielką nadwyżkę podatku należnego nad naliczonym. Broker jest zawsze podmiotem zarejestrowanym w tym samym państwie członkowskim, na terytorium którego funkcjonuje „znikający podatnik”.</w:t>
      </w:r>
    </w:p>
    <w:p w14:paraId="5A89F57D" w14:textId="77777777" w:rsidR="00661C17" w:rsidRPr="00661C17" w:rsidRDefault="00661C17" w:rsidP="00F65683">
      <w:pPr>
        <w:spacing w:after="0" w:line="240" w:lineRule="auto"/>
        <w:jc w:val="both"/>
        <w:rPr>
          <w:rFonts w:ascii="Times New Roman" w:hAnsi="Times New Roman" w:cs="Times New Roman"/>
          <w:sz w:val="24"/>
          <w:szCs w:val="24"/>
        </w:rPr>
      </w:pPr>
      <w:r w:rsidRPr="00661C17">
        <w:rPr>
          <w:rFonts w:ascii="Times New Roman" w:hAnsi="Times New Roman" w:cs="Times New Roman"/>
          <w:sz w:val="24"/>
          <w:szCs w:val="24"/>
        </w:rPr>
        <w:t>Cechy charakterystyczne dla oszustwa karuzelowego:</w:t>
      </w:r>
    </w:p>
    <w:p w14:paraId="799B9772" w14:textId="17E8D4F6" w:rsidR="00661C17" w:rsidRPr="00184DF6" w:rsidRDefault="0082683B" w:rsidP="00F65683">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transakcje</w:t>
      </w:r>
      <w:r w:rsidR="00661C17" w:rsidRPr="00184DF6">
        <w:rPr>
          <w:rFonts w:ascii="Times New Roman" w:hAnsi="Times New Roman" w:cs="Times New Roman"/>
          <w:sz w:val="24"/>
          <w:szCs w:val="24"/>
          <w:u w:val="single"/>
        </w:rPr>
        <w:t xml:space="preserve"> wewnątrzwspólnotowe</w:t>
      </w:r>
      <w:r w:rsidR="00661C17" w:rsidRPr="00184DF6">
        <w:rPr>
          <w:rFonts w:ascii="Times New Roman" w:hAnsi="Times New Roman" w:cs="Times New Roman"/>
          <w:sz w:val="24"/>
          <w:szCs w:val="24"/>
        </w:rPr>
        <w:t xml:space="preserve"> – oszustwo karuzelowe w podatku VAT zwykle opiera się na wewnątrzwspólnotowej dostawie towarów</w:t>
      </w:r>
      <w:r w:rsidR="00AC5AE5">
        <w:rPr>
          <w:rFonts w:ascii="Times New Roman" w:hAnsi="Times New Roman" w:cs="Times New Roman"/>
          <w:sz w:val="24"/>
          <w:szCs w:val="24"/>
        </w:rPr>
        <w:t>;</w:t>
      </w:r>
      <w:r w:rsidR="00661C17" w:rsidRPr="00184DF6">
        <w:rPr>
          <w:rFonts w:ascii="Times New Roman" w:hAnsi="Times New Roman" w:cs="Times New Roman"/>
          <w:sz w:val="24"/>
          <w:szCs w:val="24"/>
        </w:rPr>
        <w:t xml:space="preserve"> </w:t>
      </w:r>
      <w:r w:rsidR="00AC5AE5">
        <w:rPr>
          <w:rFonts w:ascii="Times New Roman" w:hAnsi="Times New Roman" w:cs="Times New Roman"/>
          <w:sz w:val="24"/>
          <w:szCs w:val="24"/>
        </w:rPr>
        <w:t>w</w:t>
      </w:r>
      <w:r w:rsidR="00661C17" w:rsidRPr="00184DF6">
        <w:rPr>
          <w:rFonts w:ascii="Times New Roman" w:hAnsi="Times New Roman" w:cs="Times New Roman"/>
          <w:sz w:val="24"/>
          <w:szCs w:val="24"/>
        </w:rPr>
        <w:t xml:space="preserve"> większości przypadków broker dokonujący tej dostawy będzie wnioskował o zwrot podatku, gdyż dokonał zapłaty podatku VAT zawartego w cenie zakupu towarów, a jednocześnie wystąpiła u</w:t>
      </w:r>
      <w:r w:rsidR="002B5C53">
        <w:rPr>
          <w:rFonts w:ascii="Times New Roman" w:hAnsi="Times New Roman" w:cs="Times New Roman"/>
          <w:sz w:val="24"/>
          <w:szCs w:val="24"/>
        </w:rPr>
        <w:t> </w:t>
      </w:r>
      <w:r w:rsidR="00661C17" w:rsidRPr="00184DF6">
        <w:rPr>
          <w:rFonts w:ascii="Times New Roman" w:hAnsi="Times New Roman" w:cs="Times New Roman"/>
          <w:sz w:val="24"/>
          <w:szCs w:val="24"/>
        </w:rPr>
        <w:t>niego sprzedaż opodatkowana stawką 0%,</w:t>
      </w:r>
    </w:p>
    <w:p w14:paraId="610DE4DA" w14:textId="71DEFDC5"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184DF6">
        <w:rPr>
          <w:rFonts w:ascii="Times New Roman" w:hAnsi="Times New Roman" w:cs="Times New Roman"/>
          <w:sz w:val="24"/>
          <w:szCs w:val="24"/>
          <w:u w:val="single"/>
        </w:rPr>
        <w:t>uczestnictwo wielu podmiotów</w:t>
      </w:r>
      <w:r w:rsidRPr="00184DF6">
        <w:rPr>
          <w:rFonts w:ascii="Times New Roman" w:hAnsi="Times New Roman" w:cs="Times New Roman"/>
          <w:sz w:val="24"/>
          <w:szCs w:val="24"/>
        </w:rPr>
        <w:t xml:space="preserve"> – tendencja do korzystania z wielu ogniw pośredniczących (buforów) utrudnia wykrycie „znikającego podatnika”</w:t>
      </w:r>
      <w:r w:rsidR="00AC5AE5">
        <w:rPr>
          <w:rFonts w:ascii="Times New Roman" w:hAnsi="Times New Roman" w:cs="Times New Roman"/>
          <w:sz w:val="24"/>
          <w:szCs w:val="24"/>
        </w:rPr>
        <w:t>;</w:t>
      </w:r>
      <w:r w:rsidRPr="00184DF6">
        <w:rPr>
          <w:rFonts w:ascii="Times New Roman" w:hAnsi="Times New Roman" w:cs="Times New Roman"/>
          <w:sz w:val="24"/>
          <w:szCs w:val="24"/>
        </w:rPr>
        <w:t xml:space="preserve"> </w:t>
      </w:r>
      <w:r w:rsidR="00AC5AE5">
        <w:rPr>
          <w:rFonts w:ascii="Times New Roman" w:hAnsi="Times New Roman" w:cs="Times New Roman"/>
          <w:sz w:val="24"/>
          <w:szCs w:val="24"/>
        </w:rPr>
        <w:t>o</w:t>
      </w:r>
      <w:r w:rsidRPr="00184DF6">
        <w:rPr>
          <w:rFonts w:ascii="Times New Roman" w:hAnsi="Times New Roman" w:cs="Times New Roman"/>
          <w:sz w:val="24"/>
          <w:szCs w:val="24"/>
        </w:rPr>
        <w:t>gniwa te zwykle poprawnie się rozliczają, wykazując niewielkie kwoty podatku do zapłaty, przez co są bardzo trudne do wykrycia przez rutynowe kontrole czy standardowe metody analizy ryzyka,</w:t>
      </w:r>
    </w:p>
    <w:p w14:paraId="6D116386" w14:textId="62E8DA3F"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2B5C53">
        <w:rPr>
          <w:rFonts w:ascii="Times New Roman" w:hAnsi="Times New Roman" w:cs="Times New Roman"/>
          <w:sz w:val="24"/>
          <w:szCs w:val="24"/>
          <w:u w:val="single"/>
        </w:rPr>
        <w:t>szybkie zmiany dostawców i nabywców</w:t>
      </w:r>
      <w:r w:rsidRPr="00184DF6">
        <w:rPr>
          <w:rFonts w:ascii="Times New Roman" w:hAnsi="Times New Roman" w:cs="Times New Roman"/>
          <w:sz w:val="24"/>
          <w:szCs w:val="24"/>
        </w:rPr>
        <w:t xml:space="preserve"> – aby uniknąć wykrycia, organizatorzy oszustwa karuzelowego regularnie zmieniają dostawców i wymieniają „znikających podatników” na coraz to inne firmy,</w:t>
      </w:r>
    </w:p>
    <w:p w14:paraId="4F23EDD6" w14:textId="73429C7E"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2B5C53">
        <w:rPr>
          <w:rFonts w:ascii="Times New Roman" w:hAnsi="Times New Roman" w:cs="Times New Roman"/>
          <w:sz w:val="24"/>
          <w:szCs w:val="24"/>
          <w:u w:val="single"/>
        </w:rPr>
        <w:t>brak deklaracji</w:t>
      </w:r>
      <w:r w:rsidR="005F097D">
        <w:rPr>
          <w:rFonts w:ascii="Times New Roman" w:hAnsi="Times New Roman" w:cs="Times New Roman"/>
          <w:sz w:val="24"/>
          <w:szCs w:val="24"/>
          <w:u w:val="single"/>
        </w:rPr>
        <w:t xml:space="preserve"> </w:t>
      </w:r>
      <w:r w:rsidRPr="002B5C53">
        <w:rPr>
          <w:rFonts w:ascii="Times New Roman" w:hAnsi="Times New Roman" w:cs="Times New Roman"/>
          <w:sz w:val="24"/>
          <w:szCs w:val="24"/>
          <w:u w:val="single"/>
        </w:rPr>
        <w:t>/</w:t>
      </w:r>
      <w:r w:rsidR="005F097D">
        <w:rPr>
          <w:rFonts w:ascii="Times New Roman" w:hAnsi="Times New Roman" w:cs="Times New Roman"/>
          <w:sz w:val="24"/>
          <w:szCs w:val="24"/>
          <w:u w:val="single"/>
        </w:rPr>
        <w:t xml:space="preserve"> </w:t>
      </w:r>
      <w:r w:rsidRPr="002B5C53">
        <w:rPr>
          <w:rFonts w:ascii="Times New Roman" w:hAnsi="Times New Roman" w:cs="Times New Roman"/>
          <w:sz w:val="24"/>
          <w:szCs w:val="24"/>
          <w:u w:val="single"/>
        </w:rPr>
        <w:t>zapłaty podatku</w:t>
      </w:r>
      <w:r w:rsidRPr="00184DF6">
        <w:rPr>
          <w:rFonts w:ascii="Times New Roman" w:hAnsi="Times New Roman" w:cs="Times New Roman"/>
          <w:sz w:val="24"/>
          <w:szCs w:val="24"/>
        </w:rPr>
        <w:t xml:space="preserve"> – pierwsze ogniwo krajowe („znikający podatnik”) w</w:t>
      </w:r>
      <w:r w:rsidR="002B5C53">
        <w:rPr>
          <w:rFonts w:ascii="Times New Roman" w:hAnsi="Times New Roman" w:cs="Times New Roman"/>
          <w:sz w:val="24"/>
          <w:szCs w:val="24"/>
        </w:rPr>
        <w:t> </w:t>
      </w:r>
      <w:r w:rsidRPr="00184DF6">
        <w:rPr>
          <w:rFonts w:ascii="Times New Roman" w:hAnsi="Times New Roman" w:cs="Times New Roman"/>
          <w:sz w:val="24"/>
          <w:szCs w:val="24"/>
        </w:rPr>
        <w:t>oszustwie karuzelowym nalicza VAT od sprzedaży krajowej i nie przekazuje go do</w:t>
      </w:r>
      <w:r w:rsidR="002B5C53">
        <w:rPr>
          <w:rFonts w:ascii="Times New Roman" w:hAnsi="Times New Roman" w:cs="Times New Roman"/>
          <w:sz w:val="24"/>
          <w:szCs w:val="24"/>
        </w:rPr>
        <w:t> </w:t>
      </w:r>
      <w:r w:rsidRPr="00184DF6">
        <w:rPr>
          <w:rFonts w:ascii="Times New Roman" w:hAnsi="Times New Roman" w:cs="Times New Roman"/>
          <w:sz w:val="24"/>
          <w:szCs w:val="24"/>
        </w:rPr>
        <w:t>budżetu państwa, co pozwala mu sprzedawać towary po cenach niższych od cen zakupu</w:t>
      </w:r>
      <w:r w:rsidR="00AC5AE5">
        <w:rPr>
          <w:rFonts w:ascii="Times New Roman" w:hAnsi="Times New Roman" w:cs="Times New Roman"/>
          <w:sz w:val="24"/>
          <w:szCs w:val="24"/>
        </w:rPr>
        <w:t>; p</w:t>
      </w:r>
      <w:r w:rsidRPr="00184DF6">
        <w:rPr>
          <w:rFonts w:ascii="Times New Roman" w:hAnsi="Times New Roman" w:cs="Times New Roman"/>
          <w:sz w:val="24"/>
          <w:szCs w:val="24"/>
        </w:rPr>
        <w:t>odatek VAT, który został zapłacony przez bufora lub brokera, a nie został zwrócony do budżetu przez „znikającego podatnika” stanowi jego rzeczywistą marżę,</w:t>
      </w:r>
    </w:p>
    <w:p w14:paraId="306802C9" w14:textId="39D60316" w:rsidR="00661C17" w:rsidRDefault="00B9610B" w:rsidP="00F65683">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wykorzystanie rzeczywiście istniejących</w:t>
      </w:r>
      <w:r w:rsidR="00661C17" w:rsidRPr="00ED2BB5">
        <w:rPr>
          <w:rFonts w:ascii="Times New Roman" w:hAnsi="Times New Roman" w:cs="Times New Roman"/>
          <w:sz w:val="24"/>
          <w:szCs w:val="24"/>
          <w:u w:val="single"/>
        </w:rPr>
        <w:t xml:space="preserve"> towarów</w:t>
      </w:r>
      <w:r w:rsidR="00661C17" w:rsidRPr="00184DF6">
        <w:rPr>
          <w:rFonts w:ascii="Times New Roman" w:hAnsi="Times New Roman" w:cs="Times New Roman"/>
          <w:sz w:val="24"/>
          <w:szCs w:val="24"/>
        </w:rPr>
        <w:t xml:space="preserve"> – chociaż transakcje są symulowane, w oszustwie karuzelowym często krążą rzeczywiste towary (wraz z odpowiednimi przepływami pieniężnymi),</w:t>
      </w:r>
    </w:p>
    <w:p w14:paraId="1183AA95" w14:textId="304FDB9A" w:rsidR="00B9610B" w:rsidRPr="00B9610B" w:rsidRDefault="00B9610B" w:rsidP="00B9610B">
      <w:pPr>
        <w:pStyle w:val="Akapitzlist"/>
        <w:numPr>
          <w:ilvl w:val="0"/>
          <w:numId w:val="16"/>
        </w:numPr>
        <w:jc w:val="both"/>
        <w:rPr>
          <w:rFonts w:ascii="Times New Roman" w:hAnsi="Times New Roman" w:cs="Times New Roman"/>
          <w:sz w:val="24"/>
          <w:szCs w:val="24"/>
        </w:rPr>
      </w:pPr>
      <w:r w:rsidRPr="00B9610B">
        <w:rPr>
          <w:rFonts w:ascii="Times New Roman" w:hAnsi="Times New Roman" w:cs="Times New Roman"/>
          <w:sz w:val="24"/>
          <w:szCs w:val="24"/>
          <w:u w:val="single"/>
        </w:rPr>
        <w:t xml:space="preserve">częsty brak </w:t>
      </w:r>
      <w:r w:rsidR="00302DFE">
        <w:rPr>
          <w:rFonts w:ascii="Times New Roman" w:hAnsi="Times New Roman" w:cs="Times New Roman"/>
          <w:sz w:val="24"/>
          <w:szCs w:val="24"/>
          <w:u w:val="single"/>
        </w:rPr>
        <w:t xml:space="preserve">fizycznego </w:t>
      </w:r>
      <w:r w:rsidRPr="00B9610B">
        <w:rPr>
          <w:rFonts w:ascii="Times New Roman" w:hAnsi="Times New Roman" w:cs="Times New Roman"/>
          <w:sz w:val="24"/>
          <w:szCs w:val="24"/>
          <w:u w:val="single"/>
        </w:rPr>
        <w:t>przemieszczania towarów</w:t>
      </w:r>
      <w:r>
        <w:rPr>
          <w:rFonts w:ascii="Times New Roman" w:hAnsi="Times New Roman" w:cs="Times New Roman"/>
          <w:sz w:val="24"/>
          <w:szCs w:val="24"/>
        </w:rPr>
        <w:t xml:space="preserve"> – </w:t>
      </w:r>
      <w:r w:rsidRPr="00B9610B">
        <w:rPr>
          <w:rFonts w:ascii="Times New Roman" w:hAnsi="Times New Roman" w:cs="Times New Roman"/>
          <w:sz w:val="24"/>
          <w:szCs w:val="24"/>
        </w:rPr>
        <w:t>towar, przez kolejne etapy obrotu, zazwyczaj przechowywany jest w tym samym centrum logistycznym, a nie pod adresem sprzedawcy,</w:t>
      </w:r>
    </w:p>
    <w:p w14:paraId="213F9CE8" w14:textId="1300ECBF" w:rsidR="00661C17" w:rsidRDefault="00B9610B" w:rsidP="00F65683">
      <w:pPr>
        <w:pStyle w:val="Akapitzlist"/>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duża częstotliwość transakcji</w:t>
      </w:r>
      <w:r w:rsidR="00661C17" w:rsidRPr="00184DF6">
        <w:rPr>
          <w:rFonts w:ascii="Times New Roman" w:hAnsi="Times New Roman" w:cs="Times New Roman"/>
          <w:sz w:val="24"/>
          <w:szCs w:val="24"/>
        </w:rPr>
        <w:t xml:space="preserve"> – transakcje zawierane są w formie elektronicznej (Skype, </w:t>
      </w:r>
      <w:r w:rsidR="002B5C53">
        <w:br/>
      </w:r>
      <w:r w:rsidR="00661C17" w:rsidRPr="00184DF6">
        <w:rPr>
          <w:rFonts w:ascii="Times New Roman" w:hAnsi="Times New Roman" w:cs="Times New Roman"/>
          <w:sz w:val="24"/>
          <w:szCs w:val="24"/>
        </w:rPr>
        <w:t>e-mail), co powoduje szybką zmianę kolejnych nabywców towarów,</w:t>
      </w:r>
    </w:p>
    <w:p w14:paraId="6DE3AEDF" w14:textId="5C4B6AEF" w:rsidR="005F097D" w:rsidRPr="005F097D" w:rsidRDefault="005F097D" w:rsidP="005F097D">
      <w:pPr>
        <w:pStyle w:val="Akapitzlist"/>
        <w:numPr>
          <w:ilvl w:val="0"/>
          <w:numId w:val="16"/>
        </w:numPr>
        <w:jc w:val="both"/>
        <w:rPr>
          <w:rFonts w:ascii="Times New Roman" w:hAnsi="Times New Roman" w:cs="Times New Roman"/>
          <w:sz w:val="24"/>
          <w:szCs w:val="24"/>
        </w:rPr>
      </w:pPr>
      <w:r w:rsidRPr="005F097D">
        <w:rPr>
          <w:rFonts w:ascii="Times New Roman" w:hAnsi="Times New Roman" w:cs="Times New Roman"/>
          <w:sz w:val="24"/>
          <w:szCs w:val="24"/>
          <w:u w:val="single"/>
        </w:rPr>
        <w:t>znaczne rozmiary transakcji</w:t>
      </w:r>
      <w:r>
        <w:rPr>
          <w:rFonts w:ascii="Times New Roman" w:hAnsi="Times New Roman" w:cs="Times New Roman"/>
          <w:sz w:val="24"/>
          <w:szCs w:val="24"/>
        </w:rPr>
        <w:t xml:space="preserve"> – </w:t>
      </w:r>
      <w:r w:rsidRPr="005F097D">
        <w:rPr>
          <w:rFonts w:ascii="Times New Roman" w:hAnsi="Times New Roman" w:cs="Times New Roman"/>
          <w:sz w:val="24"/>
          <w:szCs w:val="24"/>
        </w:rPr>
        <w:t>towary są oferowane w dużych ilościach, a partie towarów z reguły nie są dzielone,</w:t>
      </w:r>
    </w:p>
    <w:p w14:paraId="7F7135A4" w14:textId="59D28E22" w:rsidR="00661C17" w:rsidRDefault="00661C17" w:rsidP="00F65683">
      <w:pPr>
        <w:pStyle w:val="Akapitzlist"/>
        <w:numPr>
          <w:ilvl w:val="0"/>
          <w:numId w:val="16"/>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u w:val="single"/>
        </w:rPr>
        <w:t>powtarzalny charakter</w:t>
      </w:r>
      <w:r w:rsidRPr="003924FB">
        <w:rPr>
          <w:rFonts w:ascii="Times New Roman" w:hAnsi="Times New Roman" w:cs="Times New Roman"/>
          <w:sz w:val="24"/>
          <w:szCs w:val="24"/>
        </w:rPr>
        <w:t xml:space="preserve"> – w wielu przypadkach te same towary krążą w łańcuchu karuzelowym</w:t>
      </w:r>
      <w:r w:rsidR="003924FB" w:rsidRPr="003924FB">
        <w:rPr>
          <w:rFonts w:ascii="Times New Roman" w:hAnsi="Times New Roman" w:cs="Times New Roman"/>
          <w:sz w:val="24"/>
          <w:szCs w:val="24"/>
        </w:rPr>
        <w:t xml:space="preserve"> </w:t>
      </w:r>
      <w:r w:rsidRPr="003924FB">
        <w:rPr>
          <w:rFonts w:ascii="Times New Roman" w:hAnsi="Times New Roman" w:cs="Times New Roman"/>
          <w:sz w:val="24"/>
          <w:szCs w:val="24"/>
        </w:rPr>
        <w:t>wielokrotnie, pozwalając organizatorom uzyskać nawet wielokrotność kosztu zakupu towarów poprzez naruszenie zasad systemu VAT,</w:t>
      </w:r>
    </w:p>
    <w:p w14:paraId="3258B2EA" w14:textId="73B49CD0" w:rsidR="005F097D" w:rsidRPr="005F097D" w:rsidRDefault="005F097D" w:rsidP="005F097D">
      <w:pPr>
        <w:pStyle w:val="Akapitzlist"/>
        <w:numPr>
          <w:ilvl w:val="0"/>
          <w:numId w:val="16"/>
        </w:numPr>
        <w:jc w:val="both"/>
        <w:rPr>
          <w:rFonts w:ascii="Times New Roman" w:hAnsi="Times New Roman" w:cs="Times New Roman"/>
          <w:sz w:val="24"/>
          <w:szCs w:val="24"/>
        </w:rPr>
      </w:pPr>
      <w:r w:rsidRPr="005F097D">
        <w:rPr>
          <w:rFonts w:ascii="Times New Roman" w:hAnsi="Times New Roman" w:cs="Times New Roman"/>
          <w:sz w:val="24"/>
          <w:szCs w:val="24"/>
          <w:u w:val="single"/>
        </w:rPr>
        <w:t>„odwrócony łańcuch obrotu"</w:t>
      </w:r>
      <w:r>
        <w:rPr>
          <w:rFonts w:ascii="Times New Roman" w:hAnsi="Times New Roman" w:cs="Times New Roman"/>
          <w:sz w:val="24"/>
          <w:szCs w:val="24"/>
        </w:rPr>
        <w:t xml:space="preserve"> – </w:t>
      </w:r>
      <w:r w:rsidRPr="005F097D">
        <w:rPr>
          <w:rFonts w:ascii="Times New Roman" w:hAnsi="Times New Roman" w:cs="Times New Roman"/>
          <w:sz w:val="24"/>
          <w:szCs w:val="24"/>
        </w:rPr>
        <w:t>na normalnie funkcjonującym rynku, zazwyczaj towar sprzedawany jest od producenta, poprzez duże hurtownie i następnie mniejszych dystrybutorów, do sprzedawcy detalicznego, natomiast w obrocie dokonywanym z</w:t>
      </w:r>
      <w:r>
        <w:rPr>
          <w:rFonts w:ascii="Times New Roman" w:hAnsi="Times New Roman" w:cs="Times New Roman"/>
          <w:sz w:val="24"/>
          <w:szCs w:val="24"/>
        </w:rPr>
        <w:t> </w:t>
      </w:r>
      <w:r w:rsidRPr="005F097D">
        <w:rPr>
          <w:rFonts w:ascii="Times New Roman" w:hAnsi="Times New Roman" w:cs="Times New Roman"/>
          <w:sz w:val="24"/>
          <w:szCs w:val="24"/>
        </w:rPr>
        <w:t>zamiarem oszustwa w VAT, towar jest sprzedawany przez szereg mniejszych podmiotów do dużych dystrybutorów, którzy dokonują wywozu tego towaru poza granice RP,</w:t>
      </w:r>
    </w:p>
    <w:p w14:paraId="3523CE7D" w14:textId="20EC2B0B"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u w:val="single"/>
        </w:rPr>
        <w:t>metody płatności</w:t>
      </w:r>
      <w:r w:rsidRPr="00184DF6">
        <w:rPr>
          <w:rFonts w:ascii="Times New Roman" w:hAnsi="Times New Roman" w:cs="Times New Roman"/>
          <w:sz w:val="24"/>
          <w:szCs w:val="24"/>
        </w:rPr>
        <w:t xml:space="preserve"> – w transakcje zaangażowane są duże sumy pieniędzy, a płatności dokonywane są gotówką lub przelewami bankowymi (pieniądze przebywały na koncie bardzo krótko, a konto było założone na firmę, bez odniesienia do osób fizycznych)</w:t>
      </w:r>
      <w:r w:rsidR="00AC5AE5">
        <w:rPr>
          <w:rFonts w:ascii="Times New Roman" w:hAnsi="Times New Roman" w:cs="Times New Roman"/>
          <w:sz w:val="24"/>
          <w:szCs w:val="24"/>
        </w:rPr>
        <w:t>;</w:t>
      </w:r>
      <w:r w:rsidRPr="00184DF6">
        <w:rPr>
          <w:rFonts w:ascii="Times New Roman" w:hAnsi="Times New Roman" w:cs="Times New Roman"/>
          <w:sz w:val="24"/>
          <w:szCs w:val="24"/>
        </w:rPr>
        <w:t xml:space="preserve"> </w:t>
      </w:r>
      <w:r w:rsidR="00AC5AE5">
        <w:rPr>
          <w:rFonts w:ascii="Times New Roman" w:hAnsi="Times New Roman" w:cs="Times New Roman"/>
          <w:sz w:val="24"/>
          <w:szCs w:val="24"/>
        </w:rPr>
        <w:t>p</w:t>
      </w:r>
      <w:r w:rsidRPr="00184DF6">
        <w:rPr>
          <w:rFonts w:ascii="Times New Roman" w:hAnsi="Times New Roman" w:cs="Times New Roman"/>
          <w:sz w:val="24"/>
          <w:szCs w:val="24"/>
        </w:rPr>
        <w:t>odmioty uczestniczące w transakcjach korzystają często z tego samego banku</w:t>
      </w:r>
      <w:r w:rsidR="00AC5AE5">
        <w:rPr>
          <w:rFonts w:ascii="Times New Roman" w:hAnsi="Times New Roman" w:cs="Times New Roman"/>
          <w:sz w:val="24"/>
          <w:szCs w:val="24"/>
        </w:rPr>
        <w:t>;</w:t>
      </w:r>
      <w:r w:rsidRPr="00184DF6">
        <w:rPr>
          <w:rFonts w:ascii="Times New Roman" w:hAnsi="Times New Roman" w:cs="Times New Roman"/>
          <w:sz w:val="24"/>
          <w:szCs w:val="24"/>
        </w:rPr>
        <w:t xml:space="preserve"> </w:t>
      </w:r>
      <w:r w:rsidR="00AC5AE5">
        <w:rPr>
          <w:rFonts w:ascii="Times New Roman" w:hAnsi="Times New Roman" w:cs="Times New Roman"/>
          <w:sz w:val="24"/>
          <w:szCs w:val="24"/>
        </w:rPr>
        <w:t>t</w:t>
      </w:r>
      <w:r w:rsidRPr="00184DF6">
        <w:rPr>
          <w:rFonts w:ascii="Times New Roman" w:hAnsi="Times New Roman" w:cs="Times New Roman"/>
          <w:sz w:val="24"/>
          <w:szCs w:val="24"/>
        </w:rPr>
        <w:t>ypowy dla zachowań rynkowych kredyt kupiecki prawie nie występuje</w:t>
      </w:r>
      <w:r w:rsidR="00AC5AE5">
        <w:rPr>
          <w:rFonts w:ascii="Times New Roman" w:hAnsi="Times New Roman" w:cs="Times New Roman"/>
          <w:sz w:val="24"/>
          <w:szCs w:val="24"/>
        </w:rPr>
        <w:t>;</w:t>
      </w:r>
      <w:r w:rsidRPr="00184DF6">
        <w:rPr>
          <w:rFonts w:ascii="Times New Roman" w:hAnsi="Times New Roman" w:cs="Times New Roman"/>
          <w:sz w:val="24"/>
          <w:szCs w:val="24"/>
        </w:rPr>
        <w:t xml:space="preserve"> </w:t>
      </w:r>
      <w:r w:rsidR="00AC5AE5">
        <w:rPr>
          <w:rFonts w:ascii="Times New Roman" w:hAnsi="Times New Roman" w:cs="Times New Roman"/>
          <w:sz w:val="24"/>
          <w:szCs w:val="24"/>
        </w:rPr>
        <w:t>w</w:t>
      </w:r>
      <w:r w:rsidRPr="00184DF6">
        <w:rPr>
          <w:rFonts w:ascii="Times New Roman" w:hAnsi="Times New Roman" w:cs="Times New Roman"/>
          <w:sz w:val="24"/>
          <w:szCs w:val="24"/>
        </w:rPr>
        <w:t xml:space="preserve"> niektórych przypadkach pieniądze spływały od osoby trzeciej, tzn. innej niż odbiorca widniejący na fakturze,</w:t>
      </w:r>
    </w:p>
    <w:p w14:paraId="55E38B5D" w14:textId="781AB001" w:rsidR="00DB692A" w:rsidRPr="00DB692A" w:rsidRDefault="00661C17" w:rsidP="00DB692A">
      <w:pPr>
        <w:pStyle w:val="Akapitzlist"/>
        <w:numPr>
          <w:ilvl w:val="0"/>
          <w:numId w:val="16"/>
        </w:numPr>
        <w:jc w:val="both"/>
        <w:rPr>
          <w:rFonts w:ascii="Times New Roman" w:hAnsi="Times New Roman" w:cs="Times New Roman"/>
          <w:sz w:val="24"/>
          <w:szCs w:val="24"/>
        </w:rPr>
      </w:pPr>
      <w:r w:rsidRPr="00DB692A">
        <w:rPr>
          <w:rFonts w:ascii="Times New Roman" w:hAnsi="Times New Roman" w:cs="Times New Roman"/>
          <w:sz w:val="24"/>
          <w:szCs w:val="24"/>
          <w:u w:val="single"/>
        </w:rPr>
        <w:t>ceny poniżej cen rynkowych</w:t>
      </w:r>
      <w:r w:rsidRPr="00DB692A">
        <w:rPr>
          <w:rFonts w:ascii="Times New Roman" w:hAnsi="Times New Roman" w:cs="Times New Roman"/>
          <w:sz w:val="24"/>
          <w:szCs w:val="24"/>
        </w:rPr>
        <w:t xml:space="preserve"> – „znikający podatnik” nie płaci podatku i sprzedając towar, znacznie obniża cenę</w:t>
      </w:r>
      <w:r w:rsidR="00AC5AE5" w:rsidRPr="00DB692A">
        <w:rPr>
          <w:rFonts w:ascii="Times New Roman" w:hAnsi="Times New Roman" w:cs="Times New Roman"/>
          <w:sz w:val="24"/>
          <w:szCs w:val="24"/>
        </w:rPr>
        <w:t>;</w:t>
      </w:r>
      <w:r w:rsidRPr="00DB692A">
        <w:rPr>
          <w:rFonts w:ascii="Times New Roman" w:hAnsi="Times New Roman" w:cs="Times New Roman"/>
          <w:sz w:val="24"/>
          <w:szCs w:val="24"/>
        </w:rPr>
        <w:t xml:space="preserve"> </w:t>
      </w:r>
      <w:r w:rsidR="00AC5AE5" w:rsidRPr="00DB692A">
        <w:rPr>
          <w:rFonts w:ascii="Times New Roman" w:hAnsi="Times New Roman" w:cs="Times New Roman"/>
          <w:sz w:val="24"/>
          <w:szCs w:val="24"/>
        </w:rPr>
        <w:t>p</w:t>
      </w:r>
      <w:r w:rsidRPr="00DB692A">
        <w:rPr>
          <w:rFonts w:ascii="Times New Roman" w:hAnsi="Times New Roman" w:cs="Times New Roman"/>
          <w:sz w:val="24"/>
          <w:szCs w:val="24"/>
        </w:rPr>
        <w:t>owstaje cena sprzedaży, która choć skierowana do istniejącego rynku, jest znacznie niższa</w:t>
      </w:r>
      <w:r w:rsidR="00AC5AE5" w:rsidRPr="00DB692A">
        <w:rPr>
          <w:rFonts w:ascii="Times New Roman" w:hAnsi="Times New Roman" w:cs="Times New Roman"/>
          <w:sz w:val="24"/>
          <w:szCs w:val="24"/>
        </w:rPr>
        <w:t>; j</w:t>
      </w:r>
      <w:r w:rsidRPr="00DB692A">
        <w:rPr>
          <w:rFonts w:ascii="Times New Roman" w:hAnsi="Times New Roman" w:cs="Times New Roman"/>
          <w:sz w:val="24"/>
          <w:szCs w:val="24"/>
        </w:rPr>
        <w:t>eżeli obieg towarów jest dość częsty, może dojść do proponowania ceny poniżej kosztów</w:t>
      </w:r>
      <w:r w:rsidR="00B9610B">
        <w:rPr>
          <w:rFonts w:ascii="Times New Roman" w:hAnsi="Times New Roman" w:cs="Times New Roman"/>
          <w:sz w:val="24"/>
          <w:szCs w:val="24"/>
        </w:rPr>
        <w:t xml:space="preserve">; </w:t>
      </w:r>
      <w:r w:rsidR="00DB692A" w:rsidRPr="00DB692A">
        <w:rPr>
          <w:rFonts w:ascii="Times New Roman" w:hAnsi="Times New Roman" w:cs="Times New Roman"/>
          <w:sz w:val="24"/>
          <w:szCs w:val="24"/>
        </w:rPr>
        <w:t>marże na transakcjach są (stosunkowo) niskie dla większości firm w łańcuchu i często stanowią stałe kwoty, a negocjacje cenowe z reguły nie mają miejsca,</w:t>
      </w:r>
    </w:p>
    <w:p w14:paraId="7D2E66F5" w14:textId="283EEED0" w:rsidR="00661C17" w:rsidRPr="00184DF6" w:rsidRDefault="003924FB" w:rsidP="00F65683">
      <w:pPr>
        <w:pStyle w:val="Akapitzlist"/>
        <w:numPr>
          <w:ilvl w:val="0"/>
          <w:numId w:val="16"/>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u w:val="single"/>
        </w:rPr>
        <w:t>brak infrastruktury do prowadzenia działalności gospodarczej</w:t>
      </w:r>
      <w:r>
        <w:rPr>
          <w:rFonts w:ascii="Times New Roman" w:hAnsi="Times New Roman" w:cs="Times New Roman"/>
          <w:sz w:val="24"/>
          <w:szCs w:val="24"/>
        </w:rPr>
        <w:t xml:space="preserve"> – </w:t>
      </w:r>
      <w:r w:rsidR="00661C17" w:rsidRPr="00184DF6">
        <w:rPr>
          <w:rFonts w:ascii="Times New Roman" w:hAnsi="Times New Roman" w:cs="Times New Roman"/>
          <w:sz w:val="24"/>
          <w:szCs w:val="24"/>
        </w:rPr>
        <w:t>firmy biorące udział w</w:t>
      </w:r>
      <w:r w:rsidR="00AC5AE5">
        <w:rPr>
          <w:rFonts w:ascii="Times New Roman" w:hAnsi="Times New Roman" w:cs="Times New Roman"/>
          <w:sz w:val="24"/>
          <w:szCs w:val="24"/>
        </w:rPr>
        <w:t> </w:t>
      </w:r>
      <w:r w:rsidR="00661C17" w:rsidRPr="00184DF6">
        <w:rPr>
          <w:rFonts w:ascii="Times New Roman" w:hAnsi="Times New Roman" w:cs="Times New Roman"/>
          <w:sz w:val="24"/>
          <w:szCs w:val="24"/>
        </w:rPr>
        <w:t xml:space="preserve">oszustwie </w:t>
      </w:r>
      <w:r>
        <w:rPr>
          <w:rFonts w:ascii="Times New Roman" w:hAnsi="Times New Roman" w:cs="Times New Roman"/>
          <w:sz w:val="24"/>
          <w:szCs w:val="24"/>
        </w:rPr>
        <w:t xml:space="preserve">często </w:t>
      </w:r>
      <w:r w:rsidR="00661C17" w:rsidRPr="00184DF6">
        <w:rPr>
          <w:rFonts w:ascii="Times New Roman" w:hAnsi="Times New Roman" w:cs="Times New Roman"/>
          <w:sz w:val="24"/>
          <w:szCs w:val="24"/>
        </w:rPr>
        <w:t>nie posiadają własnych magazynów, a w celu uwiarygodnienia istnienia towaru oraz jego przepływu współpracują z centrami logistycznymi, które prowadzą ewidencję magazynową, dokonując „zwolnień” towarów na rzecz kolejnych nabywców</w:t>
      </w:r>
      <w:r w:rsidR="00AC5AE5">
        <w:rPr>
          <w:rFonts w:ascii="Times New Roman" w:hAnsi="Times New Roman" w:cs="Times New Roman"/>
          <w:sz w:val="24"/>
          <w:szCs w:val="24"/>
        </w:rPr>
        <w:t>; b</w:t>
      </w:r>
      <w:r w:rsidR="00661C17" w:rsidRPr="00184DF6">
        <w:rPr>
          <w:rFonts w:ascii="Times New Roman" w:hAnsi="Times New Roman" w:cs="Times New Roman"/>
          <w:sz w:val="24"/>
          <w:szCs w:val="24"/>
        </w:rPr>
        <w:t>rak fizycznego przemieszczania towaru, wystawiane są jedynie dokumenty magazynowe: PZ, WZ,</w:t>
      </w:r>
    </w:p>
    <w:p w14:paraId="7830BC5D" w14:textId="53B8CEFB" w:rsidR="00661C17" w:rsidRDefault="00661C17" w:rsidP="00F65683">
      <w:pPr>
        <w:pStyle w:val="Akapitzlist"/>
        <w:numPr>
          <w:ilvl w:val="0"/>
          <w:numId w:val="16"/>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u w:val="single"/>
        </w:rPr>
        <w:t>brak umów dystrybucyjnych</w:t>
      </w:r>
      <w:r w:rsidRPr="00184DF6">
        <w:rPr>
          <w:rFonts w:ascii="Times New Roman" w:hAnsi="Times New Roman" w:cs="Times New Roman"/>
          <w:sz w:val="24"/>
          <w:szCs w:val="24"/>
        </w:rPr>
        <w:t>,</w:t>
      </w:r>
    </w:p>
    <w:p w14:paraId="086A2A26" w14:textId="4D2780B7" w:rsidR="005F097D" w:rsidRPr="005F097D" w:rsidRDefault="005F097D" w:rsidP="005F097D">
      <w:pPr>
        <w:pStyle w:val="Akapitzlist"/>
        <w:numPr>
          <w:ilvl w:val="0"/>
          <w:numId w:val="16"/>
        </w:numPr>
        <w:rPr>
          <w:rFonts w:ascii="Times New Roman" w:hAnsi="Times New Roman" w:cs="Times New Roman"/>
          <w:sz w:val="24"/>
          <w:szCs w:val="24"/>
        </w:rPr>
      </w:pPr>
      <w:r w:rsidRPr="005F097D">
        <w:rPr>
          <w:rFonts w:ascii="Times New Roman" w:hAnsi="Times New Roman" w:cs="Times New Roman"/>
          <w:sz w:val="24"/>
          <w:szCs w:val="24"/>
          <w:u w:val="single"/>
        </w:rPr>
        <w:t>brak ubezpieczania towarów</w:t>
      </w:r>
      <w:r>
        <w:rPr>
          <w:rFonts w:ascii="Times New Roman" w:hAnsi="Times New Roman" w:cs="Times New Roman"/>
          <w:sz w:val="24"/>
          <w:szCs w:val="24"/>
        </w:rPr>
        <w:t xml:space="preserve"> – </w:t>
      </w:r>
      <w:r w:rsidRPr="005F097D">
        <w:rPr>
          <w:rFonts w:ascii="Times New Roman" w:hAnsi="Times New Roman" w:cs="Times New Roman"/>
          <w:sz w:val="24"/>
          <w:szCs w:val="24"/>
        </w:rPr>
        <w:t>towary często nie są ubezpieczane, mimo ich wysokiej wartości,</w:t>
      </w:r>
    </w:p>
    <w:p w14:paraId="00B72344" w14:textId="5AC823CA" w:rsidR="00661C17" w:rsidRPr="003924FB" w:rsidRDefault="00661C17" w:rsidP="00F65683">
      <w:pPr>
        <w:pStyle w:val="Akapitzlist"/>
        <w:numPr>
          <w:ilvl w:val="0"/>
          <w:numId w:val="16"/>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źródło finansowania zakupu towarów stanowią środki uzyskane od kolejnego w</w:t>
      </w:r>
      <w:r w:rsidR="002B5C53" w:rsidRPr="003924FB">
        <w:rPr>
          <w:rFonts w:ascii="Times New Roman" w:hAnsi="Times New Roman" w:cs="Times New Roman"/>
          <w:sz w:val="24"/>
          <w:szCs w:val="24"/>
        </w:rPr>
        <w:t> </w:t>
      </w:r>
      <w:r w:rsidRPr="003924FB">
        <w:rPr>
          <w:rFonts w:ascii="Times New Roman" w:hAnsi="Times New Roman" w:cs="Times New Roman"/>
          <w:sz w:val="24"/>
          <w:szCs w:val="24"/>
        </w:rPr>
        <w:t>łańcuchu nabywcy towaru,</w:t>
      </w:r>
    </w:p>
    <w:p w14:paraId="0CD09557" w14:textId="0AF98C88"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184DF6">
        <w:rPr>
          <w:rFonts w:ascii="Times New Roman" w:hAnsi="Times New Roman" w:cs="Times New Roman"/>
          <w:sz w:val="24"/>
          <w:szCs w:val="24"/>
        </w:rPr>
        <w:t xml:space="preserve">często siedziba firm biorących udział w oszustwie zarejestrowana jest w </w:t>
      </w:r>
      <w:r w:rsidRPr="003924FB">
        <w:rPr>
          <w:rFonts w:ascii="Times New Roman" w:hAnsi="Times New Roman" w:cs="Times New Roman"/>
          <w:sz w:val="24"/>
          <w:szCs w:val="24"/>
          <w:u w:val="single"/>
        </w:rPr>
        <w:t>wirtualnym biurze</w:t>
      </w:r>
      <w:r w:rsidRPr="00184DF6">
        <w:rPr>
          <w:rFonts w:ascii="Times New Roman" w:hAnsi="Times New Roman" w:cs="Times New Roman"/>
          <w:sz w:val="24"/>
          <w:szCs w:val="24"/>
        </w:rPr>
        <w:t>,</w:t>
      </w:r>
    </w:p>
    <w:p w14:paraId="38FDCF79" w14:textId="49A3E574"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184DF6">
        <w:rPr>
          <w:rFonts w:ascii="Times New Roman" w:hAnsi="Times New Roman" w:cs="Times New Roman"/>
          <w:sz w:val="24"/>
          <w:szCs w:val="24"/>
        </w:rPr>
        <w:t>towary będące przedmiotem eksportu najczęściej trafiają do państw, w których nie ma możliwości sprawdzenia transakcji (np. do Hong-Kongu lub Dubaju – do stref wolnocłowych na lotniskach),</w:t>
      </w:r>
    </w:p>
    <w:p w14:paraId="7C0D2204" w14:textId="1ED6130C" w:rsidR="00661C17" w:rsidRPr="00184DF6" w:rsidRDefault="00661C17" w:rsidP="00F65683">
      <w:pPr>
        <w:pStyle w:val="Akapitzlist"/>
        <w:numPr>
          <w:ilvl w:val="0"/>
          <w:numId w:val="16"/>
        </w:numPr>
        <w:spacing w:line="240" w:lineRule="auto"/>
        <w:jc w:val="both"/>
        <w:rPr>
          <w:rFonts w:ascii="Times New Roman" w:hAnsi="Times New Roman" w:cs="Times New Roman"/>
          <w:sz w:val="24"/>
          <w:szCs w:val="24"/>
        </w:rPr>
      </w:pPr>
      <w:r w:rsidRPr="00184DF6">
        <w:rPr>
          <w:rFonts w:ascii="Times New Roman" w:hAnsi="Times New Roman" w:cs="Times New Roman"/>
          <w:sz w:val="24"/>
          <w:szCs w:val="24"/>
        </w:rPr>
        <w:t>firmy uczestniczące w oszustwie nie zgłaszają wszystkich posiadanych rachunków bankowych związanych z prowadzoną działalnością.</w:t>
      </w:r>
    </w:p>
    <w:p w14:paraId="1EDEFFDF" w14:textId="6FC39AF3"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 xml:space="preserve">Przykładem oszustwa w ramach transakcji wewnątrzwspólnotowych jest m.in. obrót paliwami ciekłymi. Do oszustw wykorzystywane są </w:t>
      </w:r>
      <w:r w:rsidR="00D262D8">
        <w:rPr>
          <w:rFonts w:ascii="Times New Roman" w:hAnsi="Times New Roman" w:cs="Times New Roman"/>
          <w:sz w:val="24"/>
          <w:szCs w:val="24"/>
        </w:rPr>
        <w:t>s</w:t>
      </w:r>
      <w:r w:rsidRPr="00661C17">
        <w:rPr>
          <w:rFonts w:ascii="Times New Roman" w:hAnsi="Times New Roman" w:cs="Times New Roman"/>
          <w:sz w:val="24"/>
          <w:szCs w:val="24"/>
        </w:rPr>
        <w:t>półki, w których udziały nabywają i następnie nimi zarządzają, osoby podstawione. Firmy te wpłacają zabezpieczenia akcyzowe, wynajmują powierzchnie magazynowe, towar składują w miejscach wskazanych przez urzędy celne i</w:t>
      </w:r>
      <w:r w:rsidR="003924FB">
        <w:rPr>
          <w:rFonts w:ascii="Times New Roman" w:hAnsi="Times New Roman" w:cs="Times New Roman"/>
          <w:sz w:val="24"/>
          <w:szCs w:val="24"/>
        </w:rPr>
        <w:t> </w:t>
      </w:r>
      <w:r w:rsidRPr="00661C17">
        <w:rPr>
          <w:rFonts w:ascii="Times New Roman" w:hAnsi="Times New Roman" w:cs="Times New Roman"/>
          <w:sz w:val="24"/>
          <w:szCs w:val="24"/>
        </w:rPr>
        <w:t>regulują podatek akcyzowy, w celu uniknięcia ewentualnej kontroli ze strony urzędu celnego. Paliwo jest nabywane w krajach UE, głównie na Litwie, Łotwie i w Niemczech. Transport odbywa się za pośrednictwem polskich firm transportowych lub firm pochodzących z kraju dostawy, a towar jest sprzedawany polskim przedsiębior</w:t>
      </w:r>
      <w:r w:rsidR="00D262D8">
        <w:rPr>
          <w:rFonts w:ascii="Times New Roman" w:hAnsi="Times New Roman" w:cs="Times New Roman"/>
          <w:sz w:val="24"/>
          <w:szCs w:val="24"/>
        </w:rPr>
        <w:t>com w cenach konkurencyjnych w</w:t>
      </w:r>
      <w:r w:rsidR="003924FB">
        <w:rPr>
          <w:rFonts w:ascii="Times New Roman" w:hAnsi="Times New Roman" w:cs="Times New Roman"/>
          <w:sz w:val="24"/>
          <w:szCs w:val="24"/>
        </w:rPr>
        <w:t> </w:t>
      </w:r>
      <w:r w:rsidRPr="00661C17">
        <w:rPr>
          <w:rFonts w:ascii="Times New Roman" w:hAnsi="Times New Roman" w:cs="Times New Roman"/>
          <w:sz w:val="24"/>
          <w:szCs w:val="24"/>
        </w:rPr>
        <w:t>stosunku do cen rynkowych. Podmiot biorący udział w oszustwie dokonuje dostaw krajowych, przy czym w składanych deklaracjach zaniża wartość obrotu i podatku należnego VAT lub też deklaruje fikcyjny podatek naliczony VAT (brak jakiejkolwiek dokumentacji uzasadniającej wykazanie danych kwot podatku naliczonego VAT lub „tworzona” jest fikcyjna dokumentacja dotycząca zakupów) w celu zaniżenia podatku należnego. W tym mechanizmie występują także przypadki wydłużenia łańcucha dostaw krajowych w celu ukrycia ostatecznego nabywcy towaru. Firmy biorące udział w oszustwie działają z reguły krótko, odsprzedają udziały osobom spoza Polski, a dokumentacja jest niszczona.</w:t>
      </w:r>
    </w:p>
    <w:p w14:paraId="6C0AD0C5" w14:textId="77777777"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Inny mechanizm oszustw związanych z transakcjami wewnątrzwspólnotowymi polega na pozorowaniu dostaw wewnątrzwspólnotowych, podczas gdy towar nie opuszcza terytorium kraju.</w:t>
      </w:r>
    </w:p>
    <w:p w14:paraId="487F22DD" w14:textId="42909960"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Często przedmiotem takich pozornych dostaw są używane samochody</w:t>
      </w:r>
      <w:r w:rsidR="00FE17E3">
        <w:rPr>
          <w:rFonts w:ascii="Times New Roman" w:hAnsi="Times New Roman" w:cs="Times New Roman"/>
          <w:sz w:val="24"/>
          <w:szCs w:val="24"/>
        </w:rPr>
        <w:t>,</w:t>
      </w:r>
      <w:r w:rsidRPr="00661C17">
        <w:rPr>
          <w:rFonts w:ascii="Times New Roman" w:hAnsi="Times New Roman" w:cs="Times New Roman"/>
          <w:sz w:val="24"/>
          <w:szCs w:val="24"/>
        </w:rPr>
        <w:t xml:space="preserve"> np. ciężarowe i</w:t>
      </w:r>
      <w:r w:rsidR="00FE17E3">
        <w:rPr>
          <w:rFonts w:ascii="Times New Roman" w:hAnsi="Times New Roman" w:cs="Times New Roman"/>
          <w:sz w:val="24"/>
          <w:szCs w:val="24"/>
        </w:rPr>
        <w:t> </w:t>
      </w:r>
      <w:r w:rsidRPr="00661C17">
        <w:rPr>
          <w:rFonts w:ascii="Times New Roman" w:hAnsi="Times New Roman" w:cs="Times New Roman"/>
          <w:sz w:val="24"/>
          <w:szCs w:val="24"/>
        </w:rPr>
        <w:t>autobusy lub pojazdy specjalistyczne o znacznej wartości, od których przysługuje pełne odliczenie podatku naliczonego VAT (np. samochód Ferrari posiadający status bankowozu lub samochodu pomocy drogowej). Fikcyjnym nabywcą tych pojazdów są podmioty zarejestrowane w innych państwach UE, których właścicielami są obywatele Polscy lub osoby z krajów spoza UE (np.</w:t>
      </w:r>
      <w:r w:rsidR="003924FB">
        <w:rPr>
          <w:rFonts w:ascii="Times New Roman" w:hAnsi="Times New Roman" w:cs="Times New Roman"/>
          <w:sz w:val="24"/>
          <w:szCs w:val="24"/>
        </w:rPr>
        <w:t> </w:t>
      </w:r>
      <w:r w:rsidRPr="00661C17">
        <w:rPr>
          <w:rFonts w:ascii="Times New Roman" w:hAnsi="Times New Roman" w:cs="Times New Roman"/>
          <w:sz w:val="24"/>
          <w:szCs w:val="24"/>
        </w:rPr>
        <w:t>obywatele Ukrainy, Rosji). Podmioty te często nie rozliczają transakcji WNT</w:t>
      </w:r>
      <w:r w:rsidR="00CC7502">
        <w:rPr>
          <w:rFonts w:ascii="Times New Roman" w:hAnsi="Times New Roman" w:cs="Times New Roman"/>
          <w:sz w:val="24"/>
          <w:szCs w:val="24"/>
        </w:rPr>
        <w:t xml:space="preserve"> na terenie kraju, w którym są </w:t>
      </w:r>
      <w:r w:rsidRPr="00661C17">
        <w:rPr>
          <w:rFonts w:ascii="Times New Roman" w:hAnsi="Times New Roman" w:cs="Times New Roman"/>
          <w:sz w:val="24"/>
          <w:szCs w:val="24"/>
        </w:rPr>
        <w:t>zarejestrowane.</w:t>
      </w:r>
      <w:r w:rsidR="003924FB">
        <w:rPr>
          <w:rFonts w:ascii="Times New Roman" w:hAnsi="Times New Roman" w:cs="Times New Roman"/>
          <w:sz w:val="24"/>
          <w:szCs w:val="24"/>
        </w:rPr>
        <w:t xml:space="preserve"> </w:t>
      </w:r>
      <w:r w:rsidRPr="00661C17">
        <w:rPr>
          <w:rFonts w:ascii="Times New Roman" w:hAnsi="Times New Roman" w:cs="Times New Roman"/>
          <w:sz w:val="24"/>
          <w:szCs w:val="24"/>
        </w:rPr>
        <w:t>Jednocześnie pojazdy te są przedmiotem nabyć wewnątrzwspólnotowych przez polskie firmy, z którymi najczęściej nie ma kontaktu lub kontakt ten jest bardzo utrudniony, a które nie wykazują WNT w kraju. Ostatecznymi nabywcami przedmiotowych samochodów są firmy leasingowe. Podmioty dokonujące fikcyjnych dostaw wewnątrzwspólnotowych posługują się wyłącznie fakturami sprzedaży, nie posiadają dokumentów potwierdzających przemieszczenie towarów do innego państwa UE, przy czym wykorzystując stawkę preferencyjną 0% stosowaną w przypadku WDT, występują o zwrot podatku.</w:t>
      </w:r>
    </w:p>
    <w:p w14:paraId="50695439" w14:textId="77777777"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W praktyce oszustwa karuzelowe są bardzo skomplikowane, gdyż w łańcuchu dostaw bierze udział wiele przedsiębiorstw z terytorium kraju i państw członkowskich. Liczba możliwych kombinacji i odmian mechanizmu oszustwa jest praktycznie nieograniczona, w szczególności w zakresie liczby przedsiębiorstw będących „znikającymi podatnikami” oraz buforami.</w:t>
      </w:r>
    </w:p>
    <w:p w14:paraId="73D0E3AC" w14:textId="7972A547" w:rsidR="00661C17" w:rsidRPr="00661C17" w:rsidRDefault="00661C17" w:rsidP="00F65683">
      <w:pPr>
        <w:spacing w:line="240" w:lineRule="auto"/>
        <w:jc w:val="both"/>
        <w:rPr>
          <w:rFonts w:ascii="Times New Roman" w:hAnsi="Times New Roman" w:cs="Times New Roman"/>
          <w:sz w:val="24"/>
          <w:szCs w:val="24"/>
        </w:rPr>
      </w:pPr>
      <w:r w:rsidRPr="00661C17">
        <w:rPr>
          <w:rFonts w:ascii="Times New Roman" w:hAnsi="Times New Roman" w:cs="Times New Roman"/>
          <w:sz w:val="24"/>
          <w:szCs w:val="24"/>
        </w:rPr>
        <w:t>W skomplikowanych układach karuzel obrót towarem odbywa się także przy wykorzystaniu krajów – rajów podatkowych. Coraz częściej w łańcuch dostaw zaangażowane są działające od wielu lat podmioty, o ugruntowanej pozycji na rynku, które osiągają bardzo wysokie obroty. Podmioty te świadomie</w:t>
      </w:r>
      <w:r w:rsidR="00582A10">
        <w:rPr>
          <w:rFonts w:ascii="Times New Roman" w:hAnsi="Times New Roman" w:cs="Times New Roman"/>
          <w:sz w:val="24"/>
          <w:szCs w:val="24"/>
        </w:rPr>
        <w:t xml:space="preserve"> godzą się lub „przymykają oczy</w:t>
      </w:r>
      <w:r w:rsidRPr="00661C17">
        <w:rPr>
          <w:rFonts w:ascii="Times New Roman" w:hAnsi="Times New Roman" w:cs="Times New Roman"/>
          <w:sz w:val="24"/>
          <w:szCs w:val="24"/>
        </w:rPr>
        <w:t>” na ich wykorzystanie w charakterze bufora lub brokera w karuzeli podatkowej, ponieważ w ten sposób zarabiają dzięki zwiększonym obrotom i zakupom po zaniżonych cenach. Nie można też wykluczyć aktywnego, celowego inicjowania karuzeli podatkowych przez podmioty dotychczas rzetelnie płacące wysokie kwoty podatków do budżetu państwa.</w:t>
      </w:r>
    </w:p>
    <w:p w14:paraId="2FBB3CF0" w14:textId="2AA24CED" w:rsidR="00661C17" w:rsidRPr="00661C17" w:rsidRDefault="00174CE6" w:rsidP="00F65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Poniżej przedstawiono </w:t>
      </w:r>
      <w:r w:rsidR="00661C17" w:rsidRPr="00661C17">
        <w:rPr>
          <w:rFonts w:ascii="Times New Roman" w:hAnsi="Times New Roman" w:cs="Times New Roman"/>
          <w:sz w:val="24"/>
          <w:szCs w:val="24"/>
        </w:rPr>
        <w:t>towary</w:t>
      </w:r>
      <w:r w:rsidR="00582A10">
        <w:rPr>
          <w:rFonts w:ascii="Times New Roman" w:hAnsi="Times New Roman" w:cs="Times New Roman"/>
          <w:sz w:val="24"/>
          <w:szCs w:val="24"/>
        </w:rPr>
        <w:t xml:space="preserve"> stanowiące najczęściej przedmiot transakcji</w:t>
      </w:r>
      <w:r w:rsidR="00661C17" w:rsidRPr="00661C17">
        <w:rPr>
          <w:rFonts w:ascii="Times New Roman" w:hAnsi="Times New Roman" w:cs="Times New Roman"/>
          <w:sz w:val="24"/>
          <w:szCs w:val="24"/>
        </w:rPr>
        <w:t xml:space="preserve"> w oszustwach karuzelowych</w:t>
      </w:r>
      <w:r>
        <w:rPr>
          <w:rFonts w:ascii="Times New Roman" w:hAnsi="Times New Roman" w:cs="Times New Roman"/>
          <w:sz w:val="24"/>
          <w:szCs w:val="24"/>
        </w:rPr>
        <w:t>, stwierdzone w toku kontroli podatkowych i postępowań podatkowych,</w:t>
      </w:r>
      <w:r w:rsidR="00661C17" w:rsidRPr="00661C17">
        <w:rPr>
          <w:rFonts w:ascii="Times New Roman" w:hAnsi="Times New Roman" w:cs="Times New Roman"/>
          <w:sz w:val="24"/>
          <w:szCs w:val="24"/>
        </w:rPr>
        <w:t xml:space="preserve"> w</w:t>
      </w:r>
      <w:r w:rsidR="00582A10">
        <w:rPr>
          <w:rFonts w:ascii="Times New Roman" w:hAnsi="Times New Roman" w:cs="Times New Roman"/>
          <w:sz w:val="24"/>
          <w:szCs w:val="24"/>
        </w:rPr>
        <w:t> </w:t>
      </w:r>
      <w:r w:rsidR="00661C17" w:rsidRPr="00661C17">
        <w:rPr>
          <w:rFonts w:ascii="Times New Roman" w:hAnsi="Times New Roman" w:cs="Times New Roman"/>
          <w:sz w:val="24"/>
          <w:szCs w:val="24"/>
        </w:rPr>
        <w:t>podziale na niżej wymienione podobszary:</w:t>
      </w:r>
    </w:p>
    <w:p w14:paraId="1C04167C" w14:textId="77777777" w:rsidR="00174CE6" w:rsidRDefault="00661C17" w:rsidP="00F65683">
      <w:pPr>
        <w:pStyle w:val="Akapitzlist"/>
        <w:numPr>
          <w:ilvl w:val="0"/>
          <w:numId w:val="17"/>
        </w:numPr>
        <w:spacing w:line="240" w:lineRule="auto"/>
        <w:jc w:val="both"/>
        <w:rPr>
          <w:rFonts w:ascii="Times New Roman" w:hAnsi="Times New Roman" w:cs="Times New Roman"/>
          <w:sz w:val="24"/>
          <w:szCs w:val="24"/>
        </w:rPr>
      </w:pPr>
      <w:r w:rsidRPr="003924FB">
        <w:rPr>
          <w:rFonts w:ascii="Times New Roman" w:hAnsi="Times New Roman" w:cs="Times New Roman"/>
          <w:i/>
          <w:sz w:val="24"/>
          <w:szCs w:val="24"/>
        </w:rPr>
        <w:t>Handel hurtowy pozostały</w:t>
      </w:r>
      <w:r w:rsidRPr="003924FB">
        <w:rPr>
          <w:rFonts w:ascii="Times New Roman" w:hAnsi="Times New Roman" w:cs="Times New Roman"/>
          <w:sz w:val="24"/>
          <w:szCs w:val="24"/>
        </w:rPr>
        <w:t xml:space="preserve">: </w:t>
      </w:r>
    </w:p>
    <w:p w14:paraId="09450179"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artykuły chemii gospodarczej, </w:t>
      </w:r>
    </w:p>
    <w:p w14:paraId="029A09D3"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obuwie, </w:t>
      </w:r>
    </w:p>
    <w:p w14:paraId="0A40CF68"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odzież,</w:t>
      </w:r>
    </w:p>
    <w:p w14:paraId="7D676777"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 wyroby tekstylne, </w:t>
      </w:r>
    </w:p>
    <w:p w14:paraId="2E26FFB6"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kosmetyki, </w:t>
      </w:r>
    </w:p>
    <w:p w14:paraId="3451846A"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suplementy diety, </w:t>
      </w:r>
    </w:p>
    <w:p w14:paraId="3D1D9BFA" w14:textId="3651A39C" w:rsidR="00661C17" w:rsidRPr="003924FB"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tkaniny.</w:t>
      </w:r>
    </w:p>
    <w:p w14:paraId="2325B770" w14:textId="77777777" w:rsidR="00174CE6" w:rsidRDefault="00661C17" w:rsidP="00F65683">
      <w:pPr>
        <w:pStyle w:val="Akapitzlist"/>
        <w:numPr>
          <w:ilvl w:val="0"/>
          <w:numId w:val="17"/>
        </w:numPr>
        <w:spacing w:line="240" w:lineRule="auto"/>
        <w:jc w:val="both"/>
        <w:rPr>
          <w:rFonts w:ascii="Times New Roman" w:hAnsi="Times New Roman" w:cs="Times New Roman"/>
          <w:sz w:val="24"/>
          <w:szCs w:val="24"/>
        </w:rPr>
      </w:pPr>
      <w:r w:rsidRPr="003924FB">
        <w:rPr>
          <w:rFonts w:ascii="Times New Roman" w:hAnsi="Times New Roman" w:cs="Times New Roman"/>
          <w:i/>
          <w:sz w:val="24"/>
          <w:szCs w:val="24"/>
        </w:rPr>
        <w:t>Handel produktami spożywczymi i tytoniem</w:t>
      </w:r>
      <w:r w:rsidRPr="003924FB">
        <w:rPr>
          <w:rFonts w:ascii="Times New Roman" w:hAnsi="Times New Roman" w:cs="Times New Roman"/>
          <w:sz w:val="24"/>
          <w:szCs w:val="24"/>
        </w:rPr>
        <w:t xml:space="preserve">: </w:t>
      </w:r>
    </w:p>
    <w:p w14:paraId="4F44D3CA"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cukier, </w:t>
      </w:r>
    </w:p>
    <w:p w14:paraId="5D5AA5A6"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czekolady i wyroby czekoladopodobne, </w:t>
      </w:r>
    </w:p>
    <w:p w14:paraId="67229C4C"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herbata, </w:t>
      </w:r>
    </w:p>
    <w:p w14:paraId="7A8E8D33"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kawa, </w:t>
      </w:r>
    </w:p>
    <w:p w14:paraId="2D50DD52"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kwasek cytrynowy, </w:t>
      </w:r>
    </w:p>
    <w:p w14:paraId="558A376A"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napoje energetyzujące, </w:t>
      </w:r>
    </w:p>
    <w:p w14:paraId="770B320F"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napoje gazowane i napoje niegazowane, </w:t>
      </w:r>
    </w:p>
    <w:p w14:paraId="3C4262E7"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syropy owocowe, </w:t>
      </w:r>
    </w:p>
    <w:p w14:paraId="33F5A907" w14:textId="59D902B2" w:rsidR="00661C17" w:rsidRPr="003924FB"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zupki błyskawiczne.</w:t>
      </w:r>
    </w:p>
    <w:p w14:paraId="75494B24" w14:textId="77777777" w:rsidR="00174CE6" w:rsidRDefault="00661C17" w:rsidP="00F65683">
      <w:pPr>
        <w:pStyle w:val="Akapitzlist"/>
        <w:numPr>
          <w:ilvl w:val="0"/>
          <w:numId w:val="17"/>
        </w:numPr>
        <w:spacing w:line="240" w:lineRule="auto"/>
        <w:jc w:val="both"/>
        <w:rPr>
          <w:rFonts w:ascii="Times New Roman" w:hAnsi="Times New Roman" w:cs="Times New Roman"/>
          <w:sz w:val="24"/>
          <w:szCs w:val="24"/>
        </w:rPr>
      </w:pPr>
      <w:r w:rsidRPr="003924FB">
        <w:rPr>
          <w:rFonts w:ascii="Times New Roman" w:hAnsi="Times New Roman" w:cs="Times New Roman"/>
          <w:i/>
          <w:sz w:val="24"/>
          <w:szCs w:val="24"/>
        </w:rPr>
        <w:t>Paliwa</w:t>
      </w:r>
      <w:r w:rsidRPr="003924FB">
        <w:rPr>
          <w:rFonts w:ascii="Times New Roman" w:hAnsi="Times New Roman" w:cs="Times New Roman"/>
          <w:sz w:val="24"/>
          <w:szCs w:val="24"/>
        </w:rPr>
        <w:t xml:space="preserve">: </w:t>
      </w:r>
    </w:p>
    <w:p w14:paraId="51452BA2"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olej rzepakowy, </w:t>
      </w:r>
    </w:p>
    <w:p w14:paraId="726237E6" w14:textId="65A7C2E9" w:rsidR="00661C17" w:rsidRPr="003924FB"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paliwo.</w:t>
      </w:r>
    </w:p>
    <w:p w14:paraId="6FED5569" w14:textId="77777777" w:rsidR="00174CE6" w:rsidRDefault="00661C17" w:rsidP="00F65683">
      <w:pPr>
        <w:pStyle w:val="Akapitzlist"/>
        <w:numPr>
          <w:ilvl w:val="0"/>
          <w:numId w:val="17"/>
        </w:numPr>
        <w:spacing w:line="240" w:lineRule="auto"/>
        <w:jc w:val="both"/>
        <w:rPr>
          <w:rFonts w:ascii="Times New Roman" w:hAnsi="Times New Roman" w:cs="Times New Roman"/>
          <w:sz w:val="24"/>
          <w:szCs w:val="24"/>
        </w:rPr>
      </w:pPr>
      <w:r w:rsidRPr="003924FB">
        <w:rPr>
          <w:rFonts w:ascii="Times New Roman" w:hAnsi="Times New Roman" w:cs="Times New Roman"/>
          <w:i/>
          <w:sz w:val="24"/>
          <w:szCs w:val="24"/>
        </w:rPr>
        <w:t>Produkcja i obrót metalami i produktami metalowymi</w:t>
      </w:r>
      <w:r w:rsidRPr="003924FB">
        <w:rPr>
          <w:rFonts w:ascii="Times New Roman" w:hAnsi="Times New Roman" w:cs="Times New Roman"/>
          <w:sz w:val="24"/>
          <w:szCs w:val="24"/>
        </w:rPr>
        <w:t xml:space="preserve">: </w:t>
      </w:r>
    </w:p>
    <w:p w14:paraId="38EABAC7"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blacha aluminiowa, walcowana, </w:t>
      </w:r>
    </w:p>
    <w:p w14:paraId="0EEC84B8"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cyna, </w:t>
      </w:r>
    </w:p>
    <w:p w14:paraId="4548E1D2"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cynk, </w:t>
      </w:r>
    </w:p>
    <w:p w14:paraId="2384A174"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druty, </w:t>
      </w:r>
    </w:p>
    <w:p w14:paraId="5B51B07F"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elementy metalowe, </w:t>
      </w:r>
    </w:p>
    <w:p w14:paraId="06930F37"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granulat srebra, złota, miedzi, </w:t>
      </w:r>
    </w:p>
    <w:p w14:paraId="7B236180"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katody miedziane, niklowe, </w:t>
      </w:r>
    </w:p>
    <w:p w14:paraId="65F74DD4"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konstrukcje stalowe, </w:t>
      </w:r>
    </w:p>
    <w:p w14:paraId="348FE80B"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ołów, </w:t>
      </w:r>
    </w:p>
    <w:p w14:paraId="31708FD6"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pręty stalowe, metalowe, żebrowane, </w:t>
      </w:r>
    </w:p>
    <w:p w14:paraId="4243E08D"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siatka, </w:t>
      </w:r>
    </w:p>
    <w:p w14:paraId="43463E27"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stal, </w:t>
      </w:r>
    </w:p>
    <w:p w14:paraId="25282DCF"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żelazokrzem, </w:t>
      </w:r>
    </w:p>
    <w:p w14:paraId="3D0761E6" w14:textId="11722250" w:rsidR="00661C17" w:rsidRPr="003924FB"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żelazostopy.</w:t>
      </w:r>
    </w:p>
    <w:p w14:paraId="629B0ECF" w14:textId="77777777" w:rsidR="00174CE6" w:rsidRDefault="00661C17" w:rsidP="00F65683">
      <w:pPr>
        <w:pStyle w:val="Akapitzlist"/>
        <w:numPr>
          <w:ilvl w:val="0"/>
          <w:numId w:val="17"/>
        </w:numPr>
        <w:spacing w:line="240" w:lineRule="auto"/>
        <w:jc w:val="both"/>
        <w:rPr>
          <w:rFonts w:ascii="Times New Roman" w:hAnsi="Times New Roman" w:cs="Times New Roman"/>
          <w:sz w:val="24"/>
          <w:szCs w:val="24"/>
        </w:rPr>
      </w:pPr>
      <w:r w:rsidRPr="003924FB">
        <w:rPr>
          <w:rFonts w:ascii="Times New Roman" w:hAnsi="Times New Roman" w:cs="Times New Roman"/>
          <w:i/>
          <w:sz w:val="24"/>
          <w:szCs w:val="24"/>
        </w:rPr>
        <w:t>Motoryzacja</w:t>
      </w:r>
      <w:r w:rsidRPr="003924FB">
        <w:rPr>
          <w:rFonts w:ascii="Times New Roman" w:hAnsi="Times New Roman" w:cs="Times New Roman"/>
          <w:sz w:val="24"/>
          <w:szCs w:val="24"/>
        </w:rPr>
        <w:t xml:space="preserve">: </w:t>
      </w:r>
    </w:p>
    <w:p w14:paraId="54FB48FE"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akcesoria samochodowe, </w:t>
      </w:r>
    </w:p>
    <w:p w14:paraId="023B2324" w14:textId="77777777" w:rsidR="00174CE6"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opony, </w:t>
      </w:r>
    </w:p>
    <w:p w14:paraId="5F438B65" w14:textId="31BFC836" w:rsidR="00661C17" w:rsidRPr="003924FB" w:rsidRDefault="00661C17" w:rsidP="00F65683">
      <w:pPr>
        <w:pStyle w:val="Akapitzlist"/>
        <w:numPr>
          <w:ilvl w:val="1"/>
          <w:numId w:val="17"/>
        </w:numPr>
        <w:spacing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samochody osobowe i ciężarowe. </w:t>
      </w:r>
    </w:p>
    <w:p w14:paraId="257098F0" w14:textId="77777777" w:rsidR="00174CE6" w:rsidRDefault="00661C17" w:rsidP="00F65683">
      <w:pPr>
        <w:pStyle w:val="Akapitzlist"/>
        <w:numPr>
          <w:ilvl w:val="0"/>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i/>
          <w:sz w:val="24"/>
          <w:szCs w:val="24"/>
        </w:rPr>
        <w:t>Handel elektroniką</w:t>
      </w:r>
      <w:r w:rsidRPr="003924FB">
        <w:rPr>
          <w:rFonts w:ascii="Times New Roman" w:hAnsi="Times New Roman" w:cs="Times New Roman"/>
          <w:sz w:val="24"/>
          <w:szCs w:val="24"/>
        </w:rPr>
        <w:t xml:space="preserve">: </w:t>
      </w:r>
    </w:p>
    <w:p w14:paraId="2358FDCD" w14:textId="77777777" w:rsidR="00174CE6"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aparaty fotograficzne, </w:t>
      </w:r>
    </w:p>
    <w:p w14:paraId="2640D4C2" w14:textId="77777777" w:rsidR="00174CE6"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drukarki,</w:t>
      </w:r>
    </w:p>
    <w:p w14:paraId="21AB58B9" w14:textId="77777777" w:rsidR="00174CE6"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tonery, </w:t>
      </w:r>
    </w:p>
    <w:p w14:paraId="1332BEA9" w14:textId="77777777" w:rsidR="00174CE6"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karty pamięci, </w:t>
      </w:r>
    </w:p>
    <w:p w14:paraId="6786DE1D" w14:textId="77777777" w:rsidR="00174CE6"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telefony komórkowe, </w:t>
      </w:r>
    </w:p>
    <w:p w14:paraId="4778F117" w14:textId="77777777" w:rsidR="00550295"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tablety, </w:t>
      </w:r>
    </w:p>
    <w:p w14:paraId="12FC1267" w14:textId="77777777" w:rsidR="00550295"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konsole do gier, </w:t>
      </w:r>
    </w:p>
    <w:p w14:paraId="102364D1" w14:textId="77777777" w:rsidR="00550295"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podzespoły komputerowe (mikroprocesory), </w:t>
      </w:r>
    </w:p>
    <w:p w14:paraId="6B0E1ABE" w14:textId="77777777" w:rsidR="00550295"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 xml:space="preserve">odtwarzacze MP3, MP4, </w:t>
      </w:r>
    </w:p>
    <w:p w14:paraId="7D8C2B62" w14:textId="77777777" w:rsidR="00550295" w:rsidRDefault="00F8748B"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IPod-y</w:t>
      </w:r>
      <w:r w:rsidR="00661C17" w:rsidRPr="003924FB">
        <w:rPr>
          <w:rFonts w:ascii="Times New Roman" w:hAnsi="Times New Roman" w:cs="Times New Roman"/>
          <w:sz w:val="24"/>
          <w:szCs w:val="24"/>
        </w:rPr>
        <w:t xml:space="preserve">, </w:t>
      </w:r>
    </w:p>
    <w:p w14:paraId="3D478F89" w14:textId="05695361" w:rsidR="00661C17" w:rsidRPr="003924FB" w:rsidRDefault="00661C17" w:rsidP="00F65683">
      <w:pPr>
        <w:pStyle w:val="Akapitzlist"/>
        <w:numPr>
          <w:ilvl w:val="1"/>
          <w:numId w:val="17"/>
        </w:numPr>
        <w:spacing w:after="360" w:line="240" w:lineRule="auto"/>
        <w:jc w:val="both"/>
        <w:rPr>
          <w:rFonts w:ascii="Times New Roman" w:hAnsi="Times New Roman" w:cs="Times New Roman"/>
          <w:sz w:val="24"/>
          <w:szCs w:val="24"/>
        </w:rPr>
      </w:pPr>
      <w:r w:rsidRPr="003924FB">
        <w:rPr>
          <w:rFonts w:ascii="Times New Roman" w:hAnsi="Times New Roman" w:cs="Times New Roman"/>
          <w:sz w:val="24"/>
          <w:szCs w:val="24"/>
        </w:rPr>
        <w:t>telewizory.</w:t>
      </w:r>
    </w:p>
    <w:p w14:paraId="7D5A5F8B" w14:textId="716AC919" w:rsidR="00661C17" w:rsidRPr="00783827" w:rsidRDefault="00661C17" w:rsidP="00F65683">
      <w:pPr>
        <w:pStyle w:val="Nagwek2"/>
        <w:numPr>
          <w:ilvl w:val="0"/>
          <w:numId w:val="2"/>
        </w:numPr>
        <w:spacing w:after="120" w:line="240" w:lineRule="auto"/>
        <w:jc w:val="both"/>
        <w:rPr>
          <w:b/>
        </w:rPr>
      </w:pPr>
      <w:bookmarkStart w:id="16" w:name="_Toc428775846"/>
      <w:r w:rsidRPr="00783827">
        <w:rPr>
          <w:b/>
        </w:rPr>
        <w:t>Ryzyko niezrealizowania lub nieterminowanego realizowania obowiązków związanych z zapłatą podatku lub zaliczki na podatek</w:t>
      </w:r>
      <w:bookmarkEnd w:id="16"/>
    </w:p>
    <w:p w14:paraId="0F106377" w14:textId="77777777" w:rsidR="00661C17" w:rsidRPr="00661C17" w:rsidRDefault="00661C17" w:rsidP="00F65683">
      <w:pPr>
        <w:spacing w:after="0" w:line="240" w:lineRule="auto"/>
        <w:rPr>
          <w:rFonts w:ascii="Times New Roman" w:hAnsi="Times New Roman" w:cs="Times New Roman"/>
          <w:sz w:val="24"/>
          <w:szCs w:val="24"/>
        </w:rPr>
      </w:pPr>
      <w:r w:rsidRPr="00661C17">
        <w:rPr>
          <w:rFonts w:ascii="Times New Roman" w:hAnsi="Times New Roman" w:cs="Times New Roman"/>
          <w:sz w:val="24"/>
          <w:szCs w:val="24"/>
        </w:rPr>
        <w:t>Ryzyko to występuje w podobszarach:</w:t>
      </w:r>
    </w:p>
    <w:p w14:paraId="02C48B66" w14:textId="6C0C4C75"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Działalność agentów sprzedaży</w:t>
      </w:r>
      <w:r w:rsidR="00C97EEF">
        <w:rPr>
          <w:rFonts w:ascii="Times New Roman" w:hAnsi="Times New Roman" w:cs="Times New Roman"/>
          <w:i/>
          <w:sz w:val="24"/>
          <w:szCs w:val="24"/>
        </w:rPr>
        <w:t>,</w:t>
      </w:r>
    </w:p>
    <w:p w14:paraId="49248040" w14:textId="2EDE1499"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E-handel i usługi informatyczne</w:t>
      </w:r>
      <w:r w:rsidR="00C97EEF">
        <w:rPr>
          <w:rFonts w:ascii="Times New Roman" w:hAnsi="Times New Roman" w:cs="Times New Roman"/>
          <w:i/>
          <w:sz w:val="24"/>
          <w:szCs w:val="24"/>
        </w:rPr>
        <w:t>,</w:t>
      </w:r>
    </w:p>
    <w:p w14:paraId="1858F9F0" w14:textId="18C9013C"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Handel hurtowy pozostały</w:t>
      </w:r>
      <w:r w:rsidR="00C97EEF">
        <w:rPr>
          <w:rFonts w:ascii="Times New Roman" w:hAnsi="Times New Roman" w:cs="Times New Roman"/>
          <w:i/>
          <w:sz w:val="24"/>
          <w:szCs w:val="24"/>
        </w:rPr>
        <w:t>,</w:t>
      </w:r>
    </w:p>
    <w:p w14:paraId="287918C6" w14:textId="7241117E"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Handel produktami spożywczymi i tytoniem</w:t>
      </w:r>
      <w:r w:rsidR="00C97EEF">
        <w:rPr>
          <w:rFonts w:ascii="Times New Roman" w:hAnsi="Times New Roman" w:cs="Times New Roman"/>
          <w:i/>
          <w:sz w:val="24"/>
          <w:szCs w:val="24"/>
        </w:rPr>
        <w:t>,</w:t>
      </w:r>
      <w:r w:rsidRPr="003457AB">
        <w:rPr>
          <w:rFonts w:ascii="Times New Roman" w:hAnsi="Times New Roman" w:cs="Times New Roman"/>
          <w:i/>
          <w:sz w:val="24"/>
          <w:szCs w:val="24"/>
        </w:rPr>
        <w:t xml:space="preserve"> </w:t>
      </w:r>
    </w:p>
    <w:p w14:paraId="48B81A54" w14:textId="4548FF8A"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Motoryzacja</w:t>
      </w:r>
      <w:r w:rsidR="00C97EEF">
        <w:rPr>
          <w:rFonts w:ascii="Times New Roman" w:hAnsi="Times New Roman" w:cs="Times New Roman"/>
          <w:i/>
          <w:sz w:val="24"/>
          <w:szCs w:val="24"/>
        </w:rPr>
        <w:t>,</w:t>
      </w:r>
    </w:p>
    <w:p w14:paraId="59D6DD68" w14:textId="1C803936"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Nieruchomości</w:t>
      </w:r>
      <w:r w:rsidR="00C97EEF">
        <w:rPr>
          <w:rFonts w:ascii="Times New Roman" w:hAnsi="Times New Roman" w:cs="Times New Roman"/>
          <w:i/>
          <w:sz w:val="24"/>
          <w:szCs w:val="24"/>
        </w:rPr>
        <w:t>,</w:t>
      </w:r>
    </w:p>
    <w:p w14:paraId="22F8D745" w14:textId="7E1F8B8E"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Opieka zdrowotna (w tym praktyka lekarska i pozostałe usługi medyczne)</w:t>
      </w:r>
      <w:r w:rsidR="00C97EEF">
        <w:rPr>
          <w:rFonts w:ascii="Times New Roman" w:hAnsi="Times New Roman" w:cs="Times New Roman"/>
          <w:i/>
          <w:sz w:val="24"/>
          <w:szCs w:val="24"/>
        </w:rPr>
        <w:t>,</w:t>
      </w:r>
    </w:p>
    <w:p w14:paraId="3F67288A" w14:textId="1B39B69B"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Produkcja i obrót metalami i produktami metalowymi</w:t>
      </w:r>
      <w:r w:rsidR="00C97EEF">
        <w:rPr>
          <w:rFonts w:ascii="Times New Roman" w:hAnsi="Times New Roman" w:cs="Times New Roman"/>
          <w:i/>
          <w:sz w:val="24"/>
          <w:szCs w:val="24"/>
        </w:rPr>
        <w:t>,</w:t>
      </w:r>
    </w:p>
    <w:p w14:paraId="738B11FE" w14:textId="101F2111"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Produkcja materiałów budowlanych i usługi budowlane</w:t>
      </w:r>
      <w:r w:rsidR="00C97EEF">
        <w:rPr>
          <w:rFonts w:ascii="Times New Roman" w:hAnsi="Times New Roman" w:cs="Times New Roman"/>
          <w:i/>
          <w:sz w:val="24"/>
          <w:szCs w:val="24"/>
        </w:rPr>
        <w:t>,</w:t>
      </w:r>
    </w:p>
    <w:p w14:paraId="393E31A3" w14:textId="15444AF7" w:rsidR="00661C17" w:rsidRPr="003457AB" w:rsidRDefault="00661C17" w:rsidP="00F65683">
      <w:pPr>
        <w:pStyle w:val="Akapitzlist"/>
        <w:numPr>
          <w:ilvl w:val="0"/>
          <w:numId w:val="19"/>
        </w:numPr>
        <w:spacing w:after="0" w:line="240" w:lineRule="auto"/>
        <w:rPr>
          <w:rFonts w:ascii="Times New Roman" w:hAnsi="Times New Roman" w:cs="Times New Roman"/>
          <w:i/>
          <w:sz w:val="24"/>
          <w:szCs w:val="24"/>
        </w:rPr>
      </w:pPr>
      <w:r w:rsidRPr="003457AB">
        <w:rPr>
          <w:rFonts w:ascii="Times New Roman" w:hAnsi="Times New Roman" w:cs="Times New Roman"/>
          <w:i/>
          <w:sz w:val="24"/>
          <w:szCs w:val="24"/>
        </w:rPr>
        <w:t>Transport i logistyka</w:t>
      </w:r>
      <w:r w:rsidR="00C97EEF">
        <w:rPr>
          <w:rFonts w:ascii="Times New Roman" w:hAnsi="Times New Roman" w:cs="Times New Roman"/>
          <w:i/>
          <w:sz w:val="24"/>
          <w:szCs w:val="24"/>
        </w:rPr>
        <w:t>.</w:t>
      </w:r>
    </w:p>
    <w:p w14:paraId="6C9E230E" w14:textId="77777777" w:rsidR="003457AB" w:rsidRDefault="003457AB" w:rsidP="00F65683">
      <w:pPr>
        <w:spacing w:line="240" w:lineRule="auto"/>
        <w:jc w:val="both"/>
        <w:rPr>
          <w:rFonts w:ascii="Times New Roman" w:hAnsi="Times New Roman" w:cs="Times New Roman"/>
          <w:sz w:val="24"/>
          <w:szCs w:val="24"/>
        </w:rPr>
      </w:pPr>
    </w:p>
    <w:p w14:paraId="4FB56FD9" w14:textId="5741D3A4" w:rsidR="006C223A" w:rsidRDefault="006C223A" w:rsidP="00F65683">
      <w:pPr>
        <w:spacing w:line="240" w:lineRule="auto"/>
        <w:jc w:val="both"/>
        <w:rPr>
          <w:rFonts w:ascii="Times New Roman" w:hAnsi="Times New Roman" w:cs="Times New Roman"/>
          <w:sz w:val="24"/>
          <w:szCs w:val="24"/>
        </w:rPr>
      </w:pPr>
      <w:r w:rsidRPr="006C223A">
        <w:rPr>
          <w:rFonts w:ascii="Times New Roman" w:hAnsi="Times New Roman" w:cs="Times New Roman"/>
          <w:sz w:val="24"/>
          <w:szCs w:val="24"/>
        </w:rPr>
        <w:t xml:space="preserve">Ryzyko ma charakter powszechny, wskazane zostało w 10 podobszarach, lecz w </w:t>
      </w:r>
      <w:r w:rsidR="00437144" w:rsidRPr="006C223A">
        <w:rPr>
          <w:rFonts w:ascii="Times New Roman" w:hAnsi="Times New Roman" w:cs="Times New Roman"/>
          <w:sz w:val="24"/>
          <w:szCs w:val="24"/>
        </w:rPr>
        <w:t xml:space="preserve">większym </w:t>
      </w:r>
      <w:r w:rsidR="00437144">
        <w:rPr>
          <w:rFonts w:ascii="Times New Roman" w:hAnsi="Times New Roman" w:cs="Times New Roman"/>
          <w:sz w:val="24"/>
          <w:szCs w:val="24"/>
        </w:rPr>
        <w:t>lub mniejszym</w:t>
      </w:r>
      <w:r w:rsidRPr="006C223A">
        <w:rPr>
          <w:rFonts w:ascii="Times New Roman" w:hAnsi="Times New Roman" w:cs="Times New Roman"/>
          <w:sz w:val="24"/>
          <w:szCs w:val="24"/>
        </w:rPr>
        <w:t xml:space="preserve"> stopniu występuje w każdym z 14 podobszarów opisanych treścią Krajowego Planu Działań.</w:t>
      </w:r>
    </w:p>
    <w:p w14:paraId="1944E7CA" w14:textId="7E90B929"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Zgodnie z przepisami art. 44 ustawy o podatku dochodowym od osób fizycznych podatnicy osiągający dochody z pozarolniczej działalności gospodarczej, z najmu</w:t>
      </w:r>
      <w:r>
        <w:rPr>
          <w:rFonts w:ascii="Times New Roman" w:hAnsi="Times New Roman" w:cs="Times New Roman"/>
          <w:sz w:val="24"/>
          <w:szCs w:val="24"/>
        </w:rPr>
        <w:t xml:space="preserve"> </w:t>
      </w:r>
      <w:r w:rsidRPr="00F65683">
        <w:rPr>
          <w:rFonts w:ascii="Times New Roman" w:hAnsi="Times New Roman" w:cs="Times New Roman"/>
          <w:sz w:val="24"/>
          <w:szCs w:val="24"/>
        </w:rPr>
        <w:t>lub dzierżawy bądź podatnicy osiągający dochody bez pośrednictwa płatników ze stosunku pracy z zagranicy, z</w:t>
      </w:r>
      <w:r>
        <w:rPr>
          <w:rFonts w:ascii="Times New Roman" w:hAnsi="Times New Roman" w:cs="Times New Roman"/>
          <w:sz w:val="24"/>
          <w:szCs w:val="24"/>
        </w:rPr>
        <w:t> </w:t>
      </w:r>
      <w:r w:rsidRPr="00F65683">
        <w:rPr>
          <w:rFonts w:ascii="Times New Roman" w:hAnsi="Times New Roman" w:cs="Times New Roman"/>
          <w:sz w:val="24"/>
          <w:szCs w:val="24"/>
        </w:rPr>
        <w:t>emerytur i rent z zagranicy oraz z tytułów określonych w art. 13 pkt 2, 4</w:t>
      </w:r>
      <w:r>
        <w:rPr>
          <w:rFonts w:ascii="Times New Roman" w:hAnsi="Times New Roman" w:cs="Times New Roman"/>
          <w:sz w:val="24"/>
          <w:szCs w:val="24"/>
        </w:rPr>
        <w:t xml:space="preserve"> </w:t>
      </w:r>
      <w:r w:rsidRPr="00F65683">
        <w:rPr>
          <w:rFonts w:ascii="Times New Roman" w:hAnsi="Times New Roman" w:cs="Times New Roman"/>
          <w:sz w:val="24"/>
          <w:szCs w:val="24"/>
        </w:rPr>
        <w:t>i 6-9, z zastrzeżeniem ust. 1 pkt 1 – są obowiązani bez wezwania wpłacać w ciągu roku podatkowego zaliczki na podatek dochodowy.</w:t>
      </w:r>
    </w:p>
    <w:p w14:paraId="037CFB51" w14:textId="2BA26F0D"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Zaliczki miesięczne od dochodów z pozarolniczej działalności gospodarczej, z najmu lub</w:t>
      </w:r>
      <w:r w:rsidR="006C223A">
        <w:rPr>
          <w:rFonts w:ascii="Times New Roman" w:hAnsi="Times New Roman" w:cs="Times New Roman"/>
          <w:sz w:val="24"/>
          <w:szCs w:val="24"/>
        </w:rPr>
        <w:t> </w:t>
      </w:r>
      <w:r w:rsidRPr="00F65683">
        <w:rPr>
          <w:rFonts w:ascii="Times New Roman" w:hAnsi="Times New Roman" w:cs="Times New Roman"/>
          <w:sz w:val="24"/>
          <w:szCs w:val="24"/>
        </w:rPr>
        <w:t>dzierżawy uiszcza się w terminie do dnia 20 każdego miesiąca za miesiąc poprzedni. Podatnicy prowadzący działalność gospodarczą, będący małymi podatnikami oraz podatnicy rozpoczynający prowadzenie działalności gospodarczej, o których mowa w art. 22k ust. 11 ustawy o podatku dochodowym od osób fizycznych, mogą wpłacać zaliczki kwartalne. Zaliczki kwartalne podatnicy uiszczają w terminie do dnia 20 każdego miesiąca następującego po kwartale, za który wpłacana jest zaliczka. Zaliczkę za ostatni miesiąc lub ostatni kwartał roku podatkowego podatnik wpłaca w terminie do 20 stycznia następnego roku podatkowego. Podatnik nie wpłaca zaliczki za ostatni miesiąc lub odpowiednio kwartał, jeżeli przed upływem terminu do jej wpłaty złoży zeznanie i dokona zapłaty podatku na zasadach określonych w</w:t>
      </w:r>
      <w:r w:rsidR="006C223A">
        <w:rPr>
          <w:rFonts w:ascii="Times New Roman" w:hAnsi="Times New Roman" w:cs="Times New Roman"/>
          <w:sz w:val="24"/>
          <w:szCs w:val="24"/>
        </w:rPr>
        <w:t> </w:t>
      </w:r>
      <w:r w:rsidRPr="00F65683">
        <w:rPr>
          <w:rFonts w:ascii="Times New Roman" w:hAnsi="Times New Roman" w:cs="Times New Roman"/>
          <w:sz w:val="24"/>
          <w:szCs w:val="24"/>
        </w:rPr>
        <w:t>art.</w:t>
      </w:r>
      <w:r w:rsidR="006C223A">
        <w:rPr>
          <w:rFonts w:ascii="Times New Roman" w:hAnsi="Times New Roman" w:cs="Times New Roman"/>
          <w:sz w:val="24"/>
          <w:szCs w:val="24"/>
        </w:rPr>
        <w:t> </w:t>
      </w:r>
      <w:r w:rsidRPr="00F65683">
        <w:rPr>
          <w:rFonts w:ascii="Times New Roman" w:hAnsi="Times New Roman" w:cs="Times New Roman"/>
          <w:sz w:val="24"/>
          <w:szCs w:val="24"/>
        </w:rPr>
        <w:t xml:space="preserve">45. </w:t>
      </w:r>
    </w:p>
    <w:p w14:paraId="68585862" w14:textId="08D7696C"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Natomiast podatnicy uzyskujący dochody, bez pośrednictwa płatników ze stosunku pracy z</w:t>
      </w:r>
      <w:r>
        <w:rPr>
          <w:rFonts w:ascii="Times New Roman" w:hAnsi="Times New Roman" w:cs="Times New Roman"/>
          <w:sz w:val="24"/>
          <w:szCs w:val="24"/>
        </w:rPr>
        <w:t> </w:t>
      </w:r>
      <w:r w:rsidRPr="00F65683">
        <w:rPr>
          <w:rFonts w:ascii="Times New Roman" w:hAnsi="Times New Roman" w:cs="Times New Roman"/>
          <w:sz w:val="24"/>
          <w:szCs w:val="24"/>
        </w:rPr>
        <w:t>zagranicy, z emerytur i rent z zagranicy oraz z tytułów określonych w art. 13 pkt 2, 4 i 6-9, z</w:t>
      </w:r>
      <w:r w:rsidR="006C223A">
        <w:rPr>
          <w:rFonts w:ascii="Times New Roman" w:hAnsi="Times New Roman" w:cs="Times New Roman"/>
          <w:sz w:val="24"/>
          <w:szCs w:val="24"/>
        </w:rPr>
        <w:t> </w:t>
      </w:r>
      <w:r w:rsidRPr="00F65683">
        <w:rPr>
          <w:rFonts w:ascii="Times New Roman" w:hAnsi="Times New Roman" w:cs="Times New Roman"/>
          <w:sz w:val="24"/>
          <w:szCs w:val="24"/>
        </w:rPr>
        <w:t xml:space="preserve">zastrzeżeniem ust. 1 pkt 1, są obowiązani wpłacać zaliczki miesięczne w terminie do 20 dnia miesiąca następującego po miesiącu, w którym dochód był uzyskany, a za grudzień </w:t>
      </w:r>
      <w:r w:rsidR="00437144">
        <w:rPr>
          <w:rFonts w:ascii="Times New Roman" w:hAnsi="Times New Roman" w:cs="Times New Roman"/>
          <w:sz w:val="24"/>
          <w:szCs w:val="24"/>
        </w:rPr>
        <w:t>–</w:t>
      </w:r>
      <w:r w:rsidRPr="00F65683">
        <w:rPr>
          <w:rFonts w:ascii="Times New Roman" w:hAnsi="Times New Roman" w:cs="Times New Roman"/>
          <w:sz w:val="24"/>
          <w:szCs w:val="24"/>
        </w:rPr>
        <w:t xml:space="preserve"> w</w:t>
      </w:r>
      <w:r w:rsidR="00437144">
        <w:rPr>
          <w:rFonts w:ascii="Times New Roman" w:hAnsi="Times New Roman" w:cs="Times New Roman"/>
          <w:sz w:val="24"/>
          <w:szCs w:val="24"/>
        </w:rPr>
        <w:t> </w:t>
      </w:r>
      <w:r w:rsidRPr="00F65683">
        <w:rPr>
          <w:rFonts w:ascii="Times New Roman" w:hAnsi="Times New Roman" w:cs="Times New Roman"/>
          <w:sz w:val="24"/>
          <w:szCs w:val="24"/>
        </w:rPr>
        <w:t>terminie złożenia zeznania podatkowego.</w:t>
      </w:r>
    </w:p>
    <w:p w14:paraId="5D24EB8B" w14:textId="77138031"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Osoby fizyczne, jeżeli nie mają na terytorium Rzeczypospolitej Polskiej miejsca zamieszkania, podlegają obowiązkowi podatkowemu tylko od dochodów (przychodów) osiąganych na terytorium Rzeczypospolitej Polskiej (ograniczony obowiązek podatkowy). Podatnicy ci, uzyskujący przychody określone w art. 29 bez pośrednictwa płatników, są obowiązani bez wezwania wpłacać zryczałtowany podatek dochodowy na zasadach, o których mowa w art. 29, za miesiące, w których uzyskali ten przychód, w terminie do dnia 20 następnego miesiąca za miesiąc poprzedni. Podatek za grudzień jest płatny w terminie złożenia zeznania.</w:t>
      </w:r>
    </w:p>
    <w:p w14:paraId="6C6D192C" w14:textId="77777777"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Osoby fizyczne, jeżeli mają miejsce zamieszkania na terytorium Rzeczypospolitej Polskiej, podlegają obowiązkowi podatkowemu od całości swoich dochodów (przychodów) bez względu na miejsce położenia źródeł przychodów (nieograniczony obowiązek podatkowy). Podatnicy czasowo przebywający za granicą, którzy osiągają dochody ze źródeł przychodów położonych poza terytorium Rzeczypospolitej Polskiej, są obowiązani w terminie do 20 dnia miesiąca następującego po miesiącu, w którym wrócili do kraju, wpłacić zaliczkę na podatek dochodowy. Jeżeli termin płatności przypada po zakończeniu roku podatkowego, należny podatek jest płatny w terminie złożenia zeznania.</w:t>
      </w:r>
    </w:p>
    <w:p w14:paraId="306B997B" w14:textId="56C9A0CB" w:rsidR="00F65683" w:rsidRPr="00F65683" w:rsidRDefault="00F65683" w:rsidP="00F65683">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Zgodnie z przepisami art. 25 ustawy</w:t>
      </w:r>
      <w:r w:rsidR="002C3956">
        <w:rPr>
          <w:rFonts w:ascii="Times New Roman" w:hAnsi="Times New Roman" w:cs="Times New Roman"/>
          <w:sz w:val="24"/>
          <w:szCs w:val="24"/>
        </w:rPr>
        <w:t xml:space="preserve"> z dnia 15 lutego 1992 r.</w:t>
      </w:r>
      <w:r w:rsidRPr="00F65683">
        <w:rPr>
          <w:rFonts w:ascii="Times New Roman" w:hAnsi="Times New Roman" w:cs="Times New Roman"/>
          <w:sz w:val="24"/>
          <w:szCs w:val="24"/>
        </w:rPr>
        <w:t xml:space="preserve"> o podatku dochodowym od osób prawnych podatnicy, z</w:t>
      </w:r>
      <w:r w:rsidR="006C223A">
        <w:rPr>
          <w:rFonts w:ascii="Times New Roman" w:hAnsi="Times New Roman" w:cs="Times New Roman"/>
          <w:sz w:val="24"/>
          <w:szCs w:val="24"/>
        </w:rPr>
        <w:t> </w:t>
      </w:r>
      <w:r w:rsidRPr="00F65683">
        <w:rPr>
          <w:rFonts w:ascii="Times New Roman" w:hAnsi="Times New Roman" w:cs="Times New Roman"/>
          <w:sz w:val="24"/>
          <w:szCs w:val="24"/>
        </w:rPr>
        <w:t xml:space="preserve">zastrzeżeniem ust. </w:t>
      </w:r>
      <w:r w:rsidR="00437144">
        <w:rPr>
          <w:rFonts w:ascii="Times New Roman" w:hAnsi="Times New Roman" w:cs="Times New Roman"/>
          <w:sz w:val="24"/>
          <w:szCs w:val="24"/>
        </w:rPr>
        <w:t xml:space="preserve">1b, </w:t>
      </w:r>
      <w:r w:rsidRPr="00F65683">
        <w:rPr>
          <w:rFonts w:ascii="Times New Roman" w:hAnsi="Times New Roman" w:cs="Times New Roman"/>
          <w:sz w:val="24"/>
          <w:szCs w:val="24"/>
        </w:rPr>
        <w:t xml:space="preserve">2a, 3-6a oraz art. 21 i 22, 24a są obowiązani wpłacać na rachunek urzędu skarbowego zaliczki miesięczne w terminie do dnia 20 każdego miesiąca za miesiąc poprzedni, z zastrzeżeniem ust. 2a. Podatnicy rozpoczynający działalność, w pierwszym roku podatkowym, z zastrzeżeniem ust. 1c, oraz mali podatnicy, mogą wpłacać zaliczki kwartalnie. Zaliczki kwartalne podatnicy uiszczają w terminie do dnia 20 każdego miesiąca następującego po kwartale, za który wpłacana jest zaliczka, z zastrzeżeniem ust. 2a. Zaliczkę za ostatni miesiąc (kwartał) wpłaca się w terminie do 20 dnia pierwszego miesiąca następnego roku podatkowego. Podatnik nie wpłaca zaliczki za ostatni </w:t>
      </w:r>
      <w:r w:rsidR="00823A14">
        <w:rPr>
          <w:rFonts w:ascii="Times New Roman" w:hAnsi="Times New Roman" w:cs="Times New Roman"/>
          <w:sz w:val="24"/>
          <w:szCs w:val="24"/>
        </w:rPr>
        <w:t>miesiąc (</w:t>
      </w:r>
      <w:r w:rsidRPr="00F65683">
        <w:rPr>
          <w:rFonts w:ascii="Times New Roman" w:hAnsi="Times New Roman" w:cs="Times New Roman"/>
          <w:sz w:val="24"/>
          <w:szCs w:val="24"/>
        </w:rPr>
        <w:t>kwartał</w:t>
      </w:r>
      <w:r w:rsidR="00823A14">
        <w:rPr>
          <w:rFonts w:ascii="Times New Roman" w:hAnsi="Times New Roman" w:cs="Times New Roman"/>
          <w:sz w:val="24"/>
          <w:szCs w:val="24"/>
        </w:rPr>
        <w:t>)</w:t>
      </w:r>
      <w:r w:rsidRPr="00F65683">
        <w:rPr>
          <w:rFonts w:ascii="Times New Roman" w:hAnsi="Times New Roman" w:cs="Times New Roman"/>
          <w:sz w:val="24"/>
          <w:szCs w:val="24"/>
        </w:rPr>
        <w:t>, jeżeli przed upływem terminu do jej wpłaty złoży zeznanie i dokona zapłaty podatku na zasadach określonych w art. 27 ust. 1.; ostateczne rozliczenie podatku za rok podatkowy następuje w terminie ustalonym do złożenia zeznania o</w:t>
      </w:r>
      <w:r w:rsidR="006C223A">
        <w:rPr>
          <w:rFonts w:ascii="Times New Roman" w:hAnsi="Times New Roman" w:cs="Times New Roman"/>
          <w:sz w:val="24"/>
          <w:szCs w:val="24"/>
        </w:rPr>
        <w:t> </w:t>
      </w:r>
      <w:r w:rsidRPr="00F65683">
        <w:rPr>
          <w:rFonts w:ascii="Times New Roman" w:hAnsi="Times New Roman" w:cs="Times New Roman"/>
          <w:sz w:val="24"/>
          <w:szCs w:val="24"/>
        </w:rPr>
        <w:t>wysokości dochodu osiągniętego (poniesionej straty) za ten rok.</w:t>
      </w:r>
    </w:p>
    <w:p w14:paraId="69ADC0D6" w14:textId="7CB132F2"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Ponadto należy wymienić obowiązki wynikające z art. 44 ust. 3d ustawy o podatku dochodowym od osób fizycznych. Zgodnie z tym przepisem podatnicy, o których mowa w</w:t>
      </w:r>
      <w:r w:rsidR="006C223A">
        <w:rPr>
          <w:rFonts w:ascii="Times New Roman" w:hAnsi="Times New Roman" w:cs="Times New Roman"/>
          <w:sz w:val="24"/>
          <w:szCs w:val="24"/>
        </w:rPr>
        <w:t> </w:t>
      </w:r>
      <w:r w:rsidRPr="00F65683">
        <w:rPr>
          <w:rFonts w:ascii="Times New Roman" w:hAnsi="Times New Roman" w:cs="Times New Roman"/>
          <w:sz w:val="24"/>
          <w:szCs w:val="24"/>
        </w:rPr>
        <w:t>art.</w:t>
      </w:r>
      <w:r w:rsidR="006C223A">
        <w:rPr>
          <w:rFonts w:ascii="Times New Roman" w:hAnsi="Times New Roman" w:cs="Times New Roman"/>
          <w:sz w:val="24"/>
          <w:szCs w:val="24"/>
        </w:rPr>
        <w:t> </w:t>
      </w:r>
      <w:r w:rsidRPr="00F65683">
        <w:rPr>
          <w:rFonts w:ascii="Times New Roman" w:hAnsi="Times New Roman" w:cs="Times New Roman"/>
          <w:sz w:val="24"/>
          <w:szCs w:val="24"/>
        </w:rPr>
        <w:t>3 ust. 2a, uzyskujący z zagranicy dochody z pracy wykonywanej na terytorium Rzeczypospolitej Polskiej na podstawie stosunku pracy, są obowiązani wpłacać zaliczki</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 xml:space="preserve">na zasadach określonych w ust. 3a i 3c, po przekroczeniu okresu, który zgodnie z umową o unikaniu podwójnego opodatkowania stanowi warunek wyłączenia z opodatkowania tych dochodów na terytorium Rzeczypospolitej Polskiej, w tym przypadku przy obliczaniu pierwszej zaliczki podatnik jest obowiązany uwzględnić dochody uzyskane od początku roku podatkowego. </w:t>
      </w:r>
    </w:p>
    <w:p w14:paraId="49CBCE0D" w14:textId="77777777"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Przy poborze zaliczek, o których mowa w art. 44 ust. 1a i 7 ustawy o podatku dochodowym od osób fizycznych, należy uwzględnić postanowienia umów o unikaniu podwójnego opodatkowania, których stroną jest Rzeczpospolita Polska.</w:t>
      </w:r>
    </w:p>
    <w:p w14:paraId="644B8254" w14:textId="5E924F65"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Zgodnie z przepisami art. 21 ustawy o zryczałtowanym podatku dochodowym</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od niektórych przychodów osiąganych przez osoby fizyczne podatnicy są obowiązani za każdy miesiąc obliczać ryczałt od przychodów ewidencjonowanych i wpłacać</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go na rachunek urzędu skarbowego w terminie do dnia 20 następnego miesiąca, a za miesiąc grudzień – w terminie złożenia zeznania.</w:t>
      </w:r>
    </w:p>
    <w:p w14:paraId="387A1CDE" w14:textId="53BA3F67"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Podatnicy mogą obliczać ryczałt od przychodów ewidencjonowanych i wpłacać</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go na rachunek urzędu skarbowego w terminie do dnia 20 następnego miesiąca po upływie kwartału, za który ryczałt ma być opłacony, a za ostatni kwartał roku podatkowego – w terminie złożenia zeznania. Zasadę tę mogą stosować wyłącznie podatnicy, których otrzymane przychody z działalności prowadzonej samodzielnie albo przychody spółki – w roku poprzedzającym rok podatkowy - nie przekroczyły kwoty stanowiącej równowartość 25.000 euro.</w:t>
      </w:r>
    </w:p>
    <w:p w14:paraId="33064FEF" w14:textId="66D4C76E"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We wszystkich powyższych przypadkach brak obowiązku składania miesięcznych deklaracji rodzi duże prawdopodobieństwo wystąpienia zagrożenia, związanego z niedokonywaniem wpłat należnego podatku przez podatników i płatników, których</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 xml:space="preserve">te regulacje dotyczą. </w:t>
      </w:r>
    </w:p>
    <w:p w14:paraId="0F65BA07" w14:textId="063E9384"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Brak w trakcie roku formalnych obowiązków dokumentowania zdarzeń istotnych podatkowo (w rozumieniu braku obowiązku składania deklaracji miesięcznych</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lub kwartalnych z</w:t>
      </w:r>
      <w:r w:rsidR="00437144">
        <w:rPr>
          <w:rFonts w:ascii="Times New Roman" w:hAnsi="Times New Roman" w:cs="Times New Roman"/>
          <w:sz w:val="24"/>
          <w:szCs w:val="24"/>
        </w:rPr>
        <w:t> </w:t>
      </w:r>
      <w:r w:rsidRPr="00F65683">
        <w:rPr>
          <w:rFonts w:ascii="Times New Roman" w:hAnsi="Times New Roman" w:cs="Times New Roman"/>
          <w:sz w:val="24"/>
          <w:szCs w:val="24"/>
        </w:rPr>
        <w:t>wykazanymi wielkościami przychodów, kosztów uzyskania przychodu, należnego podatku bądź wielkości zatrudnienia), niejednokrotnie prowadzi do sytuacji,</w:t>
      </w:r>
      <w:r w:rsidR="006C223A">
        <w:rPr>
          <w:rFonts w:ascii="Times New Roman" w:hAnsi="Times New Roman" w:cs="Times New Roman"/>
          <w:sz w:val="24"/>
          <w:szCs w:val="24"/>
        </w:rPr>
        <w:t xml:space="preserve"> </w:t>
      </w:r>
      <w:r w:rsidRPr="00F65683">
        <w:rPr>
          <w:rFonts w:ascii="Times New Roman" w:hAnsi="Times New Roman" w:cs="Times New Roman"/>
          <w:sz w:val="24"/>
          <w:szCs w:val="24"/>
        </w:rPr>
        <w:t>gdy podatnicy faktycznie osiągający przychody, od których powinni odprowadzić podatek, bądź zatrudniający pracowników, nie dokonują wpłat należnego podatku lub nie wywiązują się z obowiązku płatnika, co tym samym powoduje uszczuplenia w bieżących wpływach budżetowych.</w:t>
      </w:r>
    </w:p>
    <w:p w14:paraId="627F4A31" w14:textId="10A2692B"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Podkreślić należ</w:t>
      </w:r>
      <w:r w:rsidR="00437144">
        <w:rPr>
          <w:rFonts w:ascii="Times New Roman" w:hAnsi="Times New Roman" w:cs="Times New Roman"/>
          <w:sz w:val="24"/>
          <w:szCs w:val="24"/>
        </w:rPr>
        <w:t>y</w:t>
      </w:r>
      <w:r w:rsidRPr="00F65683">
        <w:rPr>
          <w:rFonts w:ascii="Times New Roman" w:hAnsi="Times New Roman" w:cs="Times New Roman"/>
          <w:sz w:val="24"/>
          <w:szCs w:val="24"/>
        </w:rPr>
        <w:t>, że brak obowiązku składania w urzędzie skarbowym deklaracji za okresy miesięczne lub kwartalne stwarza nieuczciwym podatnikom dużo możliwości nadużyć. Począwszy od sytuacji, w której poprzez niewpłacanie kwot należnego podatku w ustawowo określonych okresach, wykorzystywana jest swoista możliwość „zaciągania kredytu obrotowego” na bieżącą działalność firmy (przeznaczenie pieniędzy, które powinny zostać wpłacone tytułem należnego podatku dochodowego, na finansowanie kosztów funkcjonowania firmy, w tym na opłacenie podatku VAT, który jest rozliczany i dokumentowany deklaracjami w okresach miesięcznych), a kończąc na manipulowaniu zeznawanymi wielkościami przychodów bądź liczbą zatrudnionych osób w składanych deklaracjach podatkowych na</w:t>
      </w:r>
      <w:r w:rsidR="002342F5">
        <w:rPr>
          <w:rFonts w:ascii="Times New Roman" w:hAnsi="Times New Roman" w:cs="Times New Roman"/>
          <w:sz w:val="24"/>
          <w:szCs w:val="24"/>
        </w:rPr>
        <w:t> </w:t>
      </w:r>
      <w:r w:rsidRPr="00F65683">
        <w:rPr>
          <w:rFonts w:ascii="Times New Roman" w:hAnsi="Times New Roman" w:cs="Times New Roman"/>
          <w:sz w:val="24"/>
          <w:szCs w:val="24"/>
        </w:rPr>
        <w:t>koniec roku (w trakcie roku podatkowego do urzędów skarbowych nie wpływają dokumenty – deklaracje – wskazujące na aktualny stan prowadzonej przez podatnika działalności, na</w:t>
      </w:r>
      <w:r w:rsidR="002342F5">
        <w:rPr>
          <w:rFonts w:ascii="Times New Roman" w:hAnsi="Times New Roman" w:cs="Times New Roman"/>
          <w:sz w:val="24"/>
          <w:szCs w:val="24"/>
        </w:rPr>
        <w:t> </w:t>
      </w:r>
      <w:r w:rsidRPr="00F65683">
        <w:rPr>
          <w:rFonts w:ascii="Times New Roman" w:hAnsi="Times New Roman" w:cs="Times New Roman"/>
          <w:sz w:val="24"/>
          <w:szCs w:val="24"/>
        </w:rPr>
        <w:t>podstawie których możliwa byłaby weryfikacja wykazywanych wielkości).</w:t>
      </w:r>
    </w:p>
    <w:p w14:paraId="08064BE4" w14:textId="7CD0A120" w:rsidR="00F65683" w:rsidRPr="00F65683" w:rsidRDefault="00F65683" w:rsidP="006C223A">
      <w:pPr>
        <w:spacing w:line="240" w:lineRule="auto"/>
        <w:jc w:val="both"/>
        <w:rPr>
          <w:rFonts w:ascii="Times New Roman" w:hAnsi="Times New Roman" w:cs="Times New Roman"/>
          <w:sz w:val="24"/>
          <w:szCs w:val="24"/>
        </w:rPr>
      </w:pPr>
      <w:r w:rsidRPr="00F65683">
        <w:rPr>
          <w:rFonts w:ascii="Times New Roman" w:hAnsi="Times New Roman" w:cs="Times New Roman"/>
          <w:sz w:val="24"/>
          <w:szCs w:val="24"/>
        </w:rPr>
        <w:t>Z przedmiotowym ryzyk</w:t>
      </w:r>
      <w:r w:rsidR="002342F5">
        <w:rPr>
          <w:rFonts w:ascii="Times New Roman" w:hAnsi="Times New Roman" w:cs="Times New Roman"/>
          <w:sz w:val="24"/>
          <w:szCs w:val="24"/>
        </w:rPr>
        <w:t>iem</w:t>
      </w:r>
      <w:r w:rsidRPr="00F65683">
        <w:rPr>
          <w:rFonts w:ascii="Times New Roman" w:hAnsi="Times New Roman" w:cs="Times New Roman"/>
          <w:sz w:val="24"/>
          <w:szCs w:val="24"/>
        </w:rPr>
        <w:t xml:space="preserve"> wiąże się również zagadnienie nadużywania przez niektórych podatników instytucji obniżonych odsetek za zwłokę, o której mowa w art. 56 § 1a </w:t>
      </w:r>
      <w:r w:rsidR="00E12D63" w:rsidRPr="00CF0DAC">
        <w:rPr>
          <w:rFonts w:ascii="Times New Roman" w:hAnsi="Times New Roman" w:cs="Times New Roman"/>
          <w:sz w:val="24"/>
          <w:szCs w:val="24"/>
        </w:rPr>
        <w:t>ustawy z</w:t>
      </w:r>
      <w:r w:rsidR="00E12D63">
        <w:rPr>
          <w:rFonts w:ascii="Times New Roman" w:hAnsi="Times New Roman" w:cs="Times New Roman"/>
          <w:sz w:val="24"/>
          <w:szCs w:val="24"/>
        </w:rPr>
        <w:t> </w:t>
      </w:r>
      <w:r w:rsidR="00E12D63" w:rsidRPr="00CF0DAC">
        <w:rPr>
          <w:rFonts w:ascii="Times New Roman" w:hAnsi="Times New Roman" w:cs="Times New Roman"/>
          <w:sz w:val="24"/>
          <w:szCs w:val="24"/>
        </w:rPr>
        <w:t>dnia 29 sierpnia 1997 r. – Ordynacja podatkowa</w:t>
      </w:r>
      <w:r w:rsidR="00E12D63">
        <w:rPr>
          <w:rFonts w:ascii="Times New Roman" w:hAnsi="Times New Roman" w:cs="Times New Roman"/>
          <w:sz w:val="24"/>
          <w:szCs w:val="24"/>
        </w:rPr>
        <w:t xml:space="preserve"> (dalej również O.p., Ordynacja podatkowa, Ordynacja)</w:t>
      </w:r>
      <w:r w:rsidRPr="00F65683">
        <w:rPr>
          <w:rFonts w:ascii="Times New Roman" w:hAnsi="Times New Roman" w:cs="Times New Roman"/>
          <w:sz w:val="24"/>
          <w:szCs w:val="24"/>
        </w:rPr>
        <w:t>. Stosowany mechanizm polega na tym, że w trakcie roku podatkowego zaniżane są zaliczki, a po zakończeniu roku podatkowego podatnicy składają zeznanie podatkowe, w</w:t>
      </w:r>
      <w:r w:rsidR="00E12D63">
        <w:rPr>
          <w:rFonts w:ascii="Times New Roman" w:hAnsi="Times New Roman" w:cs="Times New Roman"/>
          <w:sz w:val="24"/>
          <w:szCs w:val="24"/>
        </w:rPr>
        <w:t> </w:t>
      </w:r>
      <w:r w:rsidRPr="00F65683">
        <w:rPr>
          <w:rFonts w:ascii="Times New Roman" w:hAnsi="Times New Roman" w:cs="Times New Roman"/>
          <w:sz w:val="24"/>
          <w:szCs w:val="24"/>
        </w:rPr>
        <w:t>którym wykazują podatek dochodowy w wysokości niższej od należnej lub zaliczki w</w:t>
      </w:r>
      <w:r w:rsidR="00E12D63">
        <w:rPr>
          <w:rFonts w:ascii="Times New Roman" w:hAnsi="Times New Roman" w:cs="Times New Roman"/>
          <w:sz w:val="24"/>
          <w:szCs w:val="24"/>
        </w:rPr>
        <w:t> </w:t>
      </w:r>
      <w:r w:rsidRPr="00F65683">
        <w:rPr>
          <w:rFonts w:ascii="Times New Roman" w:hAnsi="Times New Roman" w:cs="Times New Roman"/>
          <w:sz w:val="24"/>
          <w:szCs w:val="24"/>
        </w:rPr>
        <w:t>wysokości „0”. Następnie ci sami podatnicy w krótkim odstępie czasu składają korektę zeznania podatkowego, w której wykazują prawidłową wysokość zaliczek i podatku dochodowego oraz wpłacają zaległości z tytułu zaliczek wraz z obniżonymi odsetkami za zwłokę. W ten sposób podatnicy korzystają z obniżonej stawki odsetek za zwłokę (75% stawki podstawowej) od zaległych zaliczek.</w:t>
      </w:r>
    </w:p>
    <w:p w14:paraId="6E5E08FE" w14:textId="77777777" w:rsidR="00E61CE7" w:rsidRDefault="00E61CE7" w:rsidP="00F65683">
      <w:pPr>
        <w:spacing w:line="240" w:lineRule="auto"/>
        <w:jc w:val="both"/>
        <w:rPr>
          <w:rFonts w:ascii="Times New Roman" w:hAnsi="Times New Roman" w:cs="Times New Roman"/>
          <w:sz w:val="24"/>
          <w:szCs w:val="24"/>
        </w:rPr>
      </w:pPr>
    </w:p>
    <w:p w14:paraId="2B92E2F9" w14:textId="28B1C02A" w:rsidR="00D13CB4" w:rsidRPr="00783827" w:rsidRDefault="00D13CB4" w:rsidP="00F65683">
      <w:pPr>
        <w:pStyle w:val="Nagwek2"/>
        <w:numPr>
          <w:ilvl w:val="0"/>
          <w:numId w:val="2"/>
        </w:numPr>
        <w:spacing w:after="120" w:line="240" w:lineRule="auto"/>
        <w:jc w:val="both"/>
        <w:rPr>
          <w:b/>
        </w:rPr>
      </w:pPr>
      <w:bookmarkStart w:id="17" w:name="_Toc428775847"/>
      <w:r w:rsidRPr="00783827">
        <w:rPr>
          <w:b/>
        </w:rPr>
        <w:t>Ryzyko niewywiązywania się z obowiązku płatnika podatku dochodowego od</w:t>
      </w:r>
      <w:r w:rsidR="000D48C5" w:rsidRPr="00783827">
        <w:rPr>
          <w:b/>
        </w:rPr>
        <w:t> </w:t>
      </w:r>
      <w:r w:rsidRPr="00783827">
        <w:rPr>
          <w:b/>
        </w:rPr>
        <w:t>osób fizycznych</w:t>
      </w:r>
      <w:bookmarkEnd w:id="17"/>
    </w:p>
    <w:p w14:paraId="3D1A3D8E" w14:textId="77777777" w:rsidR="00D13CB4" w:rsidRPr="00D13CB4" w:rsidRDefault="00D13CB4" w:rsidP="00F65683">
      <w:pPr>
        <w:spacing w:after="0" w:line="240" w:lineRule="auto"/>
        <w:rPr>
          <w:rFonts w:ascii="Times New Roman" w:hAnsi="Times New Roman" w:cs="Times New Roman"/>
          <w:sz w:val="24"/>
          <w:szCs w:val="24"/>
        </w:rPr>
      </w:pPr>
      <w:r w:rsidRPr="00D13CB4">
        <w:rPr>
          <w:rFonts w:ascii="Times New Roman" w:hAnsi="Times New Roman" w:cs="Times New Roman"/>
          <w:sz w:val="24"/>
          <w:szCs w:val="24"/>
        </w:rPr>
        <w:t>Ryzyko to występuje w podobszarach:</w:t>
      </w:r>
    </w:p>
    <w:p w14:paraId="32B834EC" w14:textId="4391E8D8" w:rsidR="00D13CB4" w:rsidRPr="00F95A14" w:rsidRDefault="00D13CB4" w:rsidP="00F65683">
      <w:pPr>
        <w:pStyle w:val="Akapitzlist"/>
        <w:numPr>
          <w:ilvl w:val="0"/>
          <w:numId w:val="23"/>
        </w:numPr>
        <w:spacing w:line="240" w:lineRule="auto"/>
        <w:rPr>
          <w:rFonts w:ascii="Times New Roman" w:hAnsi="Times New Roman" w:cs="Times New Roman"/>
          <w:i/>
          <w:sz w:val="24"/>
          <w:szCs w:val="24"/>
        </w:rPr>
      </w:pPr>
      <w:r w:rsidRPr="00F95A14">
        <w:rPr>
          <w:rFonts w:ascii="Times New Roman" w:hAnsi="Times New Roman" w:cs="Times New Roman"/>
          <w:i/>
          <w:sz w:val="24"/>
          <w:szCs w:val="24"/>
        </w:rPr>
        <w:t>Doradztwo</w:t>
      </w:r>
      <w:r w:rsidR="0077172D">
        <w:rPr>
          <w:rFonts w:ascii="Times New Roman" w:hAnsi="Times New Roman" w:cs="Times New Roman"/>
          <w:i/>
          <w:sz w:val="24"/>
          <w:szCs w:val="24"/>
        </w:rPr>
        <w:t>,</w:t>
      </w:r>
    </w:p>
    <w:p w14:paraId="5FD30E62" w14:textId="4F9E80D5" w:rsidR="00D13CB4" w:rsidRPr="00F95A14" w:rsidRDefault="00D13CB4" w:rsidP="00F65683">
      <w:pPr>
        <w:pStyle w:val="Akapitzlist"/>
        <w:numPr>
          <w:ilvl w:val="0"/>
          <w:numId w:val="23"/>
        </w:numPr>
        <w:spacing w:line="240" w:lineRule="auto"/>
        <w:rPr>
          <w:rFonts w:ascii="Times New Roman" w:hAnsi="Times New Roman" w:cs="Times New Roman"/>
          <w:i/>
          <w:sz w:val="24"/>
          <w:szCs w:val="24"/>
        </w:rPr>
      </w:pPr>
      <w:r w:rsidRPr="00F95A14">
        <w:rPr>
          <w:rFonts w:ascii="Times New Roman" w:hAnsi="Times New Roman" w:cs="Times New Roman"/>
          <w:i/>
          <w:sz w:val="24"/>
          <w:szCs w:val="24"/>
        </w:rPr>
        <w:t>Działalność agentów sprzedaży</w:t>
      </w:r>
      <w:r w:rsidR="0077172D">
        <w:rPr>
          <w:rFonts w:ascii="Times New Roman" w:hAnsi="Times New Roman" w:cs="Times New Roman"/>
          <w:i/>
          <w:sz w:val="24"/>
          <w:szCs w:val="24"/>
        </w:rPr>
        <w:t>,</w:t>
      </w:r>
    </w:p>
    <w:p w14:paraId="3EDBBED6" w14:textId="0EC14778" w:rsidR="00D13CB4" w:rsidRPr="00F95A14" w:rsidRDefault="00D13CB4" w:rsidP="00F65683">
      <w:pPr>
        <w:pStyle w:val="Akapitzlist"/>
        <w:numPr>
          <w:ilvl w:val="0"/>
          <w:numId w:val="23"/>
        </w:numPr>
        <w:spacing w:line="240" w:lineRule="auto"/>
        <w:rPr>
          <w:rFonts w:ascii="Times New Roman" w:hAnsi="Times New Roman" w:cs="Times New Roman"/>
          <w:i/>
          <w:sz w:val="24"/>
          <w:szCs w:val="24"/>
        </w:rPr>
      </w:pPr>
      <w:r w:rsidRPr="00F95A14">
        <w:rPr>
          <w:rFonts w:ascii="Times New Roman" w:hAnsi="Times New Roman" w:cs="Times New Roman"/>
          <w:i/>
          <w:sz w:val="24"/>
          <w:szCs w:val="24"/>
        </w:rPr>
        <w:t>Handel hurtowy pozostały</w:t>
      </w:r>
      <w:r w:rsidR="0077172D">
        <w:rPr>
          <w:rFonts w:ascii="Times New Roman" w:hAnsi="Times New Roman" w:cs="Times New Roman"/>
          <w:i/>
          <w:sz w:val="24"/>
          <w:szCs w:val="24"/>
        </w:rPr>
        <w:t>,</w:t>
      </w:r>
    </w:p>
    <w:p w14:paraId="0F34ED8A" w14:textId="27DF8323"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Handel produktami spożywczymi i tytoniem</w:t>
      </w:r>
      <w:r w:rsidR="0077172D" w:rsidRPr="00CF0DAC">
        <w:rPr>
          <w:rFonts w:ascii="Times New Roman" w:hAnsi="Times New Roman" w:cs="Times New Roman"/>
          <w:i/>
          <w:sz w:val="24"/>
          <w:szCs w:val="24"/>
        </w:rPr>
        <w:t>,</w:t>
      </w:r>
      <w:r w:rsidRPr="00CF0DAC">
        <w:rPr>
          <w:rFonts w:ascii="Times New Roman" w:hAnsi="Times New Roman" w:cs="Times New Roman"/>
          <w:i/>
          <w:sz w:val="24"/>
          <w:szCs w:val="24"/>
        </w:rPr>
        <w:t xml:space="preserve"> </w:t>
      </w:r>
    </w:p>
    <w:p w14:paraId="7C8979C8" w14:textId="44B6A690"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Motoryzacja</w:t>
      </w:r>
      <w:r w:rsidR="0077172D" w:rsidRPr="00CF0DAC">
        <w:rPr>
          <w:rFonts w:ascii="Times New Roman" w:hAnsi="Times New Roman" w:cs="Times New Roman"/>
          <w:i/>
          <w:sz w:val="24"/>
          <w:szCs w:val="24"/>
        </w:rPr>
        <w:t>,</w:t>
      </w:r>
    </w:p>
    <w:p w14:paraId="4111E5C4" w14:textId="2E20BBC7"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Opieka zdrowotna (w tym praktyka lekarska i pozostałe usługi medyczne)</w:t>
      </w:r>
      <w:r w:rsidR="0077172D" w:rsidRPr="00CF0DAC">
        <w:rPr>
          <w:rFonts w:ascii="Times New Roman" w:hAnsi="Times New Roman" w:cs="Times New Roman"/>
          <w:i/>
          <w:sz w:val="24"/>
          <w:szCs w:val="24"/>
        </w:rPr>
        <w:t>,</w:t>
      </w:r>
    </w:p>
    <w:p w14:paraId="66A870A2" w14:textId="38D0967D"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Produkcja i obrót metalami i produktami metalowymi</w:t>
      </w:r>
      <w:r w:rsidR="0077172D" w:rsidRPr="00CF0DAC">
        <w:rPr>
          <w:rFonts w:ascii="Times New Roman" w:hAnsi="Times New Roman" w:cs="Times New Roman"/>
          <w:i/>
          <w:sz w:val="24"/>
          <w:szCs w:val="24"/>
        </w:rPr>
        <w:t>,</w:t>
      </w:r>
    </w:p>
    <w:p w14:paraId="66F5EE49" w14:textId="352A010B"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Produkcja materiałów budowlanych i usługi budowlane</w:t>
      </w:r>
      <w:r w:rsidR="0077172D" w:rsidRPr="00CF0DAC">
        <w:rPr>
          <w:rFonts w:ascii="Times New Roman" w:hAnsi="Times New Roman" w:cs="Times New Roman"/>
          <w:i/>
          <w:sz w:val="24"/>
          <w:szCs w:val="24"/>
        </w:rPr>
        <w:t>,</w:t>
      </w:r>
    </w:p>
    <w:p w14:paraId="03C354E5" w14:textId="2776CF5A" w:rsidR="00D13CB4" w:rsidRPr="00CF0DAC" w:rsidRDefault="00D13CB4" w:rsidP="00F65683">
      <w:pPr>
        <w:pStyle w:val="Akapitzlist"/>
        <w:numPr>
          <w:ilvl w:val="0"/>
          <w:numId w:val="23"/>
        </w:numPr>
        <w:spacing w:line="240" w:lineRule="auto"/>
        <w:rPr>
          <w:rFonts w:ascii="Times New Roman" w:hAnsi="Times New Roman" w:cs="Times New Roman"/>
          <w:i/>
          <w:sz w:val="24"/>
          <w:szCs w:val="24"/>
        </w:rPr>
      </w:pPr>
      <w:r w:rsidRPr="00CF0DAC">
        <w:rPr>
          <w:rFonts w:ascii="Times New Roman" w:hAnsi="Times New Roman" w:cs="Times New Roman"/>
          <w:i/>
          <w:sz w:val="24"/>
          <w:szCs w:val="24"/>
        </w:rPr>
        <w:t>Transport i logistyka</w:t>
      </w:r>
      <w:r w:rsidR="0077172D" w:rsidRPr="00CF0DAC">
        <w:rPr>
          <w:rFonts w:ascii="Times New Roman" w:hAnsi="Times New Roman" w:cs="Times New Roman"/>
          <w:i/>
          <w:sz w:val="24"/>
          <w:szCs w:val="24"/>
        </w:rPr>
        <w:t>.</w:t>
      </w:r>
    </w:p>
    <w:p w14:paraId="2AB0344B" w14:textId="77777777" w:rsidR="00DC3E65" w:rsidRPr="00CF0DAC" w:rsidRDefault="00DC3E65" w:rsidP="00F65683">
      <w:pPr>
        <w:spacing w:line="240" w:lineRule="auto"/>
        <w:ind w:left="360"/>
        <w:rPr>
          <w:rFonts w:ascii="Times New Roman" w:hAnsi="Times New Roman" w:cs="Times New Roman"/>
          <w:i/>
          <w:sz w:val="24"/>
          <w:szCs w:val="24"/>
        </w:rPr>
      </w:pPr>
    </w:p>
    <w:p w14:paraId="74AC4741" w14:textId="77777777" w:rsidR="00DC3E65" w:rsidRPr="00CF0DAC" w:rsidRDefault="00DC3E65" w:rsidP="00F65683">
      <w:pPr>
        <w:spacing w:after="120" w:line="240" w:lineRule="auto"/>
        <w:ind w:left="360"/>
        <w:jc w:val="both"/>
        <w:rPr>
          <w:rFonts w:ascii="Times New Roman" w:hAnsi="Times New Roman" w:cs="Times New Roman"/>
          <w:sz w:val="24"/>
          <w:szCs w:val="24"/>
        </w:rPr>
      </w:pPr>
      <w:r w:rsidRPr="00CF0DAC">
        <w:rPr>
          <w:rFonts w:ascii="Times New Roman" w:hAnsi="Times New Roman" w:cs="Times New Roman"/>
          <w:sz w:val="24"/>
          <w:szCs w:val="24"/>
        </w:rPr>
        <w:t>Ryzyko powiązane jest z ryzykiem naliczania i nieodprowadzania zaliczek na podatek dochodowy od wynagrodzeń osób zatrudnionych i podobnie jak ono, ma charakter powszechny – wskazane zostało w 9 podobszarach, lecz w mniejszym lub większym stopniu występuje w każdym z 14 podobszarów opisanych treścią Krajowego Planu Działań.</w:t>
      </w:r>
    </w:p>
    <w:p w14:paraId="10366EAB" w14:textId="4C7D4738" w:rsidR="00DC3E65" w:rsidRPr="00CF0DAC" w:rsidRDefault="00DC3E65" w:rsidP="00F65683">
      <w:pPr>
        <w:spacing w:after="120" w:line="240" w:lineRule="auto"/>
        <w:ind w:left="360"/>
        <w:jc w:val="both"/>
        <w:rPr>
          <w:rFonts w:ascii="Times New Roman" w:hAnsi="Times New Roman" w:cs="Times New Roman"/>
          <w:sz w:val="24"/>
          <w:szCs w:val="24"/>
        </w:rPr>
      </w:pPr>
      <w:r w:rsidRPr="00CF0DAC">
        <w:rPr>
          <w:rFonts w:ascii="Times New Roman" w:hAnsi="Times New Roman" w:cs="Times New Roman"/>
          <w:sz w:val="24"/>
          <w:szCs w:val="24"/>
        </w:rPr>
        <w:t>W myśl art. 31 ustawy o podatku dochodowym od osób fizycznych, m.in. osoby fizyczne, zwane „zakładami pracy”, są obowiązane jako płatnicy obliczać i pobierać w ciągu roku zaliczki na podatek dochodowy od osób, które uzyskują od tych zakładów przychody m.in. ze stosunku pracy. Zgodnie natomiast z art. 38 ust. 1 updof, płatnicy, o których mowa m.in. w art. 31, przekazują kwoty pobranych zaliczek na podatek w terminie do dnia 20 miesiąca następującego po miesiącu, w którym pobrano zaliczki, na rachunek urzędu skarbowego, którym kieruje naczelnik urzędu skarbowego właściwy według miejsca zamieszkania płatnika. Stosownie do art. 30 § 1 Ordynacj</w:t>
      </w:r>
      <w:r w:rsidR="00E12D63">
        <w:rPr>
          <w:rFonts w:ascii="Times New Roman" w:hAnsi="Times New Roman" w:cs="Times New Roman"/>
          <w:sz w:val="24"/>
          <w:szCs w:val="24"/>
        </w:rPr>
        <w:t>i</w:t>
      </w:r>
      <w:r w:rsidRPr="00CF0DAC">
        <w:rPr>
          <w:rFonts w:ascii="Times New Roman" w:hAnsi="Times New Roman" w:cs="Times New Roman"/>
          <w:sz w:val="24"/>
          <w:szCs w:val="24"/>
        </w:rPr>
        <w:t xml:space="preserve"> podatkow</w:t>
      </w:r>
      <w:r w:rsidR="00E12D63">
        <w:rPr>
          <w:rFonts w:ascii="Times New Roman" w:hAnsi="Times New Roman" w:cs="Times New Roman"/>
          <w:sz w:val="24"/>
          <w:szCs w:val="24"/>
        </w:rPr>
        <w:t>ej</w:t>
      </w:r>
      <w:r w:rsidRPr="00CF0DAC">
        <w:rPr>
          <w:rFonts w:ascii="Times New Roman" w:hAnsi="Times New Roman" w:cs="Times New Roman"/>
          <w:sz w:val="24"/>
          <w:szCs w:val="24"/>
        </w:rPr>
        <w:t xml:space="preserve"> płatnik, który nie wykonał obowiązków określonych w art.  8 O.p.(tj. nie dokonał obliczenia i pobrania od podatnika podatku oraz wpłacenia go we właściwym terminie organowi podatkowemu), odpowiada za podatek niepobrany lub podatek pobrany a niewpłacony. W myśl art. 30 § 3 za należności wymienione w art. 30 § 1 płatnik odpowiada całym swoim majątkiem. Zgodnie z art. 30 §</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4 jeżeli w postępowaniu podatkowym organ podatkowy stwierdzi okoliczność, o której mowa w § 1, organ ten wydaje decyzję o odpowiedzialności podatkowej płatnika, w której określa wysokość należności z tytułu niepobranego lub pobranego a niewpłaconego podatku. W</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myśl art. 30 § 5 Ordynacji podatkowej organ podatkowy wydaje decyzję o</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odpowiedzialności podatnika, jeżeli podatek nie został pobrany z winy podatnika. Na</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podstawie art. 26a § 1 Ordynacji podatkowej podatnik nie ponosi odpowiedzialności z</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tytułu zaniżenia lub nieujawnienia przez płatnika podstawy opodatkowania czynności, o</w:t>
      </w:r>
      <w:r w:rsidR="0077172D" w:rsidRPr="00CF0DAC">
        <w:rPr>
          <w:rFonts w:ascii="Times New Roman" w:hAnsi="Times New Roman" w:cs="Times New Roman"/>
          <w:sz w:val="24"/>
          <w:szCs w:val="24"/>
        </w:rPr>
        <w:t> </w:t>
      </w:r>
      <w:r w:rsidRPr="00CF0DAC">
        <w:rPr>
          <w:rFonts w:ascii="Times New Roman" w:hAnsi="Times New Roman" w:cs="Times New Roman"/>
          <w:sz w:val="24"/>
          <w:szCs w:val="24"/>
        </w:rPr>
        <w:t xml:space="preserve">których mowa w art. 12, 13 oraz 18 ustawy o podatku dochodowym od osób fizycznych - do wysokości zaliczki, do której pobrania zobowiązany jest płatnik. </w:t>
      </w:r>
    </w:p>
    <w:p w14:paraId="134058E3" w14:textId="2349D58D" w:rsidR="00DC3E65" w:rsidRPr="00CF0DAC" w:rsidRDefault="00DC3E65" w:rsidP="00F65683">
      <w:pPr>
        <w:spacing w:after="120" w:line="240" w:lineRule="auto"/>
        <w:ind w:left="360"/>
        <w:jc w:val="both"/>
        <w:rPr>
          <w:rFonts w:ascii="Times New Roman" w:hAnsi="Times New Roman" w:cs="Times New Roman"/>
          <w:sz w:val="24"/>
          <w:szCs w:val="24"/>
        </w:rPr>
      </w:pPr>
      <w:r w:rsidRPr="00CF0DAC">
        <w:rPr>
          <w:rFonts w:ascii="Times New Roman" w:hAnsi="Times New Roman" w:cs="Times New Roman"/>
          <w:sz w:val="24"/>
          <w:szCs w:val="24"/>
        </w:rPr>
        <w:t>Mechanizm działania w analizowanym ryzyku polega na nieterminowym odprowadzaniu, nie odprowadzaniu lub odprowadzaniu w zaniżonej wysokości zaliczek na podatek dochodowy od wynagrodzeń wypłaconych osobom faktycznie świadczącym pracę zarobkową. Wynikać to może z faktu, iż całość lub część wynagrodzenia płacona jest w</w:t>
      </w:r>
      <w:r w:rsidR="00CF0DAC" w:rsidRPr="00CF0DAC">
        <w:rPr>
          <w:rFonts w:ascii="Times New Roman" w:hAnsi="Times New Roman" w:cs="Times New Roman"/>
          <w:sz w:val="24"/>
          <w:szCs w:val="24"/>
        </w:rPr>
        <w:t> </w:t>
      </w:r>
      <w:r w:rsidRPr="00CF0DAC">
        <w:rPr>
          <w:rFonts w:ascii="Times New Roman" w:hAnsi="Times New Roman" w:cs="Times New Roman"/>
          <w:sz w:val="24"/>
          <w:szCs w:val="24"/>
        </w:rPr>
        <w:t>sposób nieformalny bez podpisania umowy o pracę lub obok niej. W drugim przypadku wartość wynagrodzenia wynikająca z umowy o pracę jest celowo zaniżana. W wielu sytuacjach pracownicy często są zwodzeni obietnicami zawarcia z nimi umowy o pracę. Czasem także podpisywana jest z nimi umowa, a pomimo tego pracodawca nie odprowadza składek na ubezpieczenie społeczne i zaliczek na podatek. W regionach, gdzie bezrobocie jest duże, pracownicy godzą się na takie warunki w obawie przed utratą pracy. Umowa o</w:t>
      </w:r>
      <w:r w:rsidR="00CF0DAC" w:rsidRPr="00CF0DAC">
        <w:rPr>
          <w:rFonts w:ascii="Times New Roman" w:hAnsi="Times New Roman" w:cs="Times New Roman"/>
          <w:sz w:val="24"/>
          <w:szCs w:val="24"/>
        </w:rPr>
        <w:t> </w:t>
      </w:r>
      <w:r w:rsidRPr="00CF0DAC">
        <w:rPr>
          <w:rFonts w:ascii="Times New Roman" w:hAnsi="Times New Roman" w:cs="Times New Roman"/>
          <w:sz w:val="24"/>
          <w:szCs w:val="24"/>
        </w:rPr>
        <w:t>pracę może też nie odzwierciedlać stanu faktycznego – kwoty wynagrodzenia, zakresu, etatu. Z reguły wiąże się to też z nie wykazywaniem pełnej kwoty obrotów/przychodów.</w:t>
      </w:r>
    </w:p>
    <w:p w14:paraId="2FE7ACB3" w14:textId="7728C1FC" w:rsidR="00DC3E65" w:rsidRPr="00DC3E65" w:rsidRDefault="00DC3E65" w:rsidP="00F65683">
      <w:pPr>
        <w:spacing w:after="360" w:line="240" w:lineRule="auto"/>
        <w:ind w:left="360"/>
        <w:jc w:val="both"/>
        <w:rPr>
          <w:rFonts w:ascii="Times New Roman" w:hAnsi="Times New Roman" w:cs="Times New Roman"/>
          <w:strike/>
          <w:sz w:val="24"/>
          <w:szCs w:val="24"/>
        </w:rPr>
      </w:pPr>
      <w:r w:rsidRPr="00CF0DAC">
        <w:rPr>
          <w:rFonts w:ascii="Times New Roman" w:hAnsi="Times New Roman" w:cs="Times New Roman"/>
          <w:sz w:val="24"/>
          <w:szCs w:val="24"/>
        </w:rPr>
        <w:t xml:space="preserve">Dodatkowo zaobserwowano zjawisko nieprawidłowego wykonywania obowiązków płatnika wynikające z udziału w procederze nieuczciwego wykorzystywania instytucji outsourcingu personalnego. Ustalono, iż </w:t>
      </w:r>
      <w:r w:rsidR="00582A10">
        <w:rPr>
          <w:rFonts w:ascii="Times New Roman" w:hAnsi="Times New Roman" w:cs="Times New Roman"/>
          <w:sz w:val="24"/>
          <w:szCs w:val="24"/>
        </w:rPr>
        <w:t xml:space="preserve">pewna </w:t>
      </w:r>
      <w:r w:rsidRPr="00CF0DAC">
        <w:rPr>
          <w:rFonts w:ascii="Times New Roman" w:hAnsi="Times New Roman" w:cs="Times New Roman"/>
          <w:sz w:val="24"/>
          <w:szCs w:val="24"/>
        </w:rPr>
        <w:t>grupa przedsiębiorców pełniących funkcję płatnika podatku dochodowego od osób fizycznych skorzystała z oferty tzw. firm outsourcingowych, proponujących przejęcie obsługi kadrowo-płacowej z jednoczesnym obniżeniem tzw. kosztów pracowniczych (obejmujących zaliczki PIT oraz składki ZUS). Przejęcie załogi miało nastąpić z wykorzystaniem instytucji przejścia zakładu pracy na innego pracodawcę, uregulowanej w art. 23¹ Kodeksu pracy. Z dokonanych ustaleń wynika, że firmy outsourcingowe formalnie przejmując załogi pracownicze, nie wzięły na siebie jednak ciężaru funkcji płatnika wobec swoich rzekomych pracowników, co skutkowało powstaniem zaległości zarówno w podatku dochodowym należnym od wypłaconych pracownikom wynagrodzeń, jak i w należnych składkach na ubezpieczenie społeczne. Przeprowadzone dotąd analizy poszczególnych umów przejścia zakładów opartych formalnie o regulację art. 23¹ Kodeksu pracy wskazują, że przedmiotowe „umowy” nie tylko nie spełniają przesłanek określonych w art. 23¹ Kodeksu pracy, ale też że uprawnioną – wobec treści art. 58 Kodeksu cywilnego – jest ocena, iż „umowy” te są nieważne. Prawidłowość stanowiska organów podatkowych (a także organów ZUS) znalazła potwierdzenie w orzeczeniach sądowych. W tej sytuacji w pełni uzasadnione jest zanegowanie prawnej skuteczności przejęcia pracowników przez firmę outsourcingową i</w:t>
      </w:r>
      <w:r w:rsidR="00CF0DAC" w:rsidRPr="00CF0DAC">
        <w:rPr>
          <w:rFonts w:ascii="Times New Roman" w:hAnsi="Times New Roman" w:cs="Times New Roman"/>
          <w:sz w:val="24"/>
          <w:szCs w:val="24"/>
        </w:rPr>
        <w:t> </w:t>
      </w:r>
      <w:r w:rsidRPr="00CF0DAC">
        <w:rPr>
          <w:rFonts w:ascii="Times New Roman" w:hAnsi="Times New Roman" w:cs="Times New Roman"/>
          <w:sz w:val="24"/>
          <w:szCs w:val="24"/>
        </w:rPr>
        <w:t>tym samym uznanie dotychczasowego pracodawcy („</w:t>
      </w:r>
      <w:r w:rsidR="00783827">
        <w:rPr>
          <w:rFonts w:ascii="Times New Roman" w:hAnsi="Times New Roman" w:cs="Times New Roman"/>
          <w:sz w:val="24"/>
          <w:szCs w:val="24"/>
        </w:rPr>
        <w:t>u</w:t>
      </w:r>
      <w:r w:rsidRPr="00CF0DAC">
        <w:rPr>
          <w:rFonts w:ascii="Times New Roman" w:hAnsi="Times New Roman" w:cs="Times New Roman"/>
          <w:sz w:val="24"/>
          <w:szCs w:val="24"/>
        </w:rPr>
        <w:t>sługobiorcy” usługi outsourcingu) za rzeczywistego pracodawcę, a jednocześnie płatnika podatku dochodowego z tytułu wynagrodzeń wypłacanych pracownikom.</w:t>
      </w:r>
    </w:p>
    <w:p w14:paraId="2D7D0BC1" w14:textId="4625DD4E" w:rsidR="006535EE" w:rsidRPr="00783827" w:rsidRDefault="006535EE" w:rsidP="00F65683">
      <w:pPr>
        <w:pStyle w:val="Nagwek2"/>
        <w:numPr>
          <w:ilvl w:val="0"/>
          <w:numId w:val="2"/>
        </w:numPr>
        <w:spacing w:after="120" w:line="240" w:lineRule="auto"/>
        <w:jc w:val="both"/>
        <w:rPr>
          <w:b/>
        </w:rPr>
      </w:pPr>
      <w:bookmarkStart w:id="18" w:name="_Toc428775848"/>
      <w:r w:rsidRPr="00783827">
        <w:rPr>
          <w:b/>
        </w:rPr>
        <w:t>Ryzyko opodatkowania sprzedaży usług według niewłaściwych stawek, w tym również poprzez błędne kwalifikowanie transakcji jako usługa zamiast obrót towarem</w:t>
      </w:r>
      <w:bookmarkEnd w:id="18"/>
    </w:p>
    <w:p w14:paraId="3138C541" w14:textId="77777777" w:rsidR="006535EE" w:rsidRPr="006535EE"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 xml:space="preserve">Ryzyko to występuje w podobszarze: </w:t>
      </w:r>
      <w:r w:rsidRPr="006535EE">
        <w:rPr>
          <w:rFonts w:ascii="Times New Roman" w:hAnsi="Times New Roman" w:cs="Times New Roman"/>
          <w:i/>
          <w:sz w:val="24"/>
          <w:szCs w:val="24"/>
        </w:rPr>
        <w:t>Produkcja materiałów budowlanych i usługi budowlane</w:t>
      </w:r>
      <w:r w:rsidRPr="006535EE">
        <w:rPr>
          <w:rFonts w:ascii="Times New Roman" w:hAnsi="Times New Roman" w:cs="Times New Roman"/>
          <w:sz w:val="24"/>
          <w:szCs w:val="24"/>
        </w:rPr>
        <w:t>.</w:t>
      </w:r>
    </w:p>
    <w:p w14:paraId="69F415CB" w14:textId="26A4DE8E" w:rsidR="006535EE" w:rsidRPr="006535EE"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Zjawisko polega na nieuprawnionym korzystani</w:t>
      </w:r>
      <w:r w:rsidR="00783827">
        <w:rPr>
          <w:rFonts w:ascii="Times New Roman" w:hAnsi="Times New Roman" w:cs="Times New Roman"/>
          <w:sz w:val="24"/>
          <w:szCs w:val="24"/>
        </w:rPr>
        <w:t>u</w:t>
      </w:r>
      <w:r w:rsidRPr="006535EE">
        <w:rPr>
          <w:rFonts w:ascii="Times New Roman" w:hAnsi="Times New Roman" w:cs="Times New Roman"/>
          <w:sz w:val="24"/>
          <w:szCs w:val="24"/>
        </w:rPr>
        <w:t xml:space="preserve"> przez podmioty działające w branży budowlanej z preferencyjnej stawki podatku VAT przy usługach (obecnie 8%). Zgodnie z</w:t>
      </w:r>
      <w:r w:rsidR="00CD20C9">
        <w:rPr>
          <w:rFonts w:ascii="Times New Roman" w:hAnsi="Times New Roman" w:cs="Times New Roman"/>
          <w:sz w:val="24"/>
          <w:szCs w:val="24"/>
        </w:rPr>
        <w:t> </w:t>
      </w:r>
      <w:r w:rsidRPr="006535EE">
        <w:rPr>
          <w:rFonts w:ascii="Times New Roman" w:hAnsi="Times New Roman" w:cs="Times New Roman"/>
          <w:sz w:val="24"/>
          <w:szCs w:val="24"/>
        </w:rPr>
        <w:t>art.</w:t>
      </w:r>
      <w:r w:rsidR="00CD20C9">
        <w:rPr>
          <w:rFonts w:ascii="Times New Roman" w:hAnsi="Times New Roman" w:cs="Times New Roman"/>
          <w:sz w:val="24"/>
          <w:szCs w:val="24"/>
        </w:rPr>
        <w:t> </w:t>
      </w:r>
      <w:r w:rsidRPr="006535EE">
        <w:rPr>
          <w:rFonts w:ascii="Times New Roman" w:hAnsi="Times New Roman" w:cs="Times New Roman"/>
          <w:sz w:val="24"/>
          <w:szCs w:val="24"/>
        </w:rPr>
        <w:t>41 ust. 12 ustawy o VAT, tę stawkę podatku stosuje się do dostawy, budowy, remontu, modernizacji, termomodernizacji lub przebudowy obiektów budowlanych lub ich części zaliczonych do budownictwa objętego społecznym programem mieszkaniowym. Stosownie natomiast do art. 41 ust. 12a ww. ustawy przez tego rodzaju budownictwo ustawodawca nakazuje rozumieć obiekty budownictwa mieszkaniowego lub ich części, z wyłączeniem lokali użytkowych, oraz lokale mieszkalne w budynkach niemieszkalnych sklasyfikowanych w</w:t>
      </w:r>
      <w:r w:rsidR="00CD20C9">
        <w:rPr>
          <w:rFonts w:ascii="Times New Roman" w:hAnsi="Times New Roman" w:cs="Times New Roman"/>
          <w:sz w:val="24"/>
          <w:szCs w:val="24"/>
        </w:rPr>
        <w:t> </w:t>
      </w:r>
      <w:r w:rsidRPr="006535EE">
        <w:rPr>
          <w:rFonts w:ascii="Times New Roman" w:hAnsi="Times New Roman" w:cs="Times New Roman"/>
          <w:sz w:val="24"/>
          <w:szCs w:val="24"/>
        </w:rPr>
        <w:t>Polskiej Klasyfikacji Obiektów Budowlanych w dziale 12, a także obiekty sklasyfikowane w Polskiej Klasyfikacji Obiektów Budowlanych w klasie ex 1264 – wyłącznie budynki instytucji ochrony zdrowia świadczących usługi zakwaterowania z opieką lekarską i</w:t>
      </w:r>
      <w:r w:rsidR="00CD20C9">
        <w:rPr>
          <w:rFonts w:ascii="Times New Roman" w:hAnsi="Times New Roman" w:cs="Times New Roman"/>
          <w:sz w:val="24"/>
          <w:szCs w:val="24"/>
        </w:rPr>
        <w:t> </w:t>
      </w:r>
      <w:r w:rsidRPr="006535EE">
        <w:rPr>
          <w:rFonts w:ascii="Times New Roman" w:hAnsi="Times New Roman" w:cs="Times New Roman"/>
          <w:sz w:val="24"/>
          <w:szCs w:val="24"/>
        </w:rPr>
        <w:t>pielęgniarską, zwłaszcza dla ludzi starszych i niepełnosprawnych. Do budownictwa takiego nie zalicza się natomiast budynków mieszkalnych jednorodzinnych, których powierzchnia użytkowa przekracza 300 m², a także lokali mieszkalnych, których powierzchnia użytkowa przekracza 150 m². W przypadku budownictwa mieszkaniowego o powierzchni przekraczającej wskazane powyżej limity, preferencyjną stawkę VAT stosuje się tylko do części podstawy opodatkowania odpowiadającej udziałowi powierzchni użytkowej kwalifikującej się do budownictwa objętego społecznym programem mieszkaniowym w całkowitej powierzchni użytkowej.</w:t>
      </w:r>
    </w:p>
    <w:p w14:paraId="53F4FC04" w14:textId="225D293B" w:rsidR="006535EE" w:rsidRPr="006535EE"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Warunkiem zastosowania preferencyjnej stawki VAT przy remoncie, modernizacji czy przebudowie obiektów budownictwa mieszkaniowego jest spełnienie dwóch przesłanek. Po</w:t>
      </w:r>
      <w:r w:rsidR="008278C9">
        <w:rPr>
          <w:rFonts w:ascii="Times New Roman" w:hAnsi="Times New Roman" w:cs="Times New Roman"/>
          <w:sz w:val="24"/>
          <w:szCs w:val="24"/>
        </w:rPr>
        <w:t> </w:t>
      </w:r>
      <w:r w:rsidRPr="006535EE">
        <w:rPr>
          <w:rFonts w:ascii="Times New Roman" w:hAnsi="Times New Roman" w:cs="Times New Roman"/>
          <w:sz w:val="24"/>
          <w:szCs w:val="24"/>
        </w:rPr>
        <w:t>pierwsze, zakres wykonywanych czynności musi dotyczyć remontu, przebudowy bądź modernizacji. Po drugie, budynki lub ich części, których dotyczą te czynności, muszą być zaliczane do budownictwa objętego społecznym programem mieszkaniowym. Niespełnienie któregokolwiek z tych warunków powoduje, że transakcja nie może korzystać z preferencyjnej, 8% stawki VAT, a powinna być opodatkowana stawką podstawową 23%. Podmioty (sprzedawcy usługi) często, szczególnie w budynkach posiadających charakter mieszany, tj.</w:t>
      </w:r>
      <w:r w:rsidR="008278C9">
        <w:rPr>
          <w:rFonts w:ascii="Times New Roman" w:hAnsi="Times New Roman" w:cs="Times New Roman"/>
          <w:sz w:val="24"/>
          <w:szCs w:val="24"/>
        </w:rPr>
        <w:t> </w:t>
      </w:r>
      <w:r w:rsidRPr="006535EE">
        <w:rPr>
          <w:rFonts w:ascii="Times New Roman" w:hAnsi="Times New Roman" w:cs="Times New Roman"/>
          <w:sz w:val="24"/>
          <w:szCs w:val="24"/>
        </w:rPr>
        <w:t>mieszkalno-użytkowy, również w odniesieniu do usług realizowanych w lokalach użytkowych oraz usług wykonywanych dla podmiotów gospodarczych stosują stawkę obniżoną. Z preferencyjnej stawki korzystają również w odniesieniu do całej usługi, w</w:t>
      </w:r>
      <w:r w:rsidR="008278C9">
        <w:rPr>
          <w:rFonts w:ascii="Times New Roman" w:hAnsi="Times New Roman" w:cs="Times New Roman"/>
          <w:sz w:val="24"/>
          <w:szCs w:val="24"/>
        </w:rPr>
        <w:t> </w:t>
      </w:r>
      <w:r w:rsidRPr="006535EE">
        <w:rPr>
          <w:rFonts w:ascii="Times New Roman" w:hAnsi="Times New Roman" w:cs="Times New Roman"/>
          <w:sz w:val="24"/>
          <w:szCs w:val="24"/>
        </w:rPr>
        <w:t>warunkach gdy został przekroczony metraż budynku mieszkalnego jednorodzinnego lub lokalu mieszkalnego.</w:t>
      </w:r>
    </w:p>
    <w:p w14:paraId="7874F52C" w14:textId="77777777" w:rsidR="006535EE" w:rsidRPr="006535EE" w:rsidRDefault="006535EE" w:rsidP="00F65683">
      <w:pPr>
        <w:spacing w:after="0" w:line="240" w:lineRule="auto"/>
        <w:jc w:val="both"/>
        <w:rPr>
          <w:rFonts w:ascii="Times New Roman" w:hAnsi="Times New Roman" w:cs="Times New Roman"/>
          <w:sz w:val="24"/>
          <w:szCs w:val="24"/>
        </w:rPr>
      </w:pPr>
      <w:r w:rsidRPr="006535EE">
        <w:rPr>
          <w:rFonts w:ascii="Times New Roman" w:hAnsi="Times New Roman" w:cs="Times New Roman"/>
          <w:sz w:val="24"/>
          <w:szCs w:val="24"/>
        </w:rPr>
        <w:t>Proceder nieuprawnionego stosowania preferencyjnej stawki zachodzi również bardzo często w warunkach braku faktycznego świadczenia usługi budowlanej. Zjawisko najczęściej występuje przy równoczesnej sprzedaży przez małe (tzw. „garażowe”) firmy inwestorom indywidualnym takich materiałów, jak: pokrycia dachowe, materiały ścienne, stropy, oraz materiały elewacyjne, którym towarzyszy jednocześnie wykonanie usługi, do której w istocie nigdy nie dochodzi. Sprzedaż materiałów wraz z usługą następuje po znacznie niższych od rynkowych cenach (cena usługi stanowi ok. 5-10% rzeczywistej ceny oferowanej na rynku), co stanowi silną zachętę dla inwestorów indywidualnych do skorzystania z takiej oferty. W ramach procederu identyfikuje się trzy warianty działania:</w:t>
      </w:r>
    </w:p>
    <w:p w14:paraId="45DDD597" w14:textId="0D3612F2" w:rsidR="008278C9" w:rsidRPr="008278C9" w:rsidRDefault="008278C9" w:rsidP="00F65683">
      <w:pPr>
        <w:pStyle w:val="Akapitzlist"/>
        <w:numPr>
          <w:ilvl w:val="0"/>
          <w:numId w:val="24"/>
        </w:numPr>
        <w:spacing w:line="240" w:lineRule="auto"/>
        <w:jc w:val="both"/>
        <w:rPr>
          <w:rFonts w:ascii="Times New Roman" w:hAnsi="Times New Roman" w:cs="Times New Roman"/>
          <w:sz w:val="24"/>
          <w:szCs w:val="24"/>
        </w:rPr>
      </w:pPr>
      <w:r w:rsidRPr="008278C9">
        <w:rPr>
          <w:rFonts w:ascii="Times New Roman" w:hAnsi="Times New Roman" w:cs="Times New Roman"/>
          <w:sz w:val="24"/>
          <w:szCs w:val="24"/>
        </w:rPr>
        <w:t>Sprzedawca, dokonując sprzedaży materiałów, wystawia klientowi fakturę ze stawką VAT 8%, najczęściej sporządzając jednocześnie fikcyjną umowę o wykonanie odpowiednich robót budowlanych. Następnie sprzedawca zawiera fikcyjną umowę z uczestniczącym w</w:t>
      </w:r>
      <w:r>
        <w:rPr>
          <w:rFonts w:ascii="Times New Roman" w:hAnsi="Times New Roman" w:cs="Times New Roman"/>
          <w:sz w:val="24"/>
          <w:szCs w:val="24"/>
        </w:rPr>
        <w:t> </w:t>
      </w:r>
      <w:r w:rsidRPr="008278C9">
        <w:rPr>
          <w:rFonts w:ascii="Times New Roman" w:hAnsi="Times New Roman" w:cs="Times New Roman"/>
          <w:sz w:val="24"/>
          <w:szCs w:val="24"/>
        </w:rPr>
        <w:t>procederze wykonawcą na wykonanie danej usługi budowlanej, otrzymując z tego tytułu fakturę, przy czym wykonawcy w rzeczywistości płaci wyłącznie kwotę podatku VAT i</w:t>
      </w:r>
      <w:r>
        <w:rPr>
          <w:rFonts w:ascii="Times New Roman" w:hAnsi="Times New Roman" w:cs="Times New Roman"/>
          <w:sz w:val="24"/>
          <w:szCs w:val="24"/>
        </w:rPr>
        <w:t> </w:t>
      </w:r>
      <w:r w:rsidRPr="008278C9">
        <w:rPr>
          <w:rFonts w:ascii="Times New Roman" w:hAnsi="Times New Roman" w:cs="Times New Roman"/>
          <w:sz w:val="24"/>
          <w:szCs w:val="24"/>
        </w:rPr>
        <w:t>podatku dochodowego. W konsekwencji sprzedawca uzyskuje wyższą marżę na transakcji. Zaniża jednocześnie swój przychód (fikcyjna faktura wykonawcy) i pomniejsza VAT należny o 15% (23%-8%), co finalnie wpływa na uszczuplenia w podatku dochodowym oraz w podatku VAT. Usługa końcowo wykonywana jest w ramach tzw.</w:t>
      </w:r>
      <w:r>
        <w:rPr>
          <w:rFonts w:ascii="Times New Roman" w:hAnsi="Times New Roman" w:cs="Times New Roman"/>
          <w:sz w:val="24"/>
          <w:szCs w:val="24"/>
        </w:rPr>
        <w:t> </w:t>
      </w:r>
      <w:r w:rsidRPr="008278C9">
        <w:rPr>
          <w:rFonts w:ascii="Times New Roman" w:hAnsi="Times New Roman" w:cs="Times New Roman"/>
          <w:sz w:val="24"/>
          <w:szCs w:val="24"/>
        </w:rPr>
        <w:t>szarej strefy.</w:t>
      </w:r>
    </w:p>
    <w:p w14:paraId="12FE8699" w14:textId="36884BE0" w:rsidR="006535EE" w:rsidRPr="008278C9" w:rsidRDefault="006535EE" w:rsidP="00F65683">
      <w:pPr>
        <w:pStyle w:val="Akapitzlist"/>
        <w:numPr>
          <w:ilvl w:val="0"/>
          <w:numId w:val="24"/>
        </w:numPr>
        <w:spacing w:line="240" w:lineRule="auto"/>
        <w:jc w:val="both"/>
        <w:rPr>
          <w:rFonts w:ascii="Times New Roman" w:hAnsi="Times New Roman" w:cs="Times New Roman"/>
          <w:sz w:val="24"/>
          <w:szCs w:val="24"/>
        </w:rPr>
      </w:pPr>
      <w:r w:rsidRPr="008278C9">
        <w:rPr>
          <w:rFonts w:ascii="Times New Roman" w:hAnsi="Times New Roman" w:cs="Times New Roman"/>
          <w:sz w:val="24"/>
          <w:szCs w:val="24"/>
        </w:rPr>
        <w:t>Sprzedawca spisuje z klientem (inwestorem) umowę o wykonanie usługi budowlanej i</w:t>
      </w:r>
      <w:r w:rsidR="008278C9">
        <w:rPr>
          <w:rFonts w:ascii="Times New Roman" w:hAnsi="Times New Roman" w:cs="Times New Roman"/>
          <w:sz w:val="24"/>
          <w:szCs w:val="24"/>
        </w:rPr>
        <w:t> </w:t>
      </w:r>
      <w:r w:rsidRPr="008278C9">
        <w:rPr>
          <w:rFonts w:ascii="Times New Roman" w:hAnsi="Times New Roman" w:cs="Times New Roman"/>
          <w:sz w:val="24"/>
          <w:szCs w:val="24"/>
        </w:rPr>
        <w:t>dokonuje jednocześnie sprzedaży materiałów ze stawk</w:t>
      </w:r>
      <w:r w:rsidR="00783827">
        <w:rPr>
          <w:rFonts w:ascii="Times New Roman" w:hAnsi="Times New Roman" w:cs="Times New Roman"/>
          <w:sz w:val="24"/>
          <w:szCs w:val="24"/>
        </w:rPr>
        <w:t>ą</w:t>
      </w:r>
      <w:r w:rsidRPr="008278C9">
        <w:rPr>
          <w:rFonts w:ascii="Times New Roman" w:hAnsi="Times New Roman" w:cs="Times New Roman"/>
          <w:sz w:val="24"/>
          <w:szCs w:val="24"/>
        </w:rPr>
        <w:t xml:space="preserve"> VAT 8%. Zdarza się również, że</w:t>
      </w:r>
      <w:r w:rsidR="008278C9">
        <w:rPr>
          <w:rFonts w:ascii="Times New Roman" w:hAnsi="Times New Roman" w:cs="Times New Roman"/>
          <w:sz w:val="24"/>
          <w:szCs w:val="24"/>
        </w:rPr>
        <w:t> </w:t>
      </w:r>
      <w:r w:rsidRPr="008278C9">
        <w:rPr>
          <w:rFonts w:ascii="Times New Roman" w:hAnsi="Times New Roman" w:cs="Times New Roman"/>
          <w:sz w:val="24"/>
          <w:szCs w:val="24"/>
        </w:rPr>
        <w:t>nie spisuje żadnych umów i sprzedaje z preferencyjną stawką VAT. Usługa nie jest w</w:t>
      </w:r>
      <w:r w:rsidR="008278C9">
        <w:rPr>
          <w:rFonts w:ascii="Times New Roman" w:hAnsi="Times New Roman" w:cs="Times New Roman"/>
          <w:sz w:val="24"/>
          <w:szCs w:val="24"/>
        </w:rPr>
        <w:t> </w:t>
      </w:r>
      <w:r w:rsidRPr="008278C9">
        <w:rPr>
          <w:rFonts w:ascii="Times New Roman" w:hAnsi="Times New Roman" w:cs="Times New Roman"/>
          <w:sz w:val="24"/>
          <w:szCs w:val="24"/>
        </w:rPr>
        <w:t>rzeczywistości wykonywana. Faktyczna usługa budowlana wykonana jest następnie w</w:t>
      </w:r>
      <w:r w:rsidR="008278C9">
        <w:rPr>
          <w:rFonts w:ascii="Times New Roman" w:hAnsi="Times New Roman" w:cs="Times New Roman"/>
          <w:sz w:val="24"/>
          <w:szCs w:val="24"/>
        </w:rPr>
        <w:t> </w:t>
      </w:r>
      <w:r w:rsidRPr="008278C9">
        <w:rPr>
          <w:rFonts w:ascii="Times New Roman" w:hAnsi="Times New Roman" w:cs="Times New Roman"/>
          <w:sz w:val="24"/>
          <w:szCs w:val="24"/>
        </w:rPr>
        <w:t>ramach tzw. „szarej strefy” przez inny podmiot.</w:t>
      </w:r>
    </w:p>
    <w:p w14:paraId="02C46E0F" w14:textId="5646ED6D" w:rsidR="008278C9" w:rsidRPr="008278C9" w:rsidRDefault="008278C9" w:rsidP="00F65683">
      <w:pPr>
        <w:pStyle w:val="Akapitzlist"/>
        <w:numPr>
          <w:ilvl w:val="0"/>
          <w:numId w:val="24"/>
        </w:numPr>
        <w:spacing w:line="240" w:lineRule="auto"/>
        <w:jc w:val="both"/>
        <w:rPr>
          <w:rFonts w:ascii="Times New Roman" w:hAnsi="Times New Roman" w:cs="Times New Roman"/>
          <w:sz w:val="24"/>
          <w:szCs w:val="24"/>
        </w:rPr>
      </w:pPr>
      <w:r w:rsidRPr="008278C9">
        <w:rPr>
          <w:rFonts w:ascii="Times New Roman" w:hAnsi="Times New Roman" w:cs="Times New Roman"/>
          <w:sz w:val="24"/>
          <w:szCs w:val="24"/>
        </w:rPr>
        <w:t>Sprzedawca dokonuje sprzedaży materiałów ze stawką VAT 8%, bez wystawiania klientowi dowodu sprzedaży, uzyskując wysoką marżę z transakcji. Następnie „sprzedaje” fakturę uczestniczącemu w procederze deweloperowi lub firmie budowlanej za kwotę o</w:t>
      </w:r>
      <w:r>
        <w:rPr>
          <w:rFonts w:ascii="Times New Roman" w:hAnsi="Times New Roman" w:cs="Times New Roman"/>
          <w:sz w:val="24"/>
          <w:szCs w:val="24"/>
        </w:rPr>
        <w:t> </w:t>
      </w:r>
      <w:r w:rsidRPr="008278C9">
        <w:rPr>
          <w:rFonts w:ascii="Times New Roman" w:hAnsi="Times New Roman" w:cs="Times New Roman"/>
          <w:sz w:val="24"/>
          <w:szCs w:val="24"/>
        </w:rPr>
        <w:t>ok</w:t>
      </w:r>
      <w:r>
        <w:rPr>
          <w:rFonts w:ascii="Times New Roman" w:hAnsi="Times New Roman" w:cs="Times New Roman"/>
          <w:sz w:val="24"/>
          <w:szCs w:val="24"/>
        </w:rPr>
        <w:t>oło </w:t>
      </w:r>
      <w:r w:rsidRPr="008278C9">
        <w:rPr>
          <w:rFonts w:ascii="Times New Roman" w:hAnsi="Times New Roman" w:cs="Times New Roman"/>
          <w:sz w:val="24"/>
          <w:szCs w:val="24"/>
        </w:rPr>
        <w:t>3% przewyższającą cenę zakupu materiałów. Od kupca faktury sprzedawca otrzymuje kwotę odpowiadającej podatkowi VAT, którą kupiec faktury odliczy sobie od podatku należnego, pomniejszając jednocześnie podatek dochodowy.</w:t>
      </w:r>
    </w:p>
    <w:p w14:paraId="10E4BF02" w14:textId="77777777" w:rsidR="006535EE" w:rsidRPr="006535EE" w:rsidRDefault="006535EE" w:rsidP="00F65683">
      <w:pPr>
        <w:spacing w:after="0" w:line="240" w:lineRule="auto"/>
        <w:jc w:val="both"/>
        <w:rPr>
          <w:rFonts w:ascii="Times New Roman" w:hAnsi="Times New Roman" w:cs="Times New Roman"/>
          <w:sz w:val="24"/>
          <w:szCs w:val="24"/>
        </w:rPr>
      </w:pPr>
      <w:r w:rsidRPr="006535EE">
        <w:rPr>
          <w:rFonts w:ascii="Times New Roman" w:hAnsi="Times New Roman" w:cs="Times New Roman"/>
          <w:sz w:val="24"/>
          <w:szCs w:val="24"/>
        </w:rPr>
        <w:t>Znamiona powyższego procederu to:</w:t>
      </w:r>
    </w:p>
    <w:p w14:paraId="03536917" w14:textId="646A9DA2" w:rsidR="006535EE" w:rsidRPr="006559BD" w:rsidRDefault="006535EE" w:rsidP="00F65683">
      <w:pPr>
        <w:pStyle w:val="Akapitzlist"/>
        <w:numPr>
          <w:ilvl w:val="0"/>
          <w:numId w:val="25"/>
        </w:numPr>
        <w:spacing w:after="0" w:line="240" w:lineRule="auto"/>
        <w:jc w:val="both"/>
        <w:rPr>
          <w:rFonts w:ascii="Times New Roman" w:hAnsi="Times New Roman" w:cs="Times New Roman"/>
          <w:sz w:val="24"/>
          <w:szCs w:val="24"/>
        </w:rPr>
      </w:pPr>
      <w:r w:rsidRPr="006559BD">
        <w:rPr>
          <w:rFonts w:ascii="Times New Roman" w:hAnsi="Times New Roman" w:cs="Times New Roman"/>
          <w:sz w:val="24"/>
          <w:szCs w:val="24"/>
        </w:rPr>
        <w:t>niska cena usługi, bardzo istotnie odbiegająca od poziomu cen rynkowych,</w:t>
      </w:r>
    </w:p>
    <w:p w14:paraId="31F355D9" w14:textId="380D6617" w:rsidR="006535EE" w:rsidRPr="006559BD" w:rsidRDefault="006535EE" w:rsidP="00F65683">
      <w:pPr>
        <w:pStyle w:val="Akapitzlist"/>
        <w:numPr>
          <w:ilvl w:val="0"/>
          <w:numId w:val="25"/>
        </w:numPr>
        <w:spacing w:after="0" w:line="240" w:lineRule="auto"/>
        <w:jc w:val="both"/>
        <w:rPr>
          <w:rFonts w:ascii="Times New Roman" w:hAnsi="Times New Roman" w:cs="Times New Roman"/>
          <w:sz w:val="24"/>
          <w:szCs w:val="24"/>
        </w:rPr>
      </w:pPr>
      <w:r w:rsidRPr="006559BD">
        <w:rPr>
          <w:rFonts w:ascii="Times New Roman" w:hAnsi="Times New Roman" w:cs="Times New Roman"/>
          <w:sz w:val="24"/>
          <w:szCs w:val="24"/>
        </w:rPr>
        <w:t>brak wiedzy rzekomego wykonawca usługi, gdzie znajdują się inwestycje, których był wykonawcą,</w:t>
      </w:r>
    </w:p>
    <w:p w14:paraId="5F312C0A" w14:textId="5CE438C8" w:rsidR="006535EE" w:rsidRPr="006559BD" w:rsidRDefault="006535EE" w:rsidP="00F65683">
      <w:pPr>
        <w:pStyle w:val="Akapitzlist"/>
        <w:numPr>
          <w:ilvl w:val="0"/>
          <w:numId w:val="25"/>
        </w:numPr>
        <w:spacing w:after="0" w:line="240" w:lineRule="auto"/>
        <w:jc w:val="both"/>
        <w:rPr>
          <w:rFonts w:ascii="Times New Roman" w:hAnsi="Times New Roman" w:cs="Times New Roman"/>
          <w:sz w:val="24"/>
          <w:szCs w:val="24"/>
        </w:rPr>
      </w:pPr>
      <w:r w:rsidRPr="006559BD">
        <w:rPr>
          <w:rFonts w:ascii="Times New Roman" w:hAnsi="Times New Roman" w:cs="Times New Roman"/>
          <w:sz w:val="24"/>
          <w:szCs w:val="24"/>
        </w:rPr>
        <w:t>brak wiedzy inwestora, jaki konkretnie podmiot był wykonawcą, jakich sprzętów używał, jakimi pojazdami się poruszał,</w:t>
      </w:r>
    </w:p>
    <w:p w14:paraId="7C73740A" w14:textId="298A2ECA" w:rsidR="006535EE" w:rsidRPr="006559BD" w:rsidRDefault="006535EE" w:rsidP="00F65683">
      <w:pPr>
        <w:pStyle w:val="Akapitzlist"/>
        <w:numPr>
          <w:ilvl w:val="0"/>
          <w:numId w:val="25"/>
        </w:numPr>
        <w:spacing w:after="0" w:line="240" w:lineRule="auto"/>
        <w:jc w:val="both"/>
        <w:rPr>
          <w:rFonts w:ascii="Times New Roman" w:hAnsi="Times New Roman" w:cs="Times New Roman"/>
          <w:sz w:val="24"/>
          <w:szCs w:val="24"/>
        </w:rPr>
      </w:pPr>
      <w:r w:rsidRPr="006559BD">
        <w:rPr>
          <w:rFonts w:ascii="Times New Roman" w:hAnsi="Times New Roman" w:cs="Times New Roman"/>
          <w:sz w:val="24"/>
          <w:szCs w:val="24"/>
        </w:rPr>
        <w:t>brak pisemnej umowy sprzedawcy z inwestorem na wykonanie usługi,</w:t>
      </w:r>
    </w:p>
    <w:p w14:paraId="74379FDC" w14:textId="64AF5CFE" w:rsidR="006535EE" w:rsidRPr="006559BD" w:rsidRDefault="006535EE" w:rsidP="00F65683">
      <w:pPr>
        <w:pStyle w:val="Akapitzlist"/>
        <w:numPr>
          <w:ilvl w:val="0"/>
          <w:numId w:val="25"/>
        </w:numPr>
        <w:spacing w:after="120" w:line="240" w:lineRule="auto"/>
        <w:jc w:val="both"/>
        <w:rPr>
          <w:rFonts w:ascii="Times New Roman" w:hAnsi="Times New Roman" w:cs="Times New Roman"/>
          <w:sz w:val="24"/>
          <w:szCs w:val="24"/>
        </w:rPr>
      </w:pPr>
      <w:r w:rsidRPr="006559BD">
        <w:rPr>
          <w:rFonts w:ascii="Times New Roman" w:hAnsi="Times New Roman" w:cs="Times New Roman"/>
          <w:sz w:val="24"/>
          <w:szCs w:val="24"/>
        </w:rPr>
        <w:t>brak pisemnej umowy sprzedawcy z podwykonawcą, protokołu wprowadzenia na budowę oraz protokołu odbioru robót częściowych lub protokołu zdawczo</w:t>
      </w:r>
      <w:r w:rsidR="007009F2">
        <w:rPr>
          <w:rFonts w:ascii="Times New Roman" w:hAnsi="Times New Roman" w:cs="Times New Roman"/>
          <w:sz w:val="24"/>
          <w:szCs w:val="24"/>
        </w:rPr>
        <w:t>-</w:t>
      </w:r>
      <w:r w:rsidRPr="006559BD">
        <w:rPr>
          <w:rFonts w:ascii="Times New Roman" w:hAnsi="Times New Roman" w:cs="Times New Roman"/>
          <w:sz w:val="24"/>
          <w:szCs w:val="24"/>
        </w:rPr>
        <w:t>odbiorczego, a także innego tego typu dokumentów poświadczających rzeczywiste relacje między sprzedawcą, a podwykonawcą (przy rzekomym wykonywaniu robót przez podwykonawcę).</w:t>
      </w:r>
    </w:p>
    <w:p w14:paraId="14FCC16C" w14:textId="77777777" w:rsidR="006535EE" w:rsidRDefault="006535EE" w:rsidP="00F65683">
      <w:pPr>
        <w:spacing w:after="360" w:line="240" w:lineRule="auto"/>
        <w:jc w:val="both"/>
        <w:rPr>
          <w:rFonts w:ascii="Times New Roman" w:hAnsi="Times New Roman" w:cs="Times New Roman"/>
          <w:sz w:val="24"/>
          <w:szCs w:val="24"/>
        </w:rPr>
      </w:pPr>
      <w:r w:rsidRPr="006535EE">
        <w:rPr>
          <w:rFonts w:ascii="Times New Roman" w:hAnsi="Times New Roman" w:cs="Times New Roman"/>
          <w:sz w:val="24"/>
          <w:szCs w:val="24"/>
        </w:rPr>
        <w:t>Ryzyko identyfikowano u podatników pozostających we właściwości wszystkich urzędów skarbowych, przy czym najczęściej pojawiało się ono w przypadku pozostałych urzędów skarbowych.</w:t>
      </w:r>
    </w:p>
    <w:p w14:paraId="3F950182" w14:textId="3AD84B3F" w:rsidR="006535EE" w:rsidRPr="00783827" w:rsidRDefault="006535EE" w:rsidP="00F65683">
      <w:pPr>
        <w:pStyle w:val="Nagwek2"/>
        <w:numPr>
          <w:ilvl w:val="0"/>
          <w:numId w:val="2"/>
        </w:numPr>
        <w:spacing w:after="120" w:line="240" w:lineRule="auto"/>
        <w:jc w:val="both"/>
        <w:rPr>
          <w:b/>
        </w:rPr>
      </w:pPr>
      <w:bookmarkStart w:id="19" w:name="_Toc428775849"/>
      <w:r w:rsidRPr="00783827">
        <w:rPr>
          <w:b/>
        </w:rPr>
        <w:t>Ryzyko dokonywania pozornych transakcji celem generowania fikcyjnych kosztów uzyskania przychodu oraz podatku naliczonego innym podmiotom, w</w:t>
      </w:r>
      <w:r w:rsidR="00885BBD" w:rsidRPr="00783827">
        <w:rPr>
          <w:b/>
        </w:rPr>
        <w:t> </w:t>
      </w:r>
      <w:r w:rsidRPr="00783827">
        <w:rPr>
          <w:b/>
        </w:rPr>
        <w:t>tym w celu wyłudzenia zwrotu podatku od towarów i usług</w:t>
      </w:r>
      <w:bookmarkEnd w:id="19"/>
    </w:p>
    <w:p w14:paraId="5267B7AF" w14:textId="45B14095" w:rsidR="006535EE" w:rsidRPr="006535EE" w:rsidRDefault="006535EE" w:rsidP="00F65683">
      <w:pPr>
        <w:spacing w:after="0" w:line="240" w:lineRule="auto"/>
        <w:jc w:val="both"/>
        <w:rPr>
          <w:rFonts w:ascii="Times New Roman" w:hAnsi="Times New Roman" w:cs="Times New Roman"/>
          <w:sz w:val="24"/>
          <w:szCs w:val="24"/>
        </w:rPr>
      </w:pPr>
      <w:r w:rsidRPr="006535EE">
        <w:rPr>
          <w:rFonts w:ascii="Times New Roman" w:hAnsi="Times New Roman" w:cs="Times New Roman"/>
          <w:sz w:val="24"/>
          <w:szCs w:val="24"/>
        </w:rPr>
        <w:t xml:space="preserve">Ryzyko to </w:t>
      </w:r>
      <w:r w:rsidR="00783827">
        <w:rPr>
          <w:rFonts w:ascii="Times New Roman" w:hAnsi="Times New Roman" w:cs="Times New Roman"/>
          <w:sz w:val="24"/>
          <w:szCs w:val="24"/>
        </w:rPr>
        <w:t>stwierdzono</w:t>
      </w:r>
      <w:r w:rsidRPr="006535EE">
        <w:rPr>
          <w:rFonts w:ascii="Times New Roman" w:hAnsi="Times New Roman" w:cs="Times New Roman"/>
          <w:sz w:val="24"/>
          <w:szCs w:val="24"/>
        </w:rPr>
        <w:t xml:space="preserve"> w szczególności w podobsza</w:t>
      </w:r>
      <w:r>
        <w:rPr>
          <w:rFonts w:ascii="Times New Roman" w:hAnsi="Times New Roman" w:cs="Times New Roman"/>
          <w:sz w:val="24"/>
          <w:szCs w:val="24"/>
        </w:rPr>
        <w:t>rach</w:t>
      </w:r>
      <w:r w:rsidRPr="006535EE">
        <w:rPr>
          <w:rFonts w:ascii="Times New Roman" w:hAnsi="Times New Roman" w:cs="Times New Roman"/>
          <w:sz w:val="24"/>
          <w:szCs w:val="24"/>
        </w:rPr>
        <w:t>:</w:t>
      </w:r>
    </w:p>
    <w:p w14:paraId="6FFE9E25" w14:textId="504C16D4"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Działalność agentów sprzedaży,</w:t>
      </w:r>
    </w:p>
    <w:p w14:paraId="1605EF06" w14:textId="3C98A64F"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Doradztwo oraz inne usługi niematerialne,</w:t>
      </w:r>
    </w:p>
    <w:p w14:paraId="7CAF7D23" w14:textId="790C084B"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E handel i usługi informatyczne,</w:t>
      </w:r>
    </w:p>
    <w:p w14:paraId="73609E40" w14:textId="6DC23C36"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Handel elektroniką,</w:t>
      </w:r>
    </w:p>
    <w:p w14:paraId="5CA3E4E0" w14:textId="6AC4E457"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Handel hurtowy pozostały,</w:t>
      </w:r>
    </w:p>
    <w:p w14:paraId="1690474F" w14:textId="1E18BD91"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Handel produktami spożywczymi i tytoniem,</w:t>
      </w:r>
    </w:p>
    <w:p w14:paraId="380C64B0" w14:textId="7CA71046"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Nieruchomości,</w:t>
      </w:r>
    </w:p>
    <w:p w14:paraId="4E7F7640" w14:textId="14AFF79B"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Paliwa,</w:t>
      </w:r>
    </w:p>
    <w:p w14:paraId="0AE84594" w14:textId="3D20963C"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Produkcja i obrót metalami i produktami metalowymi,</w:t>
      </w:r>
    </w:p>
    <w:p w14:paraId="0BC1E775" w14:textId="27048361"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Produkcja materiałów budowlanych i usługi budowlane,</w:t>
      </w:r>
    </w:p>
    <w:p w14:paraId="28D918D2" w14:textId="3852CA4F"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Transport i logistyka,</w:t>
      </w:r>
    </w:p>
    <w:p w14:paraId="2B99F54D" w14:textId="2C02C24E" w:rsidR="006535EE" w:rsidRPr="00885BBD" w:rsidRDefault="006535EE" w:rsidP="00F65683">
      <w:pPr>
        <w:pStyle w:val="Akapitzlist"/>
        <w:numPr>
          <w:ilvl w:val="0"/>
          <w:numId w:val="26"/>
        </w:numPr>
        <w:spacing w:line="240" w:lineRule="auto"/>
        <w:jc w:val="both"/>
        <w:rPr>
          <w:rFonts w:ascii="Times New Roman" w:hAnsi="Times New Roman" w:cs="Times New Roman"/>
          <w:i/>
          <w:sz w:val="24"/>
          <w:szCs w:val="24"/>
        </w:rPr>
      </w:pPr>
      <w:r w:rsidRPr="00885BBD">
        <w:rPr>
          <w:rFonts w:ascii="Times New Roman" w:hAnsi="Times New Roman" w:cs="Times New Roman"/>
          <w:i/>
          <w:sz w:val="24"/>
          <w:szCs w:val="24"/>
        </w:rPr>
        <w:t>Usługi finansowe i ubezpieczeniowe.</w:t>
      </w:r>
    </w:p>
    <w:p w14:paraId="0528737E" w14:textId="77777777" w:rsidR="00582A10"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 xml:space="preserve">Podmioty działające </w:t>
      </w:r>
      <w:r w:rsidR="00273166">
        <w:rPr>
          <w:rFonts w:ascii="Times New Roman" w:hAnsi="Times New Roman" w:cs="Times New Roman"/>
          <w:sz w:val="24"/>
          <w:szCs w:val="24"/>
        </w:rPr>
        <w:t>w </w:t>
      </w:r>
      <w:r w:rsidRPr="006535EE">
        <w:rPr>
          <w:rFonts w:ascii="Times New Roman" w:hAnsi="Times New Roman" w:cs="Times New Roman"/>
          <w:sz w:val="24"/>
          <w:szCs w:val="24"/>
        </w:rPr>
        <w:t>w</w:t>
      </w:r>
      <w:r>
        <w:rPr>
          <w:rFonts w:ascii="Times New Roman" w:hAnsi="Times New Roman" w:cs="Times New Roman"/>
          <w:sz w:val="24"/>
          <w:szCs w:val="24"/>
        </w:rPr>
        <w:t xml:space="preserve">w. </w:t>
      </w:r>
      <w:r w:rsidRPr="006535EE">
        <w:rPr>
          <w:rFonts w:ascii="Times New Roman" w:hAnsi="Times New Roman" w:cs="Times New Roman"/>
          <w:sz w:val="24"/>
          <w:szCs w:val="24"/>
        </w:rPr>
        <w:t>podobszarach często świadczą na rzecz innych przedsiębiorców „usługi” generowania kosztów, wystawiając faktury VAT dokumentujące zdarzenia gospodarcze, które nie mają odzwierciedlenia w rzeczywistości. Faktury te są wystawiane bardzo często przez podmioty nieistniejące lub nierzetelne (m.in. wpisane do Bazy Podmiotów Szczególnych), nieposiadające sprzętu, magazynów, zasobów kadry pracowniczej, mające inny charakter prowadzonej działalności. Podmioty, które zachowują pozory legalności działania wystawiają faktury maj</w:t>
      </w:r>
      <w:r w:rsidRPr="00691C57">
        <w:rPr>
          <w:rFonts w:ascii="Times New Roman" w:hAnsi="Times New Roman" w:cs="Times New Roman"/>
          <w:sz w:val="24"/>
          <w:szCs w:val="24"/>
        </w:rPr>
        <w:t>ące na celu obniżenie podatku należnego lub podwyższenie kosztów uzyskania przychodów.</w:t>
      </w:r>
      <w:r w:rsidR="00582A10">
        <w:rPr>
          <w:rFonts w:ascii="Times New Roman" w:hAnsi="Times New Roman" w:cs="Times New Roman"/>
          <w:sz w:val="24"/>
          <w:szCs w:val="24"/>
        </w:rPr>
        <w:t xml:space="preserve"> </w:t>
      </w:r>
    </w:p>
    <w:p w14:paraId="54C23FAD" w14:textId="6603E8E2" w:rsidR="00DB381A" w:rsidRPr="006535EE" w:rsidRDefault="00582A10" w:rsidP="00F65683">
      <w:pPr>
        <w:spacing w:line="240" w:lineRule="auto"/>
        <w:jc w:val="both"/>
        <w:rPr>
          <w:rFonts w:ascii="Times New Roman" w:hAnsi="Times New Roman" w:cs="Times New Roman"/>
          <w:sz w:val="24"/>
          <w:szCs w:val="24"/>
        </w:rPr>
      </w:pPr>
      <w:r>
        <w:rPr>
          <w:rFonts w:ascii="Times New Roman" w:hAnsi="Times New Roman" w:cs="Times New Roman"/>
          <w:sz w:val="24"/>
          <w:szCs w:val="24"/>
        </w:rPr>
        <w:t>Jednocześnie wskazać należy, iż u</w:t>
      </w:r>
      <w:r w:rsidR="00DB381A" w:rsidRPr="00691C57">
        <w:rPr>
          <w:rFonts w:ascii="Times New Roman" w:hAnsi="Times New Roman" w:cs="Times New Roman"/>
          <w:sz w:val="24"/>
          <w:szCs w:val="24"/>
        </w:rPr>
        <w:t>staleni</w:t>
      </w:r>
      <w:r>
        <w:rPr>
          <w:rFonts w:ascii="Times New Roman" w:hAnsi="Times New Roman" w:cs="Times New Roman"/>
          <w:sz w:val="24"/>
          <w:szCs w:val="24"/>
        </w:rPr>
        <w:t>e</w:t>
      </w:r>
      <w:r w:rsidR="00DB381A" w:rsidRPr="00691C57">
        <w:rPr>
          <w:rFonts w:ascii="Times New Roman" w:hAnsi="Times New Roman" w:cs="Times New Roman"/>
          <w:sz w:val="24"/>
          <w:szCs w:val="24"/>
        </w:rPr>
        <w:t>, że dana faktura VAT został</w:t>
      </w:r>
      <w:r w:rsidR="00CA5E84">
        <w:rPr>
          <w:rFonts w:ascii="Times New Roman" w:hAnsi="Times New Roman" w:cs="Times New Roman"/>
          <w:sz w:val="24"/>
          <w:szCs w:val="24"/>
        </w:rPr>
        <w:t>a</w:t>
      </w:r>
      <w:r w:rsidR="00DB381A" w:rsidRPr="00691C57">
        <w:rPr>
          <w:rFonts w:ascii="Times New Roman" w:hAnsi="Times New Roman" w:cs="Times New Roman"/>
          <w:sz w:val="24"/>
          <w:szCs w:val="24"/>
        </w:rPr>
        <w:t xml:space="preserve"> wystawion</w:t>
      </w:r>
      <w:r w:rsidR="00CA5E84">
        <w:rPr>
          <w:rFonts w:ascii="Times New Roman" w:hAnsi="Times New Roman" w:cs="Times New Roman"/>
          <w:sz w:val="24"/>
          <w:szCs w:val="24"/>
        </w:rPr>
        <w:t>a</w:t>
      </w:r>
      <w:r w:rsidR="00DB381A" w:rsidRPr="00691C57">
        <w:rPr>
          <w:rFonts w:ascii="Times New Roman" w:hAnsi="Times New Roman" w:cs="Times New Roman"/>
          <w:sz w:val="24"/>
          <w:szCs w:val="24"/>
        </w:rPr>
        <w:t xml:space="preserve"> w celu upozorowania przeprowadzenia transakcji, która faktycznie została dokonana jedynie „na</w:t>
      </w:r>
      <w:r w:rsidR="00CA5E84">
        <w:rPr>
          <w:rFonts w:ascii="Times New Roman" w:hAnsi="Times New Roman" w:cs="Times New Roman"/>
          <w:sz w:val="24"/>
          <w:szCs w:val="24"/>
        </w:rPr>
        <w:t> </w:t>
      </w:r>
      <w:r w:rsidR="00DB381A" w:rsidRPr="00691C57">
        <w:rPr>
          <w:rFonts w:ascii="Times New Roman" w:hAnsi="Times New Roman" w:cs="Times New Roman"/>
          <w:sz w:val="24"/>
          <w:szCs w:val="24"/>
        </w:rPr>
        <w:t>papierze”</w:t>
      </w:r>
      <w:r w:rsidR="00CA5E84">
        <w:rPr>
          <w:rFonts w:ascii="Times New Roman" w:hAnsi="Times New Roman" w:cs="Times New Roman"/>
          <w:sz w:val="24"/>
          <w:szCs w:val="24"/>
        </w:rPr>
        <w:t>,</w:t>
      </w:r>
      <w:r w:rsidR="00DB381A" w:rsidRPr="00691C57">
        <w:rPr>
          <w:rFonts w:ascii="Times New Roman" w:hAnsi="Times New Roman" w:cs="Times New Roman"/>
          <w:sz w:val="24"/>
          <w:szCs w:val="24"/>
        </w:rPr>
        <w:t xml:space="preserve"> nie zw</w:t>
      </w:r>
      <w:r>
        <w:rPr>
          <w:rFonts w:ascii="Times New Roman" w:hAnsi="Times New Roman" w:cs="Times New Roman"/>
          <w:sz w:val="24"/>
          <w:szCs w:val="24"/>
        </w:rPr>
        <w:t>a</w:t>
      </w:r>
      <w:r w:rsidR="00DB381A" w:rsidRPr="00691C57">
        <w:rPr>
          <w:rFonts w:ascii="Times New Roman" w:hAnsi="Times New Roman" w:cs="Times New Roman"/>
          <w:sz w:val="24"/>
          <w:szCs w:val="24"/>
        </w:rPr>
        <w:t>lni</w:t>
      </w:r>
      <w:r>
        <w:rPr>
          <w:rFonts w:ascii="Times New Roman" w:hAnsi="Times New Roman" w:cs="Times New Roman"/>
          <w:sz w:val="24"/>
          <w:szCs w:val="24"/>
        </w:rPr>
        <w:t>a</w:t>
      </w:r>
      <w:r w:rsidR="00DB381A" w:rsidRPr="00691C57">
        <w:rPr>
          <w:rFonts w:ascii="Times New Roman" w:hAnsi="Times New Roman" w:cs="Times New Roman"/>
          <w:sz w:val="24"/>
          <w:szCs w:val="24"/>
        </w:rPr>
        <w:t xml:space="preserve"> wystawcy z obowiązku zapłaty podatku należnego, gdyż – po myśli art.</w:t>
      </w:r>
      <w:r w:rsidR="00CA5E84">
        <w:rPr>
          <w:rFonts w:ascii="Times New Roman" w:hAnsi="Times New Roman" w:cs="Times New Roman"/>
          <w:sz w:val="24"/>
          <w:szCs w:val="24"/>
        </w:rPr>
        <w:t> </w:t>
      </w:r>
      <w:r w:rsidR="00DB381A" w:rsidRPr="00691C57">
        <w:rPr>
          <w:rFonts w:ascii="Times New Roman" w:hAnsi="Times New Roman" w:cs="Times New Roman"/>
          <w:sz w:val="24"/>
          <w:szCs w:val="24"/>
        </w:rPr>
        <w:t>108 ust. 1 ustawy o VAT – również w części dotyczącej czynności pozornych osoba prawna, jednostka organizacyjna niemająca osobowości prawnej lub osoba fizyczna wystawiająca fakturę, w</w:t>
      </w:r>
      <w:r>
        <w:rPr>
          <w:rFonts w:ascii="Times New Roman" w:hAnsi="Times New Roman" w:cs="Times New Roman"/>
          <w:sz w:val="24"/>
          <w:szCs w:val="24"/>
        </w:rPr>
        <w:t> </w:t>
      </w:r>
      <w:r w:rsidR="00DB381A" w:rsidRPr="00691C57">
        <w:rPr>
          <w:rFonts w:ascii="Times New Roman" w:hAnsi="Times New Roman" w:cs="Times New Roman"/>
          <w:sz w:val="24"/>
          <w:szCs w:val="24"/>
        </w:rPr>
        <w:t>której wykaże kwotę podatku, jest obowiązana do jego zapłaty.</w:t>
      </w:r>
    </w:p>
    <w:p w14:paraId="3E68E02E" w14:textId="77777777" w:rsidR="006535EE" w:rsidRPr="006535EE"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Z reguły faktury te nie są ewidencjonowane. Mogą też służyć dla rozliczenia przez podmioty kosztów działań korupcyjnych.</w:t>
      </w:r>
    </w:p>
    <w:p w14:paraId="586D1DE0" w14:textId="24E73F78" w:rsidR="006535EE" w:rsidRPr="006535EE" w:rsidRDefault="006535EE" w:rsidP="00F65683">
      <w:pPr>
        <w:spacing w:line="240" w:lineRule="auto"/>
        <w:jc w:val="both"/>
        <w:rPr>
          <w:rFonts w:ascii="Times New Roman" w:hAnsi="Times New Roman" w:cs="Times New Roman"/>
          <w:sz w:val="24"/>
          <w:szCs w:val="24"/>
        </w:rPr>
      </w:pPr>
      <w:r w:rsidRPr="006535EE">
        <w:rPr>
          <w:rFonts w:ascii="Times New Roman" w:hAnsi="Times New Roman" w:cs="Times New Roman"/>
          <w:sz w:val="24"/>
          <w:szCs w:val="24"/>
        </w:rPr>
        <w:t xml:space="preserve">Niniejsze ryzyko jest szczególnie charakterystyczne dla podobszaru </w:t>
      </w:r>
      <w:r w:rsidRPr="006535EE">
        <w:rPr>
          <w:rFonts w:ascii="Times New Roman" w:hAnsi="Times New Roman" w:cs="Times New Roman"/>
          <w:i/>
          <w:sz w:val="24"/>
          <w:szCs w:val="24"/>
        </w:rPr>
        <w:t>Doradztwo oraz inne usługi niematerialne</w:t>
      </w:r>
      <w:r w:rsidRPr="006535EE">
        <w:rPr>
          <w:rFonts w:ascii="Times New Roman" w:hAnsi="Times New Roman" w:cs="Times New Roman"/>
          <w:sz w:val="24"/>
          <w:szCs w:val="24"/>
        </w:rPr>
        <w:t xml:space="preserve">. Źródłem nadużyć są przypadki deklarowania niemających odzwierciedlenia w rzeczywistości świadczeń związanych z działalnością podmiotów wykonujących w szczególności usługi doradcze, księgowe, badania rynku, usługi prawne, usługi reklamowe, zarządzania i kontroli, usługi rekrutacji pracowników i pozyskiwania personelu, gwarancji i poręczeń oraz świadczenia o podobnym charakterze. Niematerialny charakter świadczonych usług daje możliwość </w:t>
      </w:r>
      <w:r w:rsidR="001E4FDB">
        <w:rPr>
          <w:rFonts w:ascii="Times New Roman" w:hAnsi="Times New Roman" w:cs="Times New Roman"/>
          <w:sz w:val="24"/>
          <w:szCs w:val="24"/>
        </w:rPr>
        <w:t xml:space="preserve">dowolnego </w:t>
      </w:r>
      <w:r w:rsidRPr="006535EE">
        <w:rPr>
          <w:rFonts w:ascii="Times New Roman" w:hAnsi="Times New Roman" w:cs="Times New Roman"/>
          <w:sz w:val="24"/>
          <w:szCs w:val="24"/>
        </w:rPr>
        <w:t>kształtowania cen za świadczone usługi w celu zawyżania kosztów uzyskania przychodów kontrahenta.</w:t>
      </w:r>
    </w:p>
    <w:p w14:paraId="6D1FFA0E" w14:textId="77777777" w:rsidR="006535EE" w:rsidRPr="006535EE" w:rsidRDefault="006535EE" w:rsidP="00F65683">
      <w:pPr>
        <w:spacing w:after="0" w:line="240" w:lineRule="auto"/>
        <w:jc w:val="both"/>
        <w:rPr>
          <w:rFonts w:ascii="Times New Roman" w:hAnsi="Times New Roman" w:cs="Times New Roman"/>
          <w:i/>
          <w:sz w:val="24"/>
          <w:szCs w:val="24"/>
        </w:rPr>
      </w:pPr>
      <w:r w:rsidRPr="006535EE">
        <w:rPr>
          <w:rFonts w:ascii="Times New Roman" w:hAnsi="Times New Roman" w:cs="Times New Roman"/>
          <w:i/>
          <w:sz w:val="24"/>
          <w:szCs w:val="24"/>
        </w:rPr>
        <w:t>Handel elektroniką, Paliwa, Produkcja i obrót metalami i produktami metalowymi, Transport i logistyka</w:t>
      </w:r>
    </w:p>
    <w:p w14:paraId="5546DFE7" w14:textId="1CE269F4" w:rsidR="00492803" w:rsidRDefault="006535EE" w:rsidP="00F65683">
      <w:pPr>
        <w:spacing w:after="360" w:line="240" w:lineRule="auto"/>
        <w:jc w:val="both"/>
      </w:pPr>
      <w:r w:rsidRPr="006535EE">
        <w:rPr>
          <w:rFonts w:ascii="Times New Roman" w:hAnsi="Times New Roman" w:cs="Times New Roman"/>
          <w:sz w:val="24"/>
          <w:szCs w:val="24"/>
        </w:rPr>
        <w:t>Działania podmiotów niezgodne z przepisami prawa mają na celu wykorzystanie konstrukcji rozliczenia podatku od towarów i usług do otrzymania zwrotu podatku od towarów i usług na rachunek bankowy</w:t>
      </w:r>
      <w:r w:rsidR="00DB381A" w:rsidRPr="006535EE">
        <w:rPr>
          <w:rFonts w:ascii="Times New Roman" w:hAnsi="Times New Roman" w:cs="Times New Roman"/>
          <w:sz w:val="24"/>
          <w:szCs w:val="24"/>
        </w:rPr>
        <w:t>,</w:t>
      </w:r>
      <w:r w:rsidRPr="006535EE">
        <w:rPr>
          <w:rFonts w:ascii="Times New Roman" w:hAnsi="Times New Roman" w:cs="Times New Roman"/>
          <w:sz w:val="24"/>
          <w:szCs w:val="24"/>
        </w:rPr>
        <w:t xml:space="preserve"> wykorzystując do tego cel</w:t>
      </w:r>
      <w:r w:rsidR="00321665">
        <w:rPr>
          <w:rFonts w:ascii="Times New Roman" w:hAnsi="Times New Roman" w:cs="Times New Roman"/>
          <w:sz w:val="24"/>
          <w:szCs w:val="24"/>
        </w:rPr>
        <w:t>u</w:t>
      </w:r>
      <w:r w:rsidRPr="006535EE">
        <w:rPr>
          <w:rFonts w:ascii="Times New Roman" w:hAnsi="Times New Roman" w:cs="Times New Roman"/>
          <w:sz w:val="24"/>
          <w:szCs w:val="24"/>
        </w:rPr>
        <w:t xml:space="preserve"> model zachowania świadczący o fikcyjności transakcji, w tym również transakcji wewnątrzwspólnotowych. W procederze tym dodatkowo uczestniczą przedsiębiorstwa transportowe, których zadaniem </w:t>
      </w:r>
      <w:r w:rsidR="00321665">
        <w:rPr>
          <w:rFonts w:ascii="Times New Roman" w:hAnsi="Times New Roman" w:cs="Times New Roman"/>
          <w:sz w:val="24"/>
          <w:szCs w:val="24"/>
        </w:rPr>
        <w:t>jest</w:t>
      </w:r>
      <w:r w:rsidRPr="006535EE">
        <w:rPr>
          <w:rFonts w:ascii="Times New Roman" w:hAnsi="Times New Roman" w:cs="Times New Roman"/>
          <w:sz w:val="24"/>
          <w:szCs w:val="24"/>
        </w:rPr>
        <w:t xml:space="preserve"> uprawdopodobnienie zawieranych transakcji (dokumenty dostawy, przewozowe). Podmiot dokonujący dostawy wewnątrzwspólnotowej wykazuje zwroty bezpośrednie podatku od towarów i usług. W</w:t>
      </w:r>
      <w:r w:rsidR="0066698E">
        <w:rPr>
          <w:rFonts w:ascii="Times New Roman" w:hAnsi="Times New Roman" w:cs="Times New Roman"/>
          <w:sz w:val="24"/>
          <w:szCs w:val="24"/>
        </w:rPr>
        <w:t> </w:t>
      </w:r>
      <w:r w:rsidRPr="006535EE">
        <w:rPr>
          <w:rFonts w:ascii="Times New Roman" w:hAnsi="Times New Roman" w:cs="Times New Roman"/>
          <w:sz w:val="24"/>
          <w:szCs w:val="24"/>
        </w:rPr>
        <w:t>rzeczywistości takowa dostawa nie została dokonana. Dodatkowa trudność w identyfikacji ww. ryzyka polega na tym, iż podmiot świadczący usługi transportowe na rzecz podmiotu działającego w ww. branży, jest np. już wyrejestrowany, brak możliwości przeprowadzenia u</w:t>
      </w:r>
      <w:r w:rsidR="0066698E">
        <w:rPr>
          <w:rFonts w:ascii="Times New Roman" w:hAnsi="Times New Roman" w:cs="Times New Roman"/>
          <w:sz w:val="24"/>
          <w:szCs w:val="24"/>
        </w:rPr>
        <w:t> </w:t>
      </w:r>
      <w:r w:rsidRPr="006535EE">
        <w:rPr>
          <w:rFonts w:ascii="Times New Roman" w:hAnsi="Times New Roman" w:cs="Times New Roman"/>
          <w:sz w:val="24"/>
          <w:szCs w:val="24"/>
        </w:rPr>
        <w:t xml:space="preserve"> tego podmiotu czynności, brak kontaktu z podmiotem. Takie działania utrudniają powiązania transakcji między podmiotami i utrudniają zapobieganiu oddziaływania na zmaterializowane ryzyko.</w:t>
      </w:r>
    </w:p>
    <w:p w14:paraId="1B087A3C" w14:textId="1ECCFFF5" w:rsidR="00492803" w:rsidRPr="00E0089F" w:rsidRDefault="00492803" w:rsidP="00F65683">
      <w:pPr>
        <w:pStyle w:val="Nagwek2"/>
        <w:numPr>
          <w:ilvl w:val="0"/>
          <w:numId w:val="2"/>
        </w:numPr>
        <w:spacing w:after="120" w:line="240" w:lineRule="auto"/>
        <w:jc w:val="both"/>
        <w:rPr>
          <w:b/>
        </w:rPr>
      </w:pPr>
      <w:bookmarkStart w:id="20" w:name="_Toc428775850"/>
      <w:r w:rsidRPr="00E0089F">
        <w:rPr>
          <w:b/>
        </w:rPr>
        <w:t>Ryzyko błędnego stosowania zryczałtowanej formy opodatkowania</w:t>
      </w:r>
      <w:bookmarkEnd w:id="20"/>
    </w:p>
    <w:p w14:paraId="2F46170E" w14:textId="4301FF0E" w:rsidR="00492803" w:rsidRPr="00492803" w:rsidRDefault="00492803" w:rsidP="00F65683">
      <w:pPr>
        <w:spacing w:line="240" w:lineRule="auto"/>
        <w:jc w:val="both"/>
        <w:rPr>
          <w:rFonts w:ascii="Times New Roman" w:hAnsi="Times New Roman" w:cs="Times New Roman"/>
          <w:sz w:val="24"/>
          <w:szCs w:val="24"/>
        </w:rPr>
      </w:pPr>
      <w:r w:rsidRPr="00492803">
        <w:rPr>
          <w:rFonts w:ascii="Times New Roman" w:hAnsi="Times New Roman" w:cs="Times New Roman"/>
          <w:sz w:val="24"/>
          <w:szCs w:val="24"/>
        </w:rPr>
        <w:t xml:space="preserve">Ryzyko zidentyfikowano w podobszarze: </w:t>
      </w:r>
      <w:r w:rsidRPr="00492803">
        <w:rPr>
          <w:rFonts w:ascii="Times New Roman" w:hAnsi="Times New Roman" w:cs="Times New Roman"/>
          <w:i/>
          <w:sz w:val="24"/>
          <w:szCs w:val="24"/>
        </w:rPr>
        <w:t>Produkcja materiałów budowlanych i usługi budowlane</w:t>
      </w:r>
      <w:r w:rsidR="00DE054C" w:rsidRPr="00DE054C">
        <w:rPr>
          <w:rFonts w:ascii="Times New Roman" w:hAnsi="Times New Roman" w:cs="Times New Roman"/>
          <w:sz w:val="24"/>
          <w:szCs w:val="24"/>
        </w:rPr>
        <w:t xml:space="preserve"> </w:t>
      </w:r>
      <w:r w:rsidR="00DE054C" w:rsidRPr="00492803">
        <w:rPr>
          <w:rFonts w:ascii="Times New Roman" w:hAnsi="Times New Roman" w:cs="Times New Roman"/>
          <w:sz w:val="24"/>
          <w:szCs w:val="24"/>
        </w:rPr>
        <w:t>w grupie podatników pozostających we właściwości pozostałych urzędów skarbowych</w:t>
      </w:r>
    </w:p>
    <w:p w14:paraId="2EEF43F6" w14:textId="77777777" w:rsidR="00492803" w:rsidRPr="00492803" w:rsidRDefault="00492803" w:rsidP="00F65683">
      <w:pPr>
        <w:spacing w:line="240" w:lineRule="auto"/>
        <w:jc w:val="both"/>
        <w:rPr>
          <w:rFonts w:ascii="Times New Roman" w:hAnsi="Times New Roman" w:cs="Times New Roman"/>
          <w:sz w:val="24"/>
          <w:szCs w:val="24"/>
        </w:rPr>
      </w:pPr>
      <w:r w:rsidRPr="00492803">
        <w:rPr>
          <w:rFonts w:ascii="Times New Roman" w:hAnsi="Times New Roman" w:cs="Times New Roman"/>
          <w:sz w:val="24"/>
          <w:szCs w:val="24"/>
        </w:rPr>
        <w:t>Ryzyko polega na rozliczaniu się w formie ryczałtu od przychodów ewidencjonowanych, pomimo faktycznego przekroczeniu granicy przychodu (tj. 150.000 euro) powodującej utratę uprawnienia do korzystania z tej uproszczonej formy opodatkowania, co stanowi naruszenie art. 6 ust. 4 pkt 1 ustawy z dnia 20 listopada 1998 r. o zryczałtowanym podatku dochodowym od niektórych przychodów osiąganych przez osoby fizyczne (Dz.U. z 1998 r. Nr 144, poz. 930 ze zm.).</w:t>
      </w:r>
    </w:p>
    <w:p w14:paraId="567EB17F" w14:textId="2954C5E5" w:rsidR="00492803" w:rsidRDefault="00492803" w:rsidP="00F65683">
      <w:pPr>
        <w:spacing w:line="240" w:lineRule="auto"/>
        <w:jc w:val="both"/>
        <w:rPr>
          <w:rFonts w:ascii="Times New Roman" w:hAnsi="Times New Roman" w:cs="Times New Roman"/>
          <w:sz w:val="24"/>
          <w:szCs w:val="24"/>
        </w:rPr>
      </w:pPr>
      <w:r w:rsidRPr="00492803">
        <w:rPr>
          <w:rFonts w:ascii="Times New Roman" w:hAnsi="Times New Roman" w:cs="Times New Roman"/>
          <w:sz w:val="24"/>
          <w:szCs w:val="24"/>
        </w:rPr>
        <w:t>Dla ukrycia rzeczywistego przekroczenia pułapu przychodu, podatnik wykazuje go w niższej niż faktycznie osiągniętej wysokości. W tym celu nie wykazuje go w pełnej wysokości wynikającej z wystawionych faktur (rachunków), bądź dokonuje czynności sprzedaży bez wystawiania faktur, albo też wystawia faktury na niepełne kwoty transakcji. Często nie wpłaca jednocześnie w ciągu roku zaliczek na podatek dochodowy, co utrudnia organom ustalenie, czy próg przychodu nie został przekroczony.</w:t>
      </w:r>
    </w:p>
    <w:p w14:paraId="3438B42A" w14:textId="77777777" w:rsidR="00DE054C" w:rsidRDefault="00DE054C" w:rsidP="00F65683">
      <w:pPr>
        <w:spacing w:line="240" w:lineRule="auto"/>
        <w:jc w:val="both"/>
        <w:rPr>
          <w:rFonts w:ascii="Times New Roman" w:hAnsi="Times New Roman" w:cs="Times New Roman"/>
          <w:sz w:val="24"/>
          <w:szCs w:val="24"/>
        </w:rPr>
      </w:pPr>
    </w:p>
    <w:p w14:paraId="556C3E43" w14:textId="74A4A201" w:rsidR="00492803" w:rsidRPr="00C452D0" w:rsidRDefault="008D163E" w:rsidP="008D163E">
      <w:pPr>
        <w:pStyle w:val="Nagwek2"/>
        <w:numPr>
          <w:ilvl w:val="0"/>
          <w:numId w:val="2"/>
        </w:numPr>
        <w:spacing w:after="120" w:line="240" w:lineRule="auto"/>
        <w:jc w:val="both"/>
        <w:rPr>
          <w:b/>
        </w:rPr>
      </w:pPr>
      <w:bookmarkStart w:id="21" w:name="_Toc428775851"/>
      <w:r>
        <w:rPr>
          <w:b/>
        </w:rPr>
        <w:t xml:space="preserve"> </w:t>
      </w:r>
      <w:r w:rsidR="002365B8" w:rsidRPr="00C452D0">
        <w:rPr>
          <w:b/>
        </w:rPr>
        <w:t xml:space="preserve">Ryzyko </w:t>
      </w:r>
      <w:r w:rsidRPr="00C452D0">
        <w:rPr>
          <w:b/>
        </w:rPr>
        <w:t xml:space="preserve">związane z transakcjami z podmiotami powiązanymi </w:t>
      </w:r>
      <w:bookmarkEnd w:id="21"/>
    </w:p>
    <w:p w14:paraId="349D641C" w14:textId="49154E36" w:rsidR="002365B8" w:rsidRPr="00C452D0" w:rsidRDefault="002365B8" w:rsidP="00F65683">
      <w:pPr>
        <w:spacing w:after="0" w:line="240" w:lineRule="auto"/>
        <w:rPr>
          <w:rFonts w:ascii="Times New Roman" w:hAnsi="Times New Roman" w:cs="Times New Roman"/>
          <w:sz w:val="24"/>
          <w:szCs w:val="24"/>
        </w:rPr>
      </w:pPr>
      <w:r w:rsidRPr="00C452D0">
        <w:rPr>
          <w:rFonts w:ascii="Times New Roman" w:hAnsi="Times New Roman" w:cs="Times New Roman"/>
          <w:sz w:val="24"/>
          <w:szCs w:val="24"/>
        </w:rPr>
        <w:t>Powyższe ryzyko</w:t>
      </w:r>
      <w:r w:rsidR="008D163E" w:rsidRPr="00C452D0">
        <w:rPr>
          <w:rFonts w:ascii="Times New Roman" w:hAnsi="Times New Roman" w:cs="Times New Roman"/>
          <w:sz w:val="24"/>
          <w:szCs w:val="24"/>
        </w:rPr>
        <w:t xml:space="preserve"> – na podstawie rodzaju wykrytych w toku kontroli błędów podatkowych – zidentyfikowano </w:t>
      </w:r>
      <w:r w:rsidRPr="00C452D0">
        <w:rPr>
          <w:rFonts w:ascii="Times New Roman" w:hAnsi="Times New Roman" w:cs="Times New Roman"/>
          <w:sz w:val="24"/>
          <w:szCs w:val="24"/>
        </w:rPr>
        <w:t>w następujących podobszarach:</w:t>
      </w:r>
    </w:p>
    <w:p w14:paraId="151662DC" w14:textId="12C0F71A" w:rsidR="002365B8" w:rsidRPr="00C452D0" w:rsidRDefault="002365B8" w:rsidP="00F65683">
      <w:pPr>
        <w:pStyle w:val="Akapitzlist"/>
        <w:numPr>
          <w:ilvl w:val="0"/>
          <w:numId w:val="31"/>
        </w:numPr>
        <w:spacing w:line="240" w:lineRule="auto"/>
        <w:rPr>
          <w:rFonts w:ascii="Times New Roman" w:hAnsi="Times New Roman" w:cs="Times New Roman"/>
          <w:i/>
          <w:sz w:val="24"/>
          <w:szCs w:val="24"/>
        </w:rPr>
      </w:pPr>
      <w:r w:rsidRPr="00C452D0">
        <w:rPr>
          <w:rFonts w:ascii="Times New Roman" w:hAnsi="Times New Roman" w:cs="Times New Roman"/>
          <w:i/>
          <w:sz w:val="24"/>
          <w:szCs w:val="24"/>
        </w:rPr>
        <w:t>Działalność agentów sprzedaży</w:t>
      </w:r>
      <w:r w:rsidR="00617474" w:rsidRPr="00C452D0">
        <w:rPr>
          <w:rFonts w:ascii="Times New Roman" w:hAnsi="Times New Roman" w:cs="Times New Roman"/>
          <w:i/>
          <w:sz w:val="24"/>
          <w:szCs w:val="24"/>
        </w:rPr>
        <w:t>,</w:t>
      </w:r>
      <w:r w:rsidRPr="00C452D0">
        <w:rPr>
          <w:rFonts w:ascii="Times New Roman" w:hAnsi="Times New Roman" w:cs="Times New Roman"/>
          <w:i/>
          <w:sz w:val="24"/>
          <w:szCs w:val="24"/>
        </w:rPr>
        <w:t xml:space="preserve"> </w:t>
      </w:r>
    </w:p>
    <w:p w14:paraId="16DB5FDA" w14:textId="0FD45353" w:rsidR="002365B8" w:rsidRPr="00C452D0" w:rsidRDefault="002365B8" w:rsidP="00F65683">
      <w:pPr>
        <w:pStyle w:val="Akapitzlist"/>
        <w:numPr>
          <w:ilvl w:val="0"/>
          <w:numId w:val="31"/>
        </w:numPr>
        <w:spacing w:line="240" w:lineRule="auto"/>
        <w:rPr>
          <w:rFonts w:ascii="Times New Roman" w:hAnsi="Times New Roman" w:cs="Times New Roman"/>
          <w:i/>
          <w:sz w:val="24"/>
          <w:szCs w:val="24"/>
        </w:rPr>
      </w:pPr>
      <w:r w:rsidRPr="00C452D0">
        <w:rPr>
          <w:rFonts w:ascii="Times New Roman" w:hAnsi="Times New Roman" w:cs="Times New Roman"/>
          <w:i/>
          <w:sz w:val="24"/>
          <w:szCs w:val="24"/>
        </w:rPr>
        <w:t>Handel elektroniką</w:t>
      </w:r>
      <w:r w:rsidR="00617474" w:rsidRPr="00C452D0">
        <w:rPr>
          <w:rFonts w:ascii="Times New Roman" w:hAnsi="Times New Roman" w:cs="Times New Roman"/>
          <w:i/>
          <w:sz w:val="24"/>
          <w:szCs w:val="24"/>
        </w:rPr>
        <w:t>,</w:t>
      </w:r>
    </w:p>
    <w:p w14:paraId="78F8DE12" w14:textId="559A97DD" w:rsidR="002365B8" w:rsidRPr="00C452D0" w:rsidRDefault="002365B8" w:rsidP="00F65683">
      <w:pPr>
        <w:pStyle w:val="Akapitzlist"/>
        <w:numPr>
          <w:ilvl w:val="0"/>
          <w:numId w:val="31"/>
        </w:numPr>
        <w:spacing w:line="240" w:lineRule="auto"/>
        <w:rPr>
          <w:rFonts w:ascii="Times New Roman" w:hAnsi="Times New Roman" w:cs="Times New Roman"/>
          <w:i/>
          <w:sz w:val="24"/>
          <w:szCs w:val="24"/>
        </w:rPr>
      </w:pPr>
      <w:r w:rsidRPr="00C452D0">
        <w:rPr>
          <w:rFonts w:ascii="Times New Roman" w:hAnsi="Times New Roman" w:cs="Times New Roman"/>
          <w:i/>
          <w:sz w:val="24"/>
          <w:szCs w:val="24"/>
        </w:rPr>
        <w:t>Handel hurtowy pozostały</w:t>
      </w:r>
      <w:r w:rsidR="00BD0129" w:rsidRPr="00C452D0">
        <w:rPr>
          <w:rFonts w:ascii="Times New Roman" w:hAnsi="Times New Roman" w:cs="Times New Roman"/>
          <w:i/>
          <w:sz w:val="24"/>
          <w:szCs w:val="24"/>
        </w:rPr>
        <w:t>,</w:t>
      </w:r>
    </w:p>
    <w:p w14:paraId="0BB2635D" w14:textId="26C0D227" w:rsidR="00BD0129" w:rsidRPr="00C452D0" w:rsidRDefault="00BD0129" w:rsidP="00F65683">
      <w:pPr>
        <w:pStyle w:val="Akapitzlist"/>
        <w:numPr>
          <w:ilvl w:val="0"/>
          <w:numId w:val="31"/>
        </w:numPr>
        <w:spacing w:line="240" w:lineRule="auto"/>
        <w:rPr>
          <w:rFonts w:ascii="Times New Roman" w:hAnsi="Times New Roman" w:cs="Times New Roman"/>
          <w:i/>
          <w:sz w:val="24"/>
          <w:szCs w:val="24"/>
        </w:rPr>
      </w:pPr>
      <w:r w:rsidRPr="00C452D0">
        <w:rPr>
          <w:rFonts w:ascii="Times New Roman" w:hAnsi="Times New Roman" w:cs="Times New Roman"/>
          <w:i/>
          <w:sz w:val="24"/>
          <w:szCs w:val="24"/>
        </w:rPr>
        <w:t>Motoryzacja.</w:t>
      </w:r>
    </w:p>
    <w:p w14:paraId="2B613DAE" w14:textId="6AF4F718" w:rsidR="00160008" w:rsidRPr="00C452D0" w:rsidRDefault="002E3635" w:rsidP="00F65683">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 xml:space="preserve">Ryzyko to polega </w:t>
      </w:r>
      <w:r w:rsidR="00ED71A0" w:rsidRPr="00C452D0">
        <w:rPr>
          <w:rFonts w:ascii="Times New Roman" w:hAnsi="Times New Roman" w:cs="Times New Roman"/>
          <w:sz w:val="24"/>
          <w:szCs w:val="24"/>
        </w:rPr>
        <w:t>na</w:t>
      </w:r>
      <w:r w:rsidR="008D163E" w:rsidRPr="00C452D0">
        <w:rPr>
          <w:rFonts w:ascii="Times New Roman" w:hAnsi="Times New Roman" w:cs="Times New Roman"/>
          <w:sz w:val="24"/>
          <w:szCs w:val="24"/>
        </w:rPr>
        <w:t xml:space="preserve"> wykorzystywaniu powiązań (kapitałowych, osobowych) istniejących pomiędzy różnymi podmiotami do takiego </w:t>
      </w:r>
      <w:r w:rsidR="00160008" w:rsidRPr="00C452D0">
        <w:rPr>
          <w:rFonts w:ascii="Times New Roman" w:hAnsi="Times New Roman" w:cs="Times New Roman"/>
          <w:sz w:val="24"/>
          <w:szCs w:val="24"/>
        </w:rPr>
        <w:t xml:space="preserve">formalnego </w:t>
      </w:r>
      <w:r w:rsidR="008D163E" w:rsidRPr="00C452D0">
        <w:rPr>
          <w:rFonts w:ascii="Times New Roman" w:hAnsi="Times New Roman" w:cs="Times New Roman"/>
          <w:sz w:val="24"/>
          <w:szCs w:val="24"/>
        </w:rPr>
        <w:t>operowania „strumieniami” przychodów i kosztów, by uzyskać</w:t>
      </w:r>
      <w:r w:rsidR="00160008" w:rsidRPr="00C452D0">
        <w:rPr>
          <w:rFonts w:ascii="Times New Roman" w:hAnsi="Times New Roman" w:cs="Times New Roman"/>
          <w:sz w:val="24"/>
          <w:szCs w:val="24"/>
        </w:rPr>
        <w:t xml:space="preserve"> – na pozór legalnie –</w:t>
      </w:r>
      <w:r w:rsidR="008D163E" w:rsidRPr="00C452D0">
        <w:rPr>
          <w:rFonts w:ascii="Times New Roman" w:hAnsi="Times New Roman" w:cs="Times New Roman"/>
          <w:sz w:val="24"/>
          <w:szCs w:val="24"/>
        </w:rPr>
        <w:t xml:space="preserve"> jak najniższe opodatkowanie </w:t>
      </w:r>
      <w:r w:rsidR="00160008" w:rsidRPr="00C452D0">
        <w:rPr>
          <w:rFonts w:ascii="Times New Roman" w:hAnsi="Times New Roman" w:cs="Times New Roman"/>
          <w:sz w:val="24"/>
          <w:szCs w:val="24"/>
        </w:rPr>
        <w:t>rzeczywiście osiągniętych dochodów.</w:t>
      </w:r>
      <w:r w:rsidR="008D163E" w:rsidRPr="00C452D0">
        <w:rPr>
          <w:rFonts w:ascii="Times New Roman" w:hAnsi="Times New Roman" w:cs="Times New Roman"/>
          <w:sz w:val="24"/>
          <w:szCs w:val="24"/>
        </w:rPr>
        <w:t xml:space="preserve"> </w:t>
      </w:r>
      <w:r w:rsidR="00160008" w:rsidRPr="00C452D0">
        <w:rPr>
          <w:rFonts w:ascii="Times New Roman" w:hAnsi="Times New Roman" w:cs="Times New Roman"/>
          <w:sz w:val="24"/>
          <w:szCs w:val="24"/>
        </w:rPr>
        <w:t xml:space="preserve">W ramach tego ryzyka zauważyć można pewną dwoistość stosowanych przez podatników rozwiązań w zależności od tego, czy mamy do czynienia z powiązaniami pomiędzy podmiotami krajowymi, czy też z powiązaniami transgranicznymi. </w:t>
      </w:r>
    </w:p>
    <w:p w14:paraId="0A7A9BB1" w14:textId="638CCA41" w:rsidR="002E3635" w:rsidRPr="00C452D0" w:rsidRDefault="00160008" w:rsidP="00F65683">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W obrocie krajowym daje się zaobserwować zjawisko</w:t>
      </w:r>
      <w:r w:rsidR="00ED71A0" w:rsidRPr="00C452D0">
        <w:rPr>
          <w:rFonts w:ascii="Times New Roman" w:hAnsi="Times New Roman" w:cs="Times New Roman"/>
          <w:sz w:val="24"/>
          <w:szCs w:val="24"/>
        </w:rPr>
        <w:t xml:space="preserve"> </w:t>
      </w:r>
      <w:r w:rsidRPr="00C452D0">
        <w:rPr>
          <w:rFonts w:ascii="Times New Roman" w:hAnsi="Times New Roman" w:cs="Times New Roman"/>
          <w:sz w:val="24"/>
          <w:szCs w:val="24"/>
        </w:rPr>
        <w:t xml:space="preserve">dążenia do </w:t>
      </w:r>
      <w:r w:rsidR="002E3635" w:rsidRPr="00C452D0">
        <w:rPr>
          <w:rFonts w:ascii="Times New Roman" w:hAnsi="Times New Roman" w:cs="Times New Roman"/>
          <w:sz w:val="24"/>
          <w:szCs w:val="24"/>
        </w:rPr>
        <w:t>bezpodstawn</w:t>
      </w:r>
      <w:r w:rsidRPr="00C452D0">
        <w:rPr>
          <w:rFonts w:ascii="Times New Roman" w:hAnsi="Times New Roman" w:cs="Times New Roman"/>
          <w:sz w:val="24"/>
          <w:szCs w:val="24"/>
        </w:rPr>
        <w:t>ego</w:t>
      </w:r>
      <w:r w:rsidR="002E3635" w:rsidRPr="00C452D0">
        <w:rPr>
          <w:rFonts w:ascii="Times New Roman" w:hAnsi="Times New Roman" w:cs="Times New Roman"/>
          <w:sz w:val="24"/>
          <w:szCs w:val="24"/>
        </w:rPr>
        <w:t xml:space="preserve"> obniż</w:t>
      </w:r>
      <w:r w:rsidRPr="00C452D0">
        <w:rPr>
          <w:rFonts w:ascii="Times New Roman" w:hAnsi="Times New Roman" w:cs="Times New Roman"/>
          <w:sz w:val="24"/>
          <w:szCs w:val="24"/>
        </w:rPr>
        <w:t>a</w:t>
      </w:r>
      <w:r w:rsidR="002E3635" w:rsidRPr="00C452D0">
        <w:rPr>
          <w:rFonts w:ascii="Times New Roman" w:hAnsi="Times New Roman" w:cs="Times New Roman"/>
          <w:sz w:val="24"/>
          <w:szCs w:val="24"/>
        </w:rPr>
        <w:t>ni</w:t>
      </w:r>
      <w:r w:rsidRPr="00C452D0">
        <w:rPr>
          <w:rFonts w:ascii="Times New Roman" w:hAnsi="Times New Roman" w:cs="Times New Roman"/>
          <w:sz w:val="24"/>
          <w:szCs w:val="24"/>
        </w:rPr>
        <w:t>a</w:t>
      </w:r>
      <w:r w:rsidR="002E3635" w:rsidRPr="00C452D0">
        <w:rPr>
          <w:rFonts w:ascii="Times New Roman" w:hAnsi="Times New Roman" w:cs="Times New Roman"/>
          <w:sz w:val="24"/>
          <w:szCs w:val="24"/>
        </w:rPr>
        <w:t xml:space="preserve"> zobowiązań podatkowych </w:t>
      </w:r>
      <w:r w:rsidR="00F4725B" w:rsidRPr="00C452D0">
        <w:rPr>
          <w:rFonts w:ascii="Times New Roman" w:hAnsi="Times New Roman" w:cs="Times New Roman"/>
          <w:sz w:val="24"/>
          <w:szCs w:val="24"/>
        </w:rPr>
        <w:t xml:space="preserve">poprzez </w:t>
      </w:r>
      <w:r w:rsidR="00ED71A0" w:rsidRPr="00C452D0">
        <w:rPr>
          <w:rFonts w:ascii="Times New Roman" w:hAnsi="Times New Roman" w:cs="Times New Roman"/>
          <w:sz w:val="24"/>
          <w:szCs w:val="24"/>
        </w:rPr>
        <w:t>generowan</w:t>
      </w:r>
      <w:r w:rsidR="00F4725B" w:rsidRPr="00C452D0">
        <w:rPr>
          <w:rFonts w:ascii="Times New Roman" w:hAnsi="Times New Roman" w:cs="Times New Roman"/>
          <w:sz w:val="24"/>
          <w:szCs w:val="24"/>
        </w:rPr>
        <w:t>i</w:t>
      </w:r>
      <w:r w:rsidR="00ED71A0" w:rsidRPr="00C452D0">
        <w:rPr>
          <w:rFonts w:ascii="Times New Roman" w:hAnsi="Times New Roman" w:cs="Times New Roman"/>
          <w:sz w:val="24"/>
          <w:szCs w:val="24"/>
        </w:rPr>
        <w:t>e przez podmioty powiązane (osobowo lub kapitałowo)</w:t>
      </w:r>
      <w:r w:rsidR="00F4725B" w:rsidRPr="00C452D0">
        <w:rPr>
          <w:rFonts w:ascii="Times New Roman" w:hAnsi="Times New Roman" w:cs="Times New Roman"/>
          <w:sz w:val="24"/>
          <w:szCs w:val="24"/>
        </w:rPr>
        <w:t xml:space="preserve"> zawyżonych (a nawet wręcz fikcyjnych) kosztów uzyskania przychodu u </w:t>
      </w:r>
      <w:r w:rsidR="00ED71A0" w:rsidRPr="00C452D0">
        <w:rPr>
          <w:rFonts w:ascii="Times New Roman" w:hAnsi="Times New Roman" w:cs="Times New Roman"/>
          <w:sz w:val="24"/>
          <w:szCs w:val="24"/>
        </w:rPr>
        <w:t>podmiot</w:t>
      </w:r>
      <w:r w:rsidR="00F4725B" w:rsidRPr="00C452D0">
        <w:rPr>
          <w:rFonts w:ascii="Times New Roman" w:hAnsi="Times New Roman" w:cs="Times New Roman"/>
          <w:sz w:val="24"/>
          <w:szCs w:val="24"/>
        </w:rPr>
        <w:t>u</w:t>
      </w:r>
      <w:r w:rsidR="00ED71A0" w:rsidRPr="00C452D0">
        <w:rPr>
          <w:rFonts w:ascii="Times New Roman" w:hAnsi="Times New Roman" w:cs="Times New Roman"/>
          <w:sz w:val="24"/>
          <w:szCs w:val="24"/>
        </w:rPr>
        <w:t xml:space="preserve"> dokonując</w:t>
      </w:r>
      <w:r w:rsidR="00F4725B" w:rsidRPr="00C452D0">
        <w:rPr>
          <w:rFonts w:ascii="Times New Roman" w:hAnsi="Times New Roman" w:cs="Times New Roman"/>
          <w:sz w:val="24"/>
          <w:szCs w:val="24"/>
        </w:rPr>
        <w:t>ego</w:t>
      </w:r>
      <w:r w:rsidR="00ED71A0" w:rsidRPr="00C452D0">
        <w:rPr>
          <w:rFonts w:ascii="Times New Roman" w:hAnsi="Times New Roman" w:cs="Times New Roman"/>
          <w:sz w:val="24"/>
          <w:szCs w:val="24"/>
        </w:rPr>
        <w:t xml:space="preserve"> obniżenia podstawy opodatkowania</w:t>
      </w:r>
      <w:r w:rsidR="002E3635" w:rsidRPr="00C452D0">
        <w:rPr>
          <w:rFonts w:ascii="Times New Roman" w:hAnsi="Times New Roman" w:cs="Times New Roman"/>
          <w:sz w:val="24"/>
          <w:szCs w:val="24"/>
        </w:rPr>
        <w:t xml:space="preserve">. </w:t>
      </w:r>
      <w:r w:rsidR="00ED71A0" w:rsidRPr="00C452D0">
        <w:rPr>
          <w:rFonts w:ascii="Times New Roman" w:hAnsi="Times New Roman" w:cs="Times New Roman"/>
          <w:sz w:val="24"/>
          <w:szCs w:val="24"/>
        </w:rPr>
        <w:t xml:space="preserve">Specyficzną i odróżniającą od innych ryzyk cechą charakterystyczną tego zjawiska jest wykorzystanie grupy (sieci) podmiotów powiązanych. </w:t>
      </w:r>
      <w:r w:rsidR="002E3635" w:rsidRPr="00C452D0">
        <w:rPr>
          <w:rFonts w:ascii="Times New Roman" w:hAnsi="Times New Roman" w:cs="Times New Roman"/>
          <w:sz w:val="24"/>
          <w:szCs w:val="24"/>
        </w:rPr>
        <w:t xml:space="preserve">Mechanizm ten może być związany z zaplanowanym z góry, intencjonalnym utworzeniem sieci podmiotów, jak również może zaistnieć </w:t>
      </w:r>
      <w:r w:rsidR="00ED71A0" w:rsidRPr="00C452D0">
        <w:rPr>
          <w:rFonts w:ascii="Times New Roman" w:hAnsi="Times New Roman" w:cs="Times New Roman"/>
          <w:sz w:val="24"/>
          <w:szCs w:val="24"/>
        </w:rPr>
        <w:t>w zakresie podmiotów już istniejących na rynku.</w:t>
      </w:r>
    </w:p>
    <w:p w14:paraId="7E6C5B5C" w14:textId="4DE46D73" w:rsidR="002365B8" w:rsidRDefault="00B24AE6" w:rsidP="00F65683">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Zagrożenie występujące w tym zakresie oceniane jest jako wysokie, a źródłem nadużyć są przypadki deklarowania niemających odzwierciedlenia w rzeczywistości świadczeń</w:t>
      </w:r>
      <w:r w:rsidR="00130FB0" w:rsidRPr="00C452D0">
        <w:rPr>
          <w:rFonts w:ascii="Times New Roman" w:hAnsi="Times New Roman" w:cs="Times New Roman"/>
          <w:sz w:val="24"/>
          <w:szCs w:val="24"/>
        </w:rPr>
        <w:t xml:space="preserve"> </w:t>
      </w:r>
      <w:r w:rsidR="006C7273" w:rsidRPr="00C452D0">
        <w:rPr>
          <w:rFonts w:ascii="Times New Roman" w:hAnsi="Times New Roman" w:cs="Times New Roman"/>
          <w:sz w:val="24"/>
          <w:szCs w:val="24"/>
        </w:rPr>
        <w:t>(często w </w:t>
      </w:r>
      <w:r w:rsidR="00130FB0" w:rsidRPr="00C452D0">
        <w:rPr>
          <w:rFonts w:ascii="Times New Roman" w:hAnsi="Times New Roman" w:cs="Times New Roman"/>
          <w:sz w:val="24"/>
          <w:szCs w:val="24"/>
        </w:rPr>
        <w:t>postaci usług niematerialnych)</w:t>
      </w:r>
      <w:r w:rsidRPr="00C452D0">
        <w:rPr>
          <w:rFonts w:ascii="Times New Roman" w:hAnsi="Times New Roman" w:cs="Times New Roman"/>
          <w:sz w:val="24"/>
          <w:szCs w:val="24"/>
        </w:rPr>
        <w:t xml:space="preserve"> związanych z działalnością podmiotów korzystających </w:t>
      </w:r>
      <w:r w:rsidR="006C7273" w:rsidRPr="00C452D0">
        <w:rPr>
          <w:rFonts w:ascii="Times New Roman" w:hAnsi="Times New Roman" w:cs="Times New Roman"/>
          <w:sz w:val="24"/>
          <w:szCs w:val="24"/>
        </w:rPr>
        <w:t>z </w:t>
      </w:r>
      <w:r w:rsidRPr="00C452D0">
        <w:rPr>
          <w:rFonts w:ascii="Times New Roman" w:hAnsi="Times New Roman" w:cs="Times New Roman"/>
          <w:sz w:val="24"/>
          <w:szCs w:val="24"/>
        </w:rPr>
        <w:t>preferencji podatkowych, w tym przede wszystkim ryczałtowej formy opodatkowania, ale także posiadanego prawa do odliczeń (np. straty z lat ubiegłych) lub zwolnień podatkowych.</w:t>
      </w:r>
      <w:r w:rsidRPr="00B24AE6">
        <w:rPr>
          <w:rFonts w:ascii="Times New Roman" w:hAnsi="Times New Roman" w:cs="Times New Roman"/>
          <w:sz w:val="24"/>
          <w:szCs w:val="24"/>
        </w:rPr>
        <w:t xml:space="preserve"> </w:t>
      </w:r>
      <w:r w:rsidR="002365B8" w:rsidRPr="002365B8">
        <w:rPr>
          <w:rFonts w:ascii="Times New Roman" w:hAnsi="Times New Roman" w:cs="Times New Roman"/>
          <w:sz w:val="24"/>
          <w:szCs w:val="24"/>
        </w:rPr>
        <w:t>Ryzyko to polega na tworzeniu sieci podwykonawców będących podmiotami rozliczającymi się głównie w formie ryczałtu ewidencjonowanego. Prowadzona działalność ma znamiona legalności, podmiot jest zarejestrowany, zatrudnia pracowników i jest podatnikiem podatku od towarów i usług. Podatnicy stanowiący część łańcucha mającego za zadanie generowanie kosztów opłacają podatek dochodowy w formie ryczałtu od przychodów ewidencjonowanych. Podmioty te opodatkowane są w ten sposób, co drugi rok. W okresie</w:t>
      </w:r>
      <w:r w:rsidR="00ED71A0">
        <w:rPr>
          <w:rFonts w:ascii="Times New Roman" w:hAnsi="Times New Roman" w:cs="Times New Roman"/>
          <w:sz w:val="24"/>
          <w:szCs w:val="24"/>
        </w:rPr>
        <w:t>,</w:t>
      </w:r>
      <w:r w:rsidR="002365B8" w:rsidRPr="002365B8">
        <w:rPr>
          <w:rFonts w:ascii="Times New Roman" w:hAnsi="Times New Roman" w:cs="Times New Roman"/>
          <w:sz w:val="24"/>
          <w:szCs w:val="24"/>
        </w:rPr>
        <w:t xml:space="preserve"> kiedy podlegają podatkowi na zasadach ogólnych</w:t>
      </w:r>
      <w:r w:rsidR="00ED71A0">
        <w:rPr>
          <w:rFonts w:ascii="Times New Roman" w:hAnsi="Times New Roman" w:cs="Times New Roman"/>
          <w:sz w:val="24"/>
          <w:szCs w:val="24"/>
        </w:rPr>
        <w:t>,</w:t>
      </w:r>
      <w:r w:rsidR="002365B8" w:rsidRPr="002365B8">
        <w:rPr>
          <w:rFonts w:ascii="Times New Roman" w:hAnsi="Times New Roman" w:cs="Times New Roman"/>
          <w:sz w:val="24"/>
          <w:szCs w:val="24"/>
        </w:rPr>
        <w:t xml:space="preserve"> wykazują niskie przychody w taki sposób</w:t>
      </w:r>
      <w:r w:rsidR="00ED71A0">
        <w:rPr>
          <w:rFonts w:ascii="Times New Roman" w:hAnsi="Times New Roman" w:cs="Times New Roman"/>
          <w:sz w:val="24"/>
          <w:szCs w:val="24"/>
        </w:rPr>
        <w:t>,</w:t>
      </w:r>
      <w:r w:rsidR="002365B8" w:rsidRPr="002365B8">
        <w:rPr>
          <w:rFonts w:ascii="Times New Roman" w:hAnsi="Times New Roman" w:cs="Times New Roman"/>
          <w:sz w:val="24"/>
          <w:szCs w:val="24"/>
        </w:rPr>
        <w:t xml:space="preserve"> aby nie przekroczyć limitu uprawniającego do wyboru opodatkowania podatkiem zryczałtowanym w</w:t>
      </w:r>
      <w:r w:rsidR="00ED71A0">
        <w:rPr>
          <w:rFonts w:ascii="Times New Roman" w:hAnsi="Times New Roman" w:cs="Times New Roman"/>
          <w:sz w:val="24"/>
          <w:szCs w:val="24"/>
        </w:rPr>
        <w:t> </w:t>
      </w:r>
      <w:r w:rsidR="002365B8" w:rsidRPr="002365B8">
        <w:rPr>
          <w:rFonts w:ascii="Times New Roman" w:hAnsi="Times New Roman" w:cs="Times New Roman"/>
          <w:sz w:val="24"/>
          <w:szCs w:val="24"/>
        </w:rPr>
        <w:t xml:space="preserve">roku następnym. Natomiast wysokie przychody są </w:t>
      </w:r>
      <w:r w:rsidR="002365B8" w:rsidRPr="00B24AE6">
        <w:rPr>
          <w:rFonts w:ascii="Times New Roman" w:hAnsi="Times New Roman" w:cs="Times New Roman"/>
          <w:sz w:val="24"/>
          <w:szCs w:val="24"/>
        </w:rPr>
        <w:t>generowane</w:t>
      </w:r>
      <w:r w:rsidR="002365B8" w:rsidRPr="002365B8">
        <w:rPr>
          <w:rFonts w:ascii="Times New Roman" w:hAnsi="Times New Roman" w:cs="Times New Roman"/>
          <w:sz w:val="24"/>
          <w:szCs w:val="24"/>
        </w:rPr>
        <w:t xml:space="preserve"> w trakcie roku podlegającego rozliczeniu podatkiem ryczałtowym. Zaobserwować </w:t>
      </w:r>
      <w:r w:rsidR="003B49A5">
        <w:rPr>
          <w:rFonts w:ascii="Times New Roman" w:hAnsi="Times New Roman" w:cs="Times New Roman"/>
          <w:sz w:val="24"/>
          <w:szCs w:val="24"/>
        </w:rPr>
        <w:t>niejednokrotnie</w:t>
      </w:r>
      <w:r w:rsidR="003B49A5" w:rsidRPr="002365B8">
        <w:rPr>
          <w:rFonts w:ascii="Times New Roman" w:hAnsi="Times New Roman" w:cs="Times New Roman"/>
          <w:sz w:val="24"/>
          <w:szCs w:val="24"/>
        </w:rPr>
        <w:t xml:space="preserve"> </w:t>
      </w:r>
      <w:r w:rsidR="002365B8" w:rsidRPr="002365B8">
        <w:rPr>
          <w:rFonts w:ascii="Times New Roman" w:hAnsi="Times New Roman" w:cs="Times New Roman"/>
          <w:sz w:val="24"/>
          <w:szCs w:val="24"/>
        </w:rPr>
        <w:t>można również podmioty</w:t>
      </w:r>
      <w:r>
        <w:rPr>
          <w:rFonts w:ascii="Times New Roman" w:hAnsi="Times New Roman" w:cs="Times New Roman"/>
          <w:sz w:val="24"/>
          <w:szCs w:val="24"/>
        </w:rPr>
        <w:t>,</w:t>
      </w:r>
      <w:r w:rsidR="002365B8" w:rsidRPr="002365B8">
        <w:rPr>
          <w:rFonts w:ascii="Times New Roman" w:hAnsi="Times New Roman" w:cs="Times New Roman"/>
          <w:sz w:val="24"/>
          <w:szCs w:val="24"/>
        </w:rPr>
        <w:t xml:space="preserve"> które generują koszty jedynie przez rok. Bardzo</w:t>
      </w:r>
      <w:r w:rsidR="003B49A5">
        <w:rPr>
          <w:rFonts w:ascii="Times New Roman" w:hAnsi="Times New Roman" w:cs="Times New Roman"/>
          <w:sz w:val="24"/>
          <w:szCs w:val="24"/>
        </w:rPr>
        <w:t xml:space="preserve"> </w:t>
      </w:r>
      <w:r w:rsidR="002365B8" w:rsidRPr="002365B8">
        <w:rPr>
          <w:rFonts w:ascii="Times New Roman" w:hAnsi="Times New Roman" w:cs="Times New Roman"/>
          <w:sz w:val="24"/>
          <w:szCs w:val="24"/>
        </w:rPr>
        <w:t>często zdarza się</w:t>
      </w:r>
      <w:r w:rsidR="00ED71A0">
        <w:rPr>
          <w:rFonts w:ascii="Times New Roman" w:hAnsi="Times New Roman" w:cs="Times New Roman"/>
          <w:sz w:val="24"/>
          <w:szCs w:val="24"/>
        </w:rPr>
        <w:t>,</w:t>
      </w:r>
      <w:r w:rsidR="002365B8" w:rsidRPr="002365B8">
        <w:rPr>
          <w:rFonts w:ascii="Times New Roman" w:hAnsi="Times New Roman" w:cs="Times New Roman"/>
          <w:sz w:val="24"/>
          <w:szCs w:val="24"/>
        </w:rPr>
        <w:t xml:space="preserve"> iż księgi podatkowe podmiotom powiązanym prowadzi to samo biuro rachunkowe lub księgowe. Działania sieci podmiotów powiązanych w</w:t>
      </w:r>
      <w:r w:rsidR="0005107E">
        <w:rPr>
          <w:rFonts w:ascii="Times New Roman" w:hAnsi="Times New Roman" w:cs="Times New Roman"/>
          <w:sz w:val="24"/>
          <w:szCs w:val="24"/>
        </w:rPr>
        <w:t> </w:t>
      </w:r>
      <w:r w:rsidR="002365B8" w:rsidRPr="002365B8">
        <w:rPr>
          <w:rFonts w:ascii="Times New Roman" w:hAnsi="Times New Roman" w:cs="Times New Roman"/>
          <w:sz w:val="24"/>
          <w:szCs w:val="24"/>
        </w:rPr>
        <w:t xml:space="preserve">znaczącym stopniu prowadzą do znacznego zaniżania zobowiązań podatkowych bądź wyłudzania nienależnych zwrotów podatku VAT. </w:t>
      </w:r>
    </w:p>
    <w:p w14:paraId="1DF9DE52" w14:textId="77777777" w:rsidR="002365B8" w:rsidRPr="002365B8" w:rsidRDefault="002365B8" w:rsidP="00F65683">
      <w:pPr>
        <w:spacing w:after="0" w:line="240" w:lineRule="auto"/>
        <w:jc w:val="both"/>
        <w:rPr>
          <w:rFonts w:ascii="Times New Roman" w:hAnsi="Times New Roman" w:cs="Times New Roman"/>
          <w:sz w:val="24"/>
          <w:szCs w:val="24"/>
        </w:rPr>
      </w:pPr>
      <w:r w:rsidRPr="002365B8">
        <w:rPr>
          <w:rFonts w:ascii="Times New Roman" w:hAnsi="Times New Roman" w:cs="Times New Roman"/>
          <w:sz w:val="24"/>
          <w:szCs w:val="24"/>
        </w:rPr>
        <w:t xml:space="preserve">Ponadto w ramach tego ryzyka można zidentyfikować następujące obszary dotyczące powiązań między podmiotami: </w:t>
      </w:r>
    </w:p>
    <w:p w14:paraId="15D2BA0C" w14:textId="609E5E19" w:rsidR="002365B8" w:rsidRPr="0005107E" w:rsidRDefault="002365B8" w:rsidP="00F65683">
      <w:pPr>
        <w:pStyle w:val="Akapitzlist"/>
        <w:numPr>
          <w:ilvl w:val="0"/>
          <w:numId w:val="32"/>
        </w:numPr>
        <w:spacing w:line="240" w:lineRule="auto"/>
        <w:jc w:val="both"/>
        <w:rPr>
          <w:rFonts w:ascii="Times New Roman" w:hAnsi="Times New Roman" w:cs="Times New Roman"/>
          <w:sz w:val="24"/>
          <w:szCs w:val="24"/>
        </w:rPr>
      </w:pPr>
      <w:r w:rsidRPr="0005107E">
        <w:rPr>
          <w:rFonts w:ascii="Times New Roman" w:hAnsi="Times New Roman" w:cs="Times New Roman"/>
          <w:sz w:val="24"/>
          <w:szCs w:val="24"/>
        </w:rPr>
        <w:t>Restrukturyzacja działalności pomiędzy podmiotami powiązanymi</w:t>
      </w:r>
      <w:r w:rsidR="00ED71A0">
        <w:rPr>
          <w:rFonts w:ascii="Times New Roman" w:hAnsi="Times New Roman" w:cs="Times New Roman"/>
          <w:sz w:val="24"/>
          <w:szCs w:val="24"/>
        </w:rPr>
        <w:t>,</w:t>
      </w:r>
      <w:r w:rsidRPr="0005107E">
        <w:rPr>
          <w:rFonts w:ascii="Times New Roman" w:hAnsi="Times New Roman" w:cs="Times New Roman"/>
          <w:sz w:val="24"/>
          <w:szCs w:val="24"/>
        </w:rPr>
        <w:t xml:space="preserve"> tj. sytuacje, w których następuje zmiana istotnych funkcji, aktywów i ryzyk pomiędzy podmiotami powiązanymi. Przykładem może być producent prowadzący działalność: produkcyjną, dystrybucyjną i</w:t>
      </w:r>
      <w:r w:rsidR="00136EDA">
        <w:rPr>
          <w:rFonts w:ascii="Times New Roman" w:hAnsi="Times New Roman" w:cs="Times New Roman"/>
          <w:sz w:val="24"/>
          <w:szCs w:val="24"/>
        </w:rPr>
        <w:t> </w:t>
      </w:r>
      <w:r w:rsidRPr="0005107E">
        <w:rPr>
          <w:rFonts w:ascii="Times New Roman" w:hAnsi="Times New Roman" w:cs="Times New Roman"/>
          <w:sz w:val="24"/>
          <w:szCs w:val="24"/>
        </w:rPr>
        <w:t xml:space="preserve">marketingową, który zostaje przekształcony w producenta wykonującego rutynowe czynności produkcyjne na zlecenie </w:t>
      </w:r>
    </w:p>
    <w:p w14:paraId="5038120F" w14:textId="1959AC00" w:rsidR="002365B8" w:rsidRPr="0005107E" w:rsidRDefault="002365B8" w:rsidP="00F65683">
      <w:pPr>
        <w:pStyle w:val="Akapitzlist"/>
        <w:numPr>
          <w:ilvl w:val="0"/>
          <w:numId w:val="32"/>
        </w:numPr>
        <w:spacing w:line="240" w:lineRule="auto"/>
        <w:jc w:val="both"/>
        <w:rPr>
          <w:rFonts w:ascii="Times New Roman" w:hAnsi="Times New Roman" w:cs="Times New Roman"/>
          <w:sz w:val="24"/>
          <w:szCs w:val="24"/>
        </w:rPr>
      </w:pPr>
      <w:r w:rsidRPr="0005107E">
        <w:rPr>
          <w:rFonts w:ascii="Times New Roman" w:hAnsi="Times New Roman" w:cs="Times New Roman"/>
          <w:sz w:val="24"/>
          <w:szCs w:val="24"/>
        </w:rPr>
        <w:t>Wartości niematerialne – w ramach tego obszaru ocenie mogą podlegać:</w:t>
      </w:r>
    </w:p>
    <w:p w14:paraId="1219B007" w14:textId="368CBE8C" w:rsidR="002365B8" w:rsidRPr="0005107E" w:rsidRDefault="002365B8" w:rsidP="00F65683">
      <w:pPr>
        <w:pStyle w:val="Akapitzlist"/>
        <w:numPr>
          <w:ilvl w:val="0"/>
          <w:numId w:val="33"/>
        </w:numPr>
        <w:spacing w:line="240" w:lineRule="auto"/>
        <w:jc w:val="both"/>
        <w:rPr>
          <w:rFonts w:ascii="Times New Roman" w:hAnsi="Times New Roman" w:cs="Times New Roman"/>
          <w:sz w:val="24"/>
          <w:szCs w:val="24"/>
        </w:rPr>
      </w:pPr>
      <w:r w:rsidRPr="0005107E">
        <w:rPr>
          <w:rFonts w:ascii="Times New Roman" w:hAnsi="Times New Roman" w:cs="Times New Roman"/>
          <w:sz w:val="24"/>
          <w:szCs w:val="24"/>
        </w:rPr>
        <w:t>podmioty wykonujące prace badawcze i rozwojowe mające na celu wytworzenie wartości niematerialnej, w szczególności korzystające z grantów, dotacji na działalność badawczo</w:t>
      </w:r>
      <w:r w:rsidR="00ED71A0">
        <w:rPr>
          <w:rFonts w:ascii="Times New Roman" w:hAnsi="Times New Roman" w:cs="Times New Roman"/>
          <w:sz w:val="24"/>
          <w:szCs w:val="24"/>
        </w:rPr>
        <w:t>-</w:t>
      </w:r>
      <w:r w:rsidRPr="0005107E">
        <w:rPr>
          <w:rFonts w:ascii="Times New Roman" w:hAnsi="Times New Roman" w:cs="Times New Roman"/>
          <w:sz w:val="24"/>
          <w:szCs w:val="24"/>
        </w:rPr>
        <w:t xml:space="preserve">rozwojową, </w:t>
      </w:r>
    </w:p>
    <w:p w14:paraId="7E82C991" w14:textId="45C5F784" w:rsidR="002365B8" w:rsidRPr="0005107E" w:rsidRDefault="002365B8" w:rsidP="00F65683">
      <w:pPr>
        <w:pStyle w:val="Akapitzlist"/>
        <w:numPr>
          <w:ilvl w:val="0"/>
          <w:numId w:val="33"/>
        </w:numPr>
        <w:spacing w:line="240" w:lineRule="auto"/>
        <w:jc w:val="both"/>
        <w:rPr>
          <w:rFonts w:ascii="Times New Roman" w:hAnsi="Times New Roman" w:cs="Times New Roman"/>
          <w:sz w:val="24"/>
          <w:szCs w:val="24"/>
        </w:rPr>
      </w:pPr>
      <w:r w:rsidRPr="0005107E">
        <w:rPr>
          <w:rFonts w:ascii="Times New Roman" w:hAnsi="Times New Roman" w:cs="Times New Roman"/>
          <w:sz w:val="24"/>
          <w:szCs w:val="24"/>
        </w:rPr>
        <w:t xml:space="preserve">podmioty dokonujące transferu wartości niematerialnych i prawnych (np. przenoszenie wytworzonych przez siebie </w:t>
      </w:r>
      <w:r w:rsidR="00ED71A0">
        <w:rPr>
          <w:rFonts w:ascii="Times New Roman" w:hAnsi="Times New Roman" w:cs="Times New Roman"/>
          <w:sz w:val="24"/>
          <w:szCs w:val="24"/>
        </w:rPr>
        <w:t xml:space="preserve">wartości </w:t>
      </w:r>
      <w:r w:rsidRPr="0005107E">
        <w:rPr>
          <w:rFonts w:ascii="Times New Roman" w:hAnsi="Times New Roman" w:cs="Times New Roman"/>
          <w:sz w:val="24"/>
          <w:szCs w:val="24"/>
        </w:rPr>
        <w:t>niematerialnych do kraju o niskim opodatkowaniu, a</w:t>
      </w:r>
      <w:r w:rsidR="00136EDA">
        <w:rPr>
          <w:rFonts w:ascii="Times New Roman" w:hAnsi="Times New Roman" w:cs="Times New Roman"/>
          <w:sz w:val="24"/>
          <w:szCs w:val="24"/>
        </w:rPr>
        <w:t> </w:t>
      </w:r>
      <w:r w:rsidRPr="0005107E">
        <w:rPr>
          <w:rFonts w:ascii="Times New Roman" w:hAnsi="Times New Roman" w:cs="Times New Roman"/>
          <w:sz w:val="24"/>
          <w:szCs w:val="24"/>
        </w:rPr>
        <w:t>następnie udzielanie licencji podmiotowi przenoszącemu, który w takim przypadku ponosi nieuzasadnioną stratę w momencie przeniesienia oraz następuje zmniejszenie dochodu poprzez opłaty licencyjne w następujących okresach</w:t>
      </w:r>
      <w:r w:rsidR="00BB0F01">
        <w:rPr>
          <w:rFonts w:ascii="Times New Roman" w:hAnsi="Times New Roman" w:cs="Times New Roman"/>
          <w:sz w:val="24"/>
          <w:szCs w:val="24"/>
        </w:rPr>
        <w:t>)</w:t>
      </w:r>
      <w:r w:rsidRPr="0005107E">
        <w:rPr>
          <w:rFonts w:ascii="Times New Roman" w:hAnsi="Times New Roman" w:cs="Times New Roman"/>
          <w:sz w:val="24"/>
          <w:szCs w:val="24"/>
        </w:rPr>
        <w:t>,</w:t>
      </w:r>
    </w:p>
    <w:p w14:paraId="7A7BB563" w14:textId="305FB05E" w:rsidR="002365B8" w:rsidRPr="0005107E" w:rsidRDefault="002365B8" w:rsidP="00F65683">
      <w:pPr>
        <w:pStyle w:val="Akapitzlist"/>
        <w:numPr>
          <w:ilvl w:val="0"/>
          <w:numId w:val="33"/>
        </w:numPr>
        <w:spacing w:line="240" w:lineRule="auto"/>
        <w:jc w:val="both"/>
        <w:rPr>
          <w:rFonts w:ascii="Times New Roman" w:hAnsi="Times New Roman" w:cs="Times New Roman"/>
          <w:sz w:val="24"/>
          <w:szCs w:val="24"/>
        </w:rPr>
      </w:pPr>
      <w:r w:rsidRPr="0005107E">
        <w:rPr>
          <w:rFonts w:ascii="Times New Roman" w:hAnsi="Times New Roman" w:cs="Times New Roman"/>
          <w:sz w:val="24"/>
          <w:szCs w:val="24"/>
        </w:rPr>
        <w:t>zasadność i wysokość opłat licencyjnych związanych z wartościami niematerialnymi.</w:t>
      </w:r>
    </w:p>
    <w:p w14:paraId="76EA7E96" w14:textId="05A01072" w:rsidR="002365B8" w:rsidRDefault="002365B8" w:rsidP="00F65683">
      <w:pPr>
        <w:pStyle w:val="Akapitzlist"/>
        <w:numPr>
          <w:ilvl w:val="0"/>
          <w:numId w:val="32"/>
        </w:numPr>
        <w:spacing w:line="240" w:lineRule="auto"/>
        <w:jc w:val="both"/>
        <w:rPr>
          <w:rFonts w:ascii="Times New Roman" w:hAnsi="Times New Roman" w:cs="Times New Roman"/>
          <w:sz w:val="24"/>
          <w:szCs w:val="24"/>
        </w:rPr>
      </w:pPr>
      <w:r w:rsidRPr="002365B8">
        <w:rPr>
          <w:rFonts w:ascii="Times New Roman" w:hAnsi="Times New Roman" w:cs="Times New Roman"/>
          <w:sz w:val="24"/>
          <w:szCs w:val="24"/>
        </w:rPr>
        <w:t>Finansowanie pomiędzy podmiotami powiązanymi – w ramach tego obszaru ocenie w</w:t>
      </w:r>
      <w:r w:rsidR="00136EDA">
        <w:rPr>
          <w:rFonts w:ascii="Times New Roman" w:hAnsi="Times New Roman" w:cs="Times New Roman"/>
          <w:sz w:val="24"/>
          <w:szCs w:val="24"/>
        </w:rPr>
        <w:t> </w:t>
      </w:r>
      <w:r w:rsidRPr="002365B8">
        <w:rPr>
          <w:rFonts w:ascii="Times New Roman" w:hAnsi="Times New Roman" w:cs="Times New Roman"/>
          <w:sz w:val="24"/>
          <w:szCs w:val="24"/>
        </w:rPr>
        <w:t>kontekście wysokości i zasadności pożyczek może podlegać udzielanie pożyczek lub zaciąganie pożyczek u podmiotów powiązanych, pożyczki u podmiotów niezależnych, które są objęte gwarancją podmiotów powiązanych, nieodpłatne gwara</w:t>
      </w:r>
      <w:r>
        <w:rPr>
          <w:rFonts w:ascii="Times New Roman" w:hAnsi="Times New Roman" w:cs="Times New Roman"/>
          <w:sz w:val="24"/>
          <w:szCs w:val="24"/>
        </w:rPr>
        <w:t>ncje dla podmiotów powiązanych.</w:t>
      </w:r>
    </w:p>
    <w:p w14:paraId="0F2A548E" w14:textId="4623F41C" w:rsidR="00053414" w:rsidRPr="00C452D0" w:rsidRDefault="00F4725B" w:rsidP="00F4725B">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 xml:space="preserve">W </w:t>
      </w:r>
      <w:r w:rsidR="00B24D10" w:rsidRPr="00C452D0">
        <w:rPr>
          <w:rFonts w:ascii="Times New Roman" w:hAnsi="Times New Roman" w:cs="Times New Roman"/>
          <w:sz w:val="24"/>
          <w:szCs w:val="24"/>
        </w:rPr>
        <w:t xml:space="preserve">przypadku powiązań transgranicznych zwrócić trzeba uwagę na fakt, iż zagraniczne podmioty powiązane </w:t>
      </w:r>
      <w:r w:rsidR="000467B1" w:rsidRPr="00C452D0">
        <w:rPr>
          <w:rFonts w:ascii="Times New Roman" w:hAnsi="Times New Roman" w:cs="Times New Roman"/>
          <w:sz w:val="24"/>
          <w:szCs w:val="24"/>
        </w:rPr>
        <w:t>to bardzo często międzynarodowe koncerny</w:t>
      </w:r>
      <w:r w:rsidR="00B24D10" w:rsidRPr="00C452D0">
        <w:rPr>
          <w:rFonts w:ascii="Times New Roman" w:hAnsi="Times New Roman" w:cs="Times New Roman"/>
          <w:sz w:val="24"/>
          <w:szCs w:val="24"/>
        </w:rPr>
        <w:t xml:space="preserve"> dysponujące olbrzymimi zasobami kapitałowymi i najbardziej wyspecjalizowaną kadrą doradczą</w:t>
      </w:r>
      <w:r w:rsidR="009836FB" w:rsidRPr="00C452D0">
        <w:rPr>
          <w:rFonts w:ascii="Times New Roman" w:hAnsi="Times New Roman" w:cs="Times New Roman"/>
          <w:sz w:val="24"/>
          <w:szCs w:val="24"/>
        </w:rPr>
        <w:t xml:space="preserve"> (z którą kontakty są dla organów podatkowych niewątpliwie jednym z najpoważniejszych wyzwań merytorycznych)</w:t>
      </w:r>
      <w:r w:rsidR="000467B1" w:rsidRPr="00C452D0">
        <w:rPr>
          <w:rFonts w:ascii="Times New Roman" w:hAnsi="Times New Roman" w:cs="Times New Roman"/>
          <w:sz w:val="24"/>
          <w:szCs w:val="24"/>
        </w:rPr>
        <w:t>. Wydaje się przy tym, że właśnie te aktywa i kompetencje nabyte podczas funkcjonowania na rynku globalnym</w:t>
      </w:r>
      <w:r w:rsidR="00B24D10" w:rsidRPr="00C452D0">
        <w:rPr>
          <w:rFonts w:ascii="Times New Roman" w:hAnsi="Times New Roman" w:cs="Times New Roman"/>
          <w:sz w:val="24"/>
          <w:szCs w:val="24"/>
        </w:rPr>
        <w:t xml:space="preserve">, </w:t>
      </w:r>
      <w:r w:rsidR="000467B1" w:rsidRPr="00C452D0">
        <w:rPr>
          <w:rFonts w:ascii="Times New Roman" w:hAnsi="Times New Roman" w:cs="Times New Roman"/>
          <w:sz w:val="24"/>
          <w:szCs w:val="24"/>
        </w:rPr>
        <w:t xml:space="preserve">dość często wykorzystywane są do uzyskiwania dodatkowych „niestandardowych” profitów </w:t>
      </w:r>
      <w:r w:rsidR="00B24D10" w:rsidRPr="00C452D0">
        <w:rPr>
          <w:rFonts w:ascii="Times New Roman" w:hAnsi="Times New Roman" w:cs="Times New Roman"/>
          <w:sz w:val="24"/>
          <w:szCs w:val="24"/>
        </w:rPr>
        <w:t>poprzez stosowanie</w:t>
      </w:r>
      <w:r w:rsidR="00806DC7" w:rsidRPr="00C452D0">
        <w:rPr>
          <w:rFonts w:ascii="Times New Roman" w:hAnsi="Times New Roman" w:cs="Times New Roman"/>
          <w:sz w:val="24"/>
          <w:szCs w:val="24"/>
        </w:rPr>
        <w:t xml:space="preserve"> niekiedy bardzo agresywnej</w:t>
      </w:r>
      <w:r w:rsidR="00BD0129" w:rsidRPr="00C452D0">
        <w:rPr>
          <w:rFonts w:ascii="Times New Roman" w:hAnsi="Times New Roman" w:cs="Times New Roman"/>
          <w:sz w:val="24"/>
          <w:szCs w:val="24"/>
        </w:rPr>
        <w:t xml:space="preserve"> tzw. </w:t>
      </w:r>
      <w:r w:rsidR="00B24D10" w:rsidRPr="00C452D0">
        <w:rPr>
          <w:rFonts w:ascii="Times New Roman" w:hAnsi="Times New Roman" w:cs="Times New Roman"/>
          <w:sz w:val="24"/>
          <w:szCs w:val="24"/>
        </w:rPr>
        <w:t>optymalizacji podatkowej</w:t>
      </w:r>
      <w:r w:rsidR="000467B1" w:rsidRPr="00C452D0">
        <w:rPr>
          <w:rFonts w:ascii="Times New Roman" w:hAnsi="Times New Roman" w:cs="Times New Roman"/>
          <w:sz w:val="24"/>
          <w:szCs w:val="24"/>
        </w:rPr>
        <w:t xml:space="preserve"> (z </w:t>
      </w:r>
      <w:r w:rsidR="00806DC7" w:rsidRPr="00C452D0">
        <w:rPr>
          <w:rFonts w:ascii="Times New Roman" w:hAnsi="Times New Roman" w:cs="Times New Roman"/>
          <w:sz w:val="24"/>
          <w:szCs w:val="24"/>
        </w:rPr>
        <w:t xml:space="preserve">co najmniej </w:t>
      </w:r>
      <w:r w:rsidR="000467B1" w:rsidRPr="00C452D0">
        <w:rPr>
          <w:rFonts w:ascii="Times New Roman" w:hAnsi="Times New Roman" w:cs="Times New Roman"/>
          <w:sz w:val="24"/>
          <w:szCs w:val="24"/>
        </w:rPr>
        <w:t xml:space="preserve">dużą niechęcią </w:t>
      </w:r>
      <w:r w:rsidR="00806DC7" w:rsidRPr="00C452D0">
        <w:rPr>
          <w:rFonts w:ascii="Times New Roman" w:hAnsi="Times New Roman" w:cs="Times New Roman"/>
          <w:sz w:val="24"/>
          <w:szCs w:val="24"/>
        </w:rPr>
        <w:t>tolerowanej</w:t>
      </w:r>
      <w:r w:rsidR="000467B1" w:rsidRPr="00C452D0">
        <w:rPr>
          <w:rFonts w:ascii="Times New Roman" w:hAnsi="Times New Roman" w:cs="Times New Roman"/>
          <w:sz w:val="24"/>
          <w:szCs w:val="24"/>
        </w:rPr>
        <w:t xml:space="preserve"> przez większość krajów członkowskich OECD)</w:t>
      </w:r>
      <w:r w:rsidR="00806DC7" w:rsidRPr="00C452D0">
        <w:rPr>
          <w:rFonts w:ascii="Times New Roman" w:hAnsi="Times New Roman" w:cs="Times New Roman"/>
          <w:sz w:val="24"/>
          <w:szCs w:val="24"/>
        </w:rPr>
        <w:t xml:space="preserve"> oraz stosowanie </w:t>
      </w:r>
      <w:r w:rsidR="00053414" w:rsidRPr="00C452D0">
        <w:rPr>
          <w:rFonts w:ascii="Times New Roman" w:hAnsi="Times New Roman" w:cs="Times New Roman"/>
          <w:sz w:val="24"/>
          <w:szCs w:val="24"/>
        </w:rPr>
        <w:t xml:space="preserve">mechanizmu </w:t>
      </w:r>
      <w:r w:rsidR="00806DC7" w:rsidRPr="00C452D0">
        <w:rPr>
          <w:rFonts w:ascii="Times New Roman" w:hAnsi="Times New Roman" w:cs="Times New Roman"/>
          <w:sz w:val="24"/>
          <w:szCs w:val="24"/>
        </w:rPr>
        <w:t>(</w:t>
      </w:r>
      <w:r w:rsidR="000467B1" w:rsidRPr="00C452D0">
        <w:rPr>
          <w:rFonts w:ascii="Times New Roman" w:hAnsi="Times New Roman" w:cs="Times New Roman"/>
          <w:sz w:val="24"/>
          <w:szCs w:val="24"/>
        </w:rPr>
        <w:t xml:space="preserve">właściwie </w:t>
      </w:r>
      <w:r w:rsidR="00806DC7" w:rsidRPr="00C452D0">
        <w:rPr>
          <w:rFonts w:ascii="Times New Roman" w:hAnsi="Times New Roman" w:cs="Times New Roman"/>
          <w:sz w:val="24"/>
          <w:szCs w:val="24"/>
        </w:rPr>
        <w:t>w ogóle nietolerowan</w:t>
      </w:r>
      <w:r w:rsidR="00053414" w:rsidRPr="00C452D0">
        <w:rPr>
          <w:rFonts w:ascii="Times New Roman" w:hAnsi="Times New Roman" w:cs="Times New Roman"/>
          <w:sz w:val="24"/>
          <w:szCs w:val="24"/>
        </w:rPr>
        <w:t>ego</w:t>
      </w:r>
      <w:r w:rsidR="00806DC7" w:rsidRPr="00C452D0">
        <w:rPr>
          <w:rFonts w:ascii="Times New Roman" w:hAnsi="Times New Roman" w:cs="Times New Roman"/>
          <w:sz w:val="24"/>
          <w:szCs w:val="24"/>
        </w:rPr>
        <w:t>)</w:t>
      </w:r>
      <w:r w:rsidR="00BD0129" w:rsidRPr="00C452D0">
        <w:rPr>
          <w:rFonts w:ascii="Times New Roman" w:hAnsi="Times New Roman" w:cs="Times New Roman"/>
          <w:sz w:val="24"/>
          <w:szCs w:val="24"/>
        </w:rPr>
        <w:t>,</w:t>
      </w:r>
      <w:r w:rsidR="00806DC7" w:rsidRPr="00C452D0">
        <w:rPr>
          <w:rFonts w:ascii="Times New Roman" w:hAnsi="Times New Roman" w:cs="Times New Roman"/>
          <w:sz w:val="24"/>
          <w:szCs w:val="24"/>
        </w:rPr>
        <w:t xml:space="preserve"> tzw. cen transferowych. </w:t>
      </w:r>
    </w:p>
    <w:p w14:paraId="6EB6C061" w14:textId="32CA71AE" w:rsidR="009836FB" w:rsidRPr="00C452D0" w:rsidRDefault="00FB6F9F" w:rsidP="00F4725B">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Cenami transferowymi (ang. transfer pricing) są ceny stosowane we wszelkich transakcjach realizowanych przez podmioty, pomiędzy którymi występują powiązania kapitałowe lub osobowe (w tym rodzinne). Za ceny transferowe są uważane również ceny w transakcjach zawieranych z podmiotami mającymi siedzibę, zarząd lub miejsce zamieszkania w kraju stosującym szkodliwą konkurencję podatkową (tzw. raju podatkowym).</w:t>
      </w:r>
      <w:r w:rsidR="00053414" w:rsidRPr="00C452D0">
        <w:rPr>
          <w:rFonts w:ascii="Times New Roman" w:hAnsi="Times New Roman" w:cs="Times New Roman"/>
          <w:sz w:val="24"/>
          <w:szCs w:val="24"/>
        </w:rPr>
        <w:t xml:space="preserve"> Unormowania OECD dotyczące zagadnienia cen transferowych zostały wprowadzone do ustaw podatkowych (CIT, PIT i VAT).</w:t>
      </w:r>
    </w:p>
    <w:p w14:paraId="145E61AB" w14:textId="06842804" w:rsidR="00FB6F9F" w:rsidRPr="00C452D0" w:rsidRDefault="00FB6F9F" w:rsidP="00F4725B">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Zaznaczenia wymaga, iż polski rynek z reguły stanowi dla zagranicznych koncernów tylko stosunkowo drobny fragment ich globalnych sieci interesów, co może skłaniać te podmioty do wykorzystania swoich przewag konkurencyjnych wynikających z międzynarodowego zasięgu swojego działania (i nabytych w tym zakresie unikatowych kompetencji, np. globalne systemy zaopatrzenia, centra usług wspólnych) do uzyskania – poprzez „optymalizowanie” wartości uiszczanych w Polsce zobowiązań podatkowych – dodatkowych „ponadnormatywnych” profitów. W</w:t>
      </w:r>
      <w:r w:rsidR="00053414" w:rsidRPr="00C452D0">
        <w:rPr>
          <w:rFonts w:ascii="Times New Roman" w:hAnsi="Times New Roman" w:cs="Times New Roman"/>
          <w:sz w:val="24"/>
          <w:szCs w:val="24"/>
        </w:rPr>
        <w:t>łaśnie w wyniku stosowania cen transferowych, często polegających na</w:t>
      </w:r>
      <w:r w:rsidRPr="00C452D0">
        <w:rPr>
          <w:rFonts w:ascii="Times New Roman" w:hAnsi="Times New Roman" w:cs="Times New Roman"/>
          <w:sz w:val="24"/>
          <w:szCs w:val="24"/>
        </w:rPr>
        <w:t xml:space="preserve"> zaniżani</w:t>
      </w:r>
      <w:r w:rsidR="00053414" w:rsidRPr="00C452D0">
        <w:rPr>
          <w:rFonts w:ascii="Times New Roman" w:hAnsi="Times New Roman" w:cs="Times New Roman"/>
          <w:sz w:val="24"/>
          <w:szCs w:val="24"/>
        </w:rPr>
        <w:t>u</w:t>
      </w:r>
      <w:r w:rsidRPr="00C452D0">
        <w:rPr>
          <w:rFonts w:ascii="Times New Roman" w:hAnsi="Times New Roman" w:cs="Times New Roman"/>
          <w:sz w:val="24"/>
          <w:szCs w:val="24"/>
        </w:rPr>
        <w:t xml:space="preserve"> </w:t>
      </w:r>
      <w:r w:rsidR="00053414" w:rsidRPr="00C452D0">
        <w:rPr>
          <w:rFonts w:ascii="Times New Roman" w:hAnsi="Times New Roman" w:cs="Times New Roman"/>
          <w:sz w:val="24"/>
          <w:szCs w:val="24"/>
        </w:rPr>
        <w:t xml:space="preserve">dokumentacyjnej </w:t>
      </w:r>
      <w:r w:rsidRPr="00C452D0">
        <w:rPr>
          <w:rFonts w:ascii="Times New Roman" w:hAnsi="Times New Roman" w:cs="Times New Roman"/>
          <w:sz w:val="24"/>
          <w:szCs w:val="24"/>
        </w:rPr>
        <w:t>wartości eksportowanych na obce rynki produktów oraz zawyżani</w:t>
      </w:r>
      <w:r w:rsidR="00053414" w:rsidRPr="00C452D0">
        <w:rPr>
          <w:rFonts w:ascii="Times New Roman" w:hAnsi="Times New Roman" w:cs="Times New Roman"/>
          <w:sz w:val="24"/>
          <w:szCs w:val="24"/>
        </w:rPr>
        <w:t>u</w:t>
      </w:r>
      <w:r w:rsidRPr="00C452D0">
        <w:rPr>
          <w:rFonts w:ascii="Times New Roman" w:hAnsi="Times New Roman" w:cs="Times New Roman"/>
          <w:sz w:val="24"/>
          <w:szCs w:val="24"/>
        </w:rPr>
        <w:t xml:space="preserve"> wartości sprowadzanych do kraju towarów, a także stosowani</w:t>
      </w:r>
      <w:r w:rsidR="00053414" w:rsidRPr="00C452D0">
        <w:rPr>
          <w:rFonts w:ascii="Times New Roman" w:hAnsi="Times New Roman" w:cs="Times New Roman"/>
          <w:sz w:val="24"/>
          <w:szCs w:val="24"/>
        </w:rPr>
        <w:t>u</w:t>
      </w:r>
      <w:r w:rsidRPr="00C452D0">
        <w:rPr>
          <w:rFonts w:ascii="Times New Roman" w:hAnsi="Times New Roman" w:cs="Times New Roman"/>
          <w:sz w:val="24"/>
          <w:szCs w:val="24"/>
        </w:rPr>
        <w:t xml:space="preserve"> zawyżonych cen na różnego rodzaju usługi niematerialne (marketingowe, doradcze, księgowe itp.), globalne koncerny są w stanie dość swobodnie „regulować” wartości zysków osiąganych na poszczególnych rynkach w celu wyprowadzenia dochodów do tego kraju (krajów), w którym uzyskają najkorzystniejsze warunki opodatkowania.</w:t>
      </w:r>
    </w:p>
    <w:p w14:paraId="18CB4A76" w14:textId="01AFC1A3" w:rsidR="00053414" w:rsidRPr="00C452D0" w:rsidRDefault="009836FB" w:rsidP="00F4725B">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 xml:space="preserve">W trakcie badania relacji zachodzących pomiędzy polskim podatnikiem a powiązanym z nim podmiotem zagranicznym organy podatkowe zobligowane są sprawdzić, czy w kontaktach pomiędzy tymi podmiotami przestrzegana jest tzw. zasada </w:t>
      </w:r>
      <w:r w:rsidR="007306A6" w:rsidRPr="00C452D0">
        <w:rPr>
          <w:rFonts w:ascii="Times New Roman" w:hAnsi="Times New Roman" w:cs="Times New Roman"/>
          <w:sz w:val="24"/>
          <w:szCs w:val="24"/>
        </w:rPr>
        <w:t>ceny rynkowej</w:t>
      </w:r>
      <w:r w:rsidR="00E13AEB" w:rsidRPr="00C452D0">
        <w:rPr>
          <w:rFonts w:ascii="Times New Roman" w:hAnsi="Times New Roman" w:cs="Times New Roman"/>
          <w:sz w:val="24"/>
          <w:szCs w:val="24"/>
        </w:rPr>
        <w:t xml:space="preserve"> (nazywana też zasadą długości ramienia lub zasadą dystansu)</w:t>
      </w:r>
      <w:r w:rsidR="007306A6" w:rsidRPr="00C452D0">
        <w:rPr>
          <w:rFonts w:ascii="Times New Roman" w:hAnsi="Times New Roman" w:cs="Times New Roman"/>
          <w:sz w:val="24"/>
          <w:szCs w:val="24"/>
        </w:rPr>
        <w:t>.</w:t>
      </w:r>
      <w:r w:rsidRPr="00C452D0">
        <w:rPr>
          <w:rFonts w:ascii="Times New Roman" w:hAnsi="Times New Roman" w:cs="Times New Roman"/>
          <w:sz w:val="24"/>
          <w:szCs w:val="24"/>
        </w:rPr>
        <w:t xml:space="preserve"> </w:t>
      </w:r>
      <w:r w:rsidR="007306A6" w:rsidRPr="00C452D0">
        <w:rPr>
          <w:rFonts w:ascii="Times New Roman" w:hAnsi="Times New Roman" w:cs="Times New Roman"/>
          <w:sz w:val="24"/>
          <w:szCs w:val="24"/>
        </w:rPr>
        <w:t>Z</w:t>
      </w:r>
      <w:r w:rsidRPr="00C452D0">
        <w:rPr>
          <w:rFonts w:ascii="Times New Roman" w:hAnsi="Times New Roman" w:cs="Times New Roman"/>
          <w:sz w:val="24"/>
          <w:szCs w:val="24"/>
        </w:rPr>
        <w:t>godnie z</w:t>
      </w:r>
      <w:r w:rsidR="007306A6" w:rsidRPr="00C452D0">
        <w:rPr>
          <w:rFonts w:ascii="Times New Roman" w:hAnsi="Times New Roman" w:cs="Times New Roman"/>
          <w:sz w:val="24"/>
          <w:szCs w:val="24"/>
        </w:rPr>
        <w:t xml:space="preserve"> </w:t>
      </w:r>
      <w:r w:rsidRPr="00C452D0">
        <w:rPr>
          <w:rFonts w:ascii="Times New Roman" w:hAnsi="Times New Roman" w:cs="Times New Roman"/>
          <w:sz w:val="24"/>
          <w:szCs w:val="24"/>
        </w:rPr>
        <w:t>tą</w:t>
      </w:r>
      <w:r w:rsidR="007306A6" w:rsidRPr="00C452D0">
        <w:rPr>
          <w:rFonts w:ascii="Times New Roman" w:hAnsi="Times New Roman" w:cs="Times New Roman"/>
          <w:sz w:val="24"/>
          <w:szCs w:val="24"/>
        </w:rPr>
        <w:t xml:space="preserve"> zasadą</w:t>
      </w:r>
      <w:r w:rsidRPr="00C452D0">
        <w:rPr>
          <w:rFonts w:ascii="Times New Roman" w:hAnsi="Times New Roman" w:cs="Times New Roman"/>
          <w:sz w:val="24"/>
          <w:szCs w:val="24"/>
        </w:rPr>
        <w:t xml:space="preserve"> przy ustalaniu cen we wzajemnych transakcjach podmioty</w:t>
      </w:r>
      <w:r w:rsidR="007306A6" w:rsidRPr="00C452D0">
        <w:rPr>
          <w:rFonts w:ascii="Times New Roman" w:hAnsi="Times New Roman" w:cs="Times New Roman"/>
          <w:sz w:val="24"/>
          <w:szCs w:val="24"/>
        </w:rPr>
        <w:t xml:space="preserve"> powiązane są zobowiązane stosować metody wyceny nieodbiegające od metod stosowanych przez niezależne przedsiębiorstwa w warunkach wolnej</w:t>
      </w:r>
      <w:r w:rsidR="00BD0129" w:rsidRPr="00C452D0">
        <w:rPr>
          <w:rFonts w:ascii="Times New Roman" w:hAnsi="Times New Roman" w:cs="Times New Roman"/>
          <w:sz w:val="24"/>
          <w:szCs w:val="24"/>
        </w:rPr>
        <w:t xml:space="preserve"> konkurencji, w </w:t>
      </w:r>
      <w:r w:rsidR="007306A6" w:rsidRPr="00C452D0">
        <w:rPr>
          <w:rFonts w:ascii="Times New Roman" w:hAnsi="Times New Roman" w:cs="Times New Roman"/>
          <w:sz w:val="24"/>
          <w:szCs w:val="24"/>
        </w:rPr>
        <w:t>której o poziomach cen decydują popyt i podaż. Badanie przez organy podatkowe cen transferowych sprowadza się do sprawdzenia, czy odpowiadają one cenom rynkowym w porównywalnych transakcjach, tj. czy w porównywalnych okolicznościach podmioty niepowiązane ustalają ceny na poziomie podobnym do badanych cen ustal</w:t>
      </w:r>
      <w:r w:rsidR="00BD0129" w:rsidRPr="00C452D0">
        <w:rPr>
          <w:rFonts w:ascii="Times New Roman" w:hAnsi="Times New Roman" w:cs="Times New Roman"/>
          <w:sz w:val="24"/>
          <w:szCs w:val="24"/>
        </w:rPr>
        <w:t>onych przez podmioty powiązane.</w:t>
      </w:r>
    </w:p>
    <w:p w14:paraId="33EBD18B" w14:textId="5C01A86B" w:rsidR="00D27AF7" w:rsidRDefault="00D27AF7" w:rsidP="00F4725B">
      <w:pPr>
        <w:spacing w:line="240" w:lineRule="auto"/>
        <w:jc w:val="both"/>
        <w:rPr>
          <w:rFonts w:ascii="Times New Roman" w:hAnsi="Times New Roman" w:cs="Times New Roman"/>
          <w:sz w:val="24"/>
          <w:szCs w:val="24"/>
        </w:rPr>
      </w:pPr>
      <w:r w:rsidRPr="00C452D0">
        <w:rPr>
          <w:rFonts w:ascii="Times New Roman" w:hAnsi="Times New Roman" w:cs="Times New Roman"/>
          <w:sz w:val="24"/>
          <w:szCs w:val="24"/>
        </w:rPr>
        <w:t xml:space="preserve">Zgodnie z wynikami analizy (pismo z dnia 14 sierpnia 2015r. Nr IS_CK/4033-0014/15/39731) przeprowadzonej </w:t>
      </w:r>
      <w:r w:rsidR="00BD0129" w:rsidRPr="00C452D0">
        <w:rPr>
          <w:rFonts w:ascii="Times New Roman" w:hAnsi="Times New Roman" w:cs="Times New Roman"/>
          <w:sz w:val="24"/>
          <w:szCs w:val="24"/>
        </w:rPr>
        <w:t xml:space="preserve">przez </w:t>
      </w:r>
      <w:r w:rsidRPr="00C452D0">
        <w:rPr>
          <w:rFonts w:ascii="Times New Roman" w:hAnsi="Times New Roman" w:cs="Times New Roman"/>
          <w:sz w:val="24"/>
          <w:szCs w:val="24"/>
        </w:rPr>
        <w:t xml:space="preserve">Dyrektora Izby Skarbowej w Łodzi, wykonującego zadania Centrum Kompetencyjnego ds. Cen Transferowych, w 2014r. zaobserwowano niekorzystne zjawisko spadku (w stosunku do roku 2013) wartości uszczupleń ustalonych w wyniku kontroli cen transferowych w łącznej wartości uszczupleń ustalonych  </w:t>
      </w:r>
      <w:r w:rsidR="0040315C" w:rsidRPr="00C452D0">
        <w:rPr>
          <w:rFonts w:ascii="Times New Roman" w:hAnsi="Times New Roman" w:cs="Times New Roman"/>
          <w:sz w:val="24"/>
          <w:szCs w:val="24"/>
        </w:rPr>
        <w:t>w toku kontroli podatkowych z 2,79% (w 2013r.) do poziomu 1,62% (w 2014r.)</w:t>
      </w:r>
      <w:r w:rsidR="00BD0129" w:rsidRPr="00C452D0">
        <w:rPr>
          <w:rFonts w:ascii="Times New Roman" w:hAnsi="Times New Roman" w:cs="Times New Roman"/>
          <w:sz w:val="24"/>
          <w:szCs w:val="24"/>
        </w:rPr>
        <w:t>,</w:t>
      </w:r>
      <w:r w:rsidR="0040315C" w:rsidRPr="00C452D0">
        <w:rPr>
          <w:rFonts w:ascii="Times New Roman" w:hAnsi="Times New Roman" w:cs="Times New Roman"/>
          <w:sz w:val="24"/>
          <w:szCs w:val="24"/>
        </w:rPr>
        <w:t xml:space="preserve"> mimo wyraźnego (o ponad 84%) wzrostu liczby przeprowadzonych w tym zakresie kontroli podatkowych. W konkluzji tej analizy zawarto postulat wzmożenia wysiłków w celu poprawy procesu typowania podmiotów do kontroli </w:t>
      </w:r>
      <w:r w:rsidR="00BD0129" w:rsidRPr="00C452D0">
        <w:rPr>
          <w:rFonts w:ascii="Times New Roman" w:hAnsi="Times New Roman" w:cs="Times New Roman"/>
          <w:sz w:val="24"/>
          <w:szCs w:val="24"/>
        </w:rPr>
        <w:t>w </w:t>
      </w:r>
      <w:r w:rsidR="0040315C" w:rsidRPr="00C452D0">
        <w:rPr>
          <w:rFonts w:ascii="Times New Roman" w:hAnsi="Times New Roman" w:cs="Times New Roman"/>
          <w:sz w:val="24"/>
          <w:szCs w:val="24"/>
        </w:rPr>
        <w:t>zakresie cen transferowych. Jednocześnie C</w:t>
      </w:r>
      <w:r w:rsidR="00BD0129" w:rsidRPr="00C452D0">
        <w:rPr>
          <w:rFonts w:ascii="Times New Roman" w:hAnsi="Times New Roman" w:cs="Times New Roman"/>
          <w:sz w:val="24"/>
          <w:szCs w:val="24"/>
        </w:rPr>
        <w:t>entrum</w:t>
      </w:r>
      <w:r w:rsidR="0040315C" w:rsidRPr="00C452D0">
        <w:rPr>
          <w:rFonts w:ascii="Times New Roman" w:hAnsi="Times New Roman" w:cs="Times New Roman"/>
          <w:sz w:val="24"/>
          <w:szCs w:val="24"/>
        </w:rPr>
        <w:t xml:space="preserve"> ds. Cen Transferowych zapowiedziało aktywny udział w działaniach nakierowanych na zmianę (poprawę) zaistniałej sytuacji, w tym w akcji tworzenia tzw. benchmarkingu</w:t>
      </w:r>
      <w:r w:rsidR="009D214F" w:rsidRPr="00C452D0">
        <w:rPr>
          <w:rFonts w:ascii="Times New Roman" w:hAnsi="Times New Roman" w:cs="Times New Roman"/>
          <w:sz w:val="24"/>
          <w:szCs w:val="24"/>
        </w:rPr>
        <w:t xml:space="preserve"> branż</w:t>
      </w:r>
      <w:r w:rsidR="0040315C" w:rsidRPr="00C452D0">
        <w:rPr>
          <w:rFonts w:ascii="Times New Roman" w:hAnsi="Times New Roman" w:cs="Times New Roman"/>
          <w:sz w:val="24"/>
          <w:szCs w:val="24"/>
        </w:rPr>
        <w:t xml:space="preserve"> stanowiącego </w:t>
      </w:r>
      <w:r w:rsidR="009D214F" w:rsidRPr="00C452D0">
        <w:rPr>
          <w:rFonts w:ascii="Times New Roman" w:hAnsi="Times New Roman" w:cs="Times New Roman"/>
          <w:sz w:val="24"/>
          <w:szCs w:val="24"/>
        </w:rPr>
        <w:t>pewnego rodzaju punkt</w:t>
      </w:r>
      <w:r w:rsidR="0040315C" w:rsidRPr="00C452D0">
        <w:rPr>
          <w:rFonts w:ascii="Times New Roman" w:hAnsi="Times New Roman" w:cs="Times New Roman"/>
          <w:sz w:val="24"/>
          <w:szCs w:val="24"/>
        </w:rPr>
        <w:t xml:space="preserve"> </w:t>
      </w:r>
      <w:r w:rsidR="009D214F" w:rsidRPr="00C452D0">
        <w:rPr>
          <w:rFonts w:ascii="Times New Roman" w:hAnsi="Times New Roman" w:cs="Times New Roman"/>
          <w:sz w:val="24"/>
          <w:szCs w:val="24"/>
        </w:rPr>
        <w:t>odniesienia pozwalający na wstępne wyselekcjonowanie podmiotów z wynikami ekonomicznymi odbiegającymi od wartości przeciętnych w poszczególnych branżach.</w:t>
      </w:r>
    </w:p>
    <w:p w14:paraId="3C7B63CB" w14:textId="77777777" w:rsidR="00053414" w:rsidRDefault="00053414" w:rsidP="00F4725B">
      <w:pPr>
        <w:spacing w:line="240" w:lineRule="auto"/>
        <w:jc w:val="both"/>
        <w:rPr>
          <w:rFonts w:ascii="Times New Roman" w:hAnsi="Times New Roman" w:cs="Times New Roman"/>
          <w:sz w:val="24"/>
          <w:szCs w:val="24"/>
        </w:rPr>
      </w:pPr>
    </w:p>
    <w:p w14:paraId="717F8E2F" w14:textId="77777777" w:rsidR="00074138" w:rsidRPr="00E0089F" w:rsidRDefault="00074138" w:rsidP="00F65683">
      <w:pPr>
        <w:pStyle w:val="Nagwek2"/>
        <w:numPr>
          <w:ilvl w:val="0"/>
          <w:numId w:val="2"/>
        </w:numPr>
        <w:spacing w:after="120" w:line="240" w:lineRule="auto"/>
        <w:jc w:val="both"/>
        <w:rPr>
          <w:b/>
        </w:rPr>
      </w:pPr>
      <w:bookmarkStart w:id="22" w:name="_Toc428775852"/>
      <w:r w:rsidRPr="00E0089F">
        <w:rPr>
          <w:b/>
        </w:rPr>
        <w:t>Ryzyko prowadzenia niezarejestrowanej działalności gospodarczej</w:t>
      </w:r>
      <w:bookmarkEnd w:id="22"/>
    </w:p>
    <w:p w14:paraId="457E931D" w14:textId="77777777" w:rsidR="00074138" w:rsidRPr="00074138" w:rsidRDefault="00074138" w:rsidP="00F65683">
      <w:pPr>
        <w:spacing w:after="0" w:line="240" w:lineRule="auto"/>
        <w:jc w:val="both"/>
        <w:rPr>
          <w:rFonts w:ascii="Times New Roman" w:hAnsi="Times New Roman" w:cs="Times New Roman"/>
          <w:sz w:val="24"/>
        </w:rPr>
      </w:pPr>
      <w:r w:rsidRPr="00074138">
        <w:rPr>
          <w:rFonts w:ascii="Times New Roman" w:hAnsi="Times New Roman" w:cs="Times New Roman"/>
          <w:sz w:val="24"/>
        </w:rPr>
        <w:t>Ryzyko to występuje w podobszarach:</w:t>
      </w:r>
    </w:p>
    <w:p w14:paraId="23DEAB0F" w14:textId="657A69A0" w:rsidR="00074138" w:rsidRPr="00FB7097" w:rsidRDefault="00074138" w:rsidP="00F65683">
      <w:pPr>
        <w:pStyle w:val="Akapitzlist"/>
        <w:numPr>
          <w:ilvl w:val="0"/>
          <w:numId w:val="35"/>
        </w:numPr>
        <w:spacing w:line="240" w:lineRule="auto"/>
        <w:jc w:val="both"/>
        <w:rPr>
          <w:rFonts w:ascii="Times New Roman" w:hAnsi="Times New Roman" w:cs="Times New Roman"/>
          <w:i/>
          <w:sz w:val="24"/>
        </w:rPr>
      </w:pPr>
      <w:r w:rsidRPr="00FB7097">
        <w:rPr>
          <w:rFonts w:ascii="Times New Roman" w:hAnsi="Times New Roman" w:cs="Times New Roman"/>
          <w:i/>
          <w:sz w:val="24"/>
        </w:rPr>
        <w:t>E-handel i usługi informatyczne</w:t>
      </w:r>
      <w:r w:rsidR="00B92BCF">
        <w:rPr>
          <w:rFonts w:ascii="Times New Roman" w:hAnsi="Times New Roman" w:cs="Times New Roman"/>
          <w:i/>
          <w:sz w:val="24"/>
        </w:rPr>
        <w:t>,</w:t>
      </w:r>
    </w:p>
    <w:p w14:paraId="30552B07" w14:textId="24330F85" w:rsidR="00074138" w:rsidRPr="00FB7097" w:rsidRDefault="00074138" w:rsidP="00F65683">
      <w:pPr>
        <w:pStyle w:val="Akapitzlist"/>
        <w:numPr>
          <w:ilvl w:val="0"/>
          <w:numId w:val="35"/>
        </w:numPr>
        <w:spacing w:line="240" w:lineRule="auto"/>
        <w:jc w:val="both"/>
        <w:rPr>
          <w:rFonts w:ascii="Times New Roman" w:hAnsi="Times New Roman" w:cs="Times New Roman"/>
          <w:i/>
          <w:sz w:val="24"/>
        </w:rPr>
      </w:pPr>
      <w:r w:rsidRPr="00FB7097">
        <w:rPr>
          <w:rFonts w:ascii="Times New Roman" w:hAnsi="Times New Roman" w:cs="Times New Roman"/>
          <w:i/>
          <w:sz w:val="24"/>
        </w:rPr>
        <w:t>Motoryzacja</w:t>
      </w:r>
      <w:r w:rsidR="00B92BCF">
        <w:rPr>
          <w:rFonts w:ascii="Times New Roman" w:hAnsi="Times New Roman" w:cs="Times New Roman"/>
          <w:i/>
          <w:sz w:val="24"/>
        </w:rPr>
        <w:t>.</w:t>
      </w:r>
    </w:p>
    <w:p w14:paraId="1F36D205" w14:textId="0DD3AB7D" w:rsidR="00E15EFC" w:rsidRDefault="00E15EFC" w:rsidP="00F65683">
      <w:pPr>
        <w:spacing w:line="240" w:lineRule="auto"/>
        <w:jc w:val="both"/>
        <w:rPr>
          <w:rFonts w:ascii="Times New Roman" w:hAnsi="Times New Roman" w:cs="Times New Roman"/>
          <w:sz w:val="24"/>
          <w:szCs w:val="24"/>
        </w:rPr>
      </w:pPr>
      <w:r w:rsidRPr="00E15EFC">
        <w:rPr>
          <w:rFonts w:ascii="Times New Roman" w:hAnsi="Times New Roman" w:cs="Times New Roman"/>
          <w:sz w:val="24"/>
          <w:szCs w:val="24"/>
        </w:rPr>
        <w:t>Problem braku rejestracji działalności gospodarczej zidentyfikowano jedynie w grupie pozostałych urzędów skarbowych.</w:t>
      </w:r>
    </w:p>
    <w:p w14:paraId="236B8640" w14:textId="6840FA30" w:rsidR="00E15EFC" w:rsidRPr="00074138" w:rsidRDefault="00E15EFC"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 xml:space="preserve">Zjawisko prowadzenia niezarejestrowanej działalności charakteryzuje się wysokim ryzykiem nadużyć podatkowych. Podmioty nie dokonujące wymaganej przepisami prawa rejestracji działalności, nie składają </w:t>
      </w:r>
      <w:r w:rsidR="0006090A">
        <w:rPr>
          <w:rFonts w:ascii="Times New Roman" w:hAnsi="Times New Roman" w:cs="Times New Roman"/>
          <w:sz w:val="24"/>
          <w:szCs w:val="24"/>
        </w:rPr>
        <w:t>jednocz</w:t>
      </w:r>
      <w:r w:rsidR="00080AAE">
        <w:rPr>
          <w:rFonts w:ascii="Times New Roman" w:hAnsi="Times New Roman" w:cs="Times New Roman"/>
          <w:sz w:val="24"/>
          <w:szCs w:val="24"/>
        </w:rPr>
        <w:t xml:space="preserve">eśnie </w:t>
      </w:r>
      <w:r w:rsidRPr="00074138">
        <w:rPr>
          <w:rFonts w:ascii="Times New Roman" w:hAnsi="Times New Roman" w:cs="Times New Roman"/>
          <w:sz w:val="24"/>
          <w:szCs w:val="24"/>
        </w:rPr>
        <w:t>deklaracji podatkowych oraz nie odprowadzają należnych podatków. Skutkiem jest nie tylko uszczuplenie należności budżetowych, ale</w:t>
      </w:r>
      <w:r w:rsidR="00080AAE">
        <w:rPr>
          <w:rFonts w:ascii="Times New Roman" w:hAnsi="Times New Roman" w:cs="Times New Roman"/>
          <w:sz w:val="24"/>
          <w:szCs w:val="24"/>
        </w:rPr>
        <w:t> </w:t>
      </w:r>
      <w:r w:rsidRPr="00074138">
        <w:rPr>
          <w:rFonts w:ascii="Times New Roman" w:hAnsi="Times New Roman" w:cs="Times New Roman"/>
          <w:sz w:val="24"/>
          <w:szCs w:val="24"/>
        </w:rPr>
        <w:t>również wzmacnianie w</w:t>
      </w:r>
      <w:r>
        <w:rPr>
          <w:rFonts w:ascii="Times New Roman" w:hAnsi="Times New Roman" w:cs="Times New Roman"/>
          <w:sz w:val="24"/>
          <w:szCs w:val="24"/>
        </w:rPr>
        <w:t> </w:t>
      </w:r>
      <w:r w:rsidRPr="00074138">
        <w:rPr>
          <w:rFonts w:ascii="Times New Roman" w:hAnsi="Times New Roman" w:cs="Times New Roman"/>
          <w:sz w:val="24"/>
          <w:szCs w:val="24"/>
        </w:rPr>
        <w:t>społeczeństwie przeświadczenia o możliwości bezkarnego unikania płacenia podatków oraz prowadzenie nieuczciwej konkurencji w stosunku do firm działających legalnie.</w:t>
      </w:r>
    </w:p>
    <w:p w14:paraId="553B90B0" w14:textId="692A946A" w:rsidR="00E15EFC" w:rsidRDefault="00E15EFC" w:rsidP="00F65683">
      <w:pPr>
        <w:spacing w:after="0" w:line="240" w:lineRule="auto"/>
        <w:jc w:val="both"/>
        <w:rPr>
          <w:rFonts w:ascii="Times New Roman" w:hAnsi="Times New Roman" w:cs="Times New Roman"/>
          <w:sz w:val="24"/>
          <w:szCs w:val="24"/>
        </w:rPr>
      </w:pPr>
      <w:r w:rsidRPr="00FB7097">
        <w:rPr>
          <w:rFonts w:ascii="Times New Roman" w:hAnsi="Times New Roman" w:cs="Times New Roman"/>
          <w:i/>
          <w:sz w:val="24"/>
        </w:rPr>
        <w:t>E-handel i usługi informatyczne</w:t>
      </w:r>
    </w:p>
    <w:p w14:paraId="65D32A53" w14:textId="505C6C19"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Dynamiczny rozwój e-handlu oraz jego transgraniczny charakter sprzyjają pojawianiu się nowych form uzyskiwania niezarejestrowanych dochodów. Czynnikiem sprzyjającym ekspansji różnych form nierejestrowanej działalności gospodarczej jest duży udział pieniądza gotówkowego w obiegu oraz nie</w:t>
      </w:r>
      <w:r w:rsidR="00E15EFC">
        <w:rPr>
          <w:rFonts w:ascii="Times New Roman" w:hAnsi="Times New Roman" w:cs="Times New Roman"/>
          <w:sz w:val="24"/>
          <w:szCs w:val="24"/>
        </w:rPr>
        <w:t xml:space="preserve">dostateczny </w:t>
      </w:r>
      <w:r w:rsidRPr="00074138">
        <w:rPr>
          <w:rFonts w:ascii="Times New Roman" w:hAnsi="Times New Roman" w:cs="Times New Roman"/>
          <w:sz w:val="24"/>
          <w:szCs w:val="24"/>
        </w:rPr>
        <w:t>rozwój płatności elektronicznych.</w:t>
      </w:r>
    </w:p>
    <w:p w14:paraId="710BB127" w14:textId="50BAC065"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Czynnikiem zachęcającym przedsiębiorców do unikania opodatkowania są trudności urzędów celnych i skarbowych z kontrolą sklepów i osób oferujących usługi przez Internet. Jedną z</w:t>
      </w:r>
      <w:r w:rsidR="00E15EFC">
        <w:rPr>
          <w:rFonts w:ascii="Times New Roman" w:hAnsi="Times New Roman" w:cs="Times New Roman"/>
          <w:sz w:val="24"/>
          <w:szCs w:val="24"/>
        </w:rPr>
        <w:t> </w:t>
      </w:r>
      <w:r w:rsidRPr="00074138">
        <w:rPr>
          <w:rFonts w:ascii="Times New Roman" w:hAnsi="Times New Roman" w:cs="Times New Roman"/>
          <w:sz w:val="24"/>
          <w:szCs w:val="24"/>
        </w:rPr>
        <w:t>głównych barier w sprawnym działaniu urzędów skarbowych jest brak odpowiednich przepisów prawnych. Negatywny wpływ na efektywność ich działania ma również niedostosowana infrastruktura teleinformatyczna. Problem stanowi także ograniczony dostęp do danych pozwalających zidentyfikować osoby zaangażowane w e-handel.</w:t>
      </w:r>
    </w:p>
    <w:p w14:paraId="0CB4BCFF" w14:textId="1FCAF6E7" w:rsidR="00E15EFC" w:rsidRDefault="00074138" w:rsidP="00F65683">
      <w:pPr>
        <w:spacing w:line="240" w:lineRule="auto"/>
        <w:jc w:val="both"/>
        <w:rPr>
          <w:rFonts w:ascii="Times New Roman" w:hAnsi="Times New Roman" w:cs="Times New Roman"/>
          <w:i/>
          <w:sz w:val="24"/>
        </w:rPr>
      </w:pPr>
      <w:r w:rsidRPr="00074138">
        <w:rPr>
          <w:rFonts w:ascii="Times New Roman" w:hAnsi="Times New Roman" w:cs="Times New Roman"/>
          <w:sz w:val="24"/>
          <w:szCs w:val="24"/>
        </w:rPr>
        <w:t>Potoczne rozumienie ogranicza e-handel do transakcji w sklepach internetowych oraz na portalach aukcyjnych. W rzeczywistości jest to obszar znacznie szerszy, obejmujący wiele usług elektronicznych, m.in. tworzenie i utrzymywanie witryn internetowych, dostarczanie oprogramowania, a także gry losowe.</w:t>
      </w:r>
    </w:p>
    <w:p w14:paraId="3D6FEE18" w14:textId="77777777" w:rsidR="00E15EFC" w:rsidRDefault="00E15EFC" w:rsidP="00F65683">
      <w:pPr>
        <w:spacing w:after="0" w:line="240" w:lineRule="auto"/>
        <w:jc w:val="both"/>
        <w:rPr>
          <w:rFonts w:ascii="Times New Roman" w:hAnsi="Times New Roman" w:cs="Times New Roman"/>
          <w:sz w:val="24"/>
          <w:szCs w:val="24"/>
        </w:rPr>
      </w:pPr>
      <w:r w:rsidRPr="00FB7097">
        <w:rPr>
          <w:rFonts w:ascii="Times New Roman" w:hAnsi="Times New Roman" w:cs="Times New Roman"/>
          <w:i/>
          <w:sz w:val="24"/>
        </w:rPr>
        <w:t>Motoryzacja</w:t>
      </w:r>
      <w:r w:rsidRPr="00074138">
        <w:rPr>
          <w:rFonts w:ascii="Times New Roman" w:hAnsi="Times New Roman" w:cs="Times New Roman"/>
          <w:sz w:val="24"/>
          <w:szCs w:val="24"/>
        </w:rPr>
        <w:t xml:space="preserve"> </w:t>
      </w:r>
    </w:p>
    <w:p w14:paraId="3F008BE0" w14:textId="35D7E10A"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Zjawisko prowadzenia niezarejestrowanej działalności zaobserwowano również u osób dokonujących wielokrotnego sprowadzania używanych samochodów z zagranicy i ich dalszej odsprzedaży na podstawie cywilnoprawnych umów kupna-sprzedaży. Mimo wykonywania tych czynności w sposób powtarzalny lub ciągły, podatnicy ci nie dokonują rejestracji działalności gospodarczej dla celów podatkowych. Sprowadzone samochody, przed upływem pół roku, licząc od końca miesiąca, w którym nastąpiło nabycie, oferowane są do sprzedaży, a</w:t>
      </w:r>
      <w:r w:rsidR="00E15EFC">
        <w:rPr>
          <w:rFonts w:ascii="Times New Roman" w:hAnsi="Times New Roman" w:cs="Times New Roman"/>
          <w:sz w:val="24"/>
          <w:szCs w:val="24"/>
        </w:rPr>
        <w:t> </w:t>
      </w:r>
      <w:r w:rsidRPr="00074138">
        <w:rPr>
          <w:rFonts w:ascii="Times New Roman" w:hAnsi="Times New Roman" w:cs="Times New Roman"/>
          <w:sz w:val="24"/>
          <w:szCs w:val="24"/>
        </w:rPr>
        <w:t>umowy zawierają fikcyjne ceny sprzedaży „po kosztach" lub poniżej wartości nabycia. Sprzedawcy chcą uniknąć w ten sposób obowiązku zapłaty znacznych kwot podatku dochodowego od osób fizycznych. Natomiast w celu ukrycia faktu prowadzenia działalności gospodarczej oraz obowiązku zapłaty podatku od towarów i usług, a także podatku dochodowego od osób fizycznych samochody są sprowadzane często na podstawione osoby (często członków najbliższej rodziny) lub każdorazowo na osobę zamawiającą dany pojazd.</w:t>
      </w:r>
    </w:p>
    <w:p w14:paraId="1302E5DF" w14:textId="197EE237"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W świetle przepisów art. 15 ust. 1 i 2 ustawy o podatku od towarów i usług osoby sprowadzające samochody z państw Unii Europejskiej i następnie sprzedające je na terenie Polski (formalnie nie prowadząc działalności gospodarczej), spełniają przesłanki (z</w:t>
      </w:r>
      <w:r w:rsidR="00035BF0">
        <w:rPr>
          <w:rFonts w:ascii="Times New Roman" w:hAnsi="Times New Roman" w:cs="Times New Roman"/>
          <w:sz w:val="24"/>
          <w:szCs w:val="24"/>
        </w:rPr>
        <w:t> </w:t>
      </w:r>
      <w:r w:rsidRPr="00074138">
        <w:rPr>
          <w:rFonts w:ascii="Times New Roman" w:hAnsi="Times New Roman" w:cs="Times New Roman"/>
          <w:sz w:val="24"/>
          <w:szCs w:val="24"/>
        </w:rPr>
        <w:t>uwzględnieniem treści art. 113 przedmiotowej ustawy) do uznania ich za podatników podatku od towarów i usłu</w:t>
      </w:r>
      <w:r w:rsidR="00035BF0">
        <w:rPr>
          <w:rFonts w:ascii="Times New Roman" w:hAnsi="Times New Roman" w:cs="Times New Roman"/>
          <w:sz w:val="24"/>
          <w:szCs w:val="24"/>
        </w:rPr>
        <w:t>g. Ponadto należy zwrócić uwagę</w:t>
      </w:r>
      <w:r w:rsidRPr="00074138">
        <w:rPr>
          <w:rFonts w:ascii="Times New Roman" w:hAnsi="Times New Roman" w:cs="Times New Roman"/>
          <w:sz w:val="24"/>
          <w:szCs w:val="24"/>
        </w:rPr>
        <w:t>, iż z dniem 1 stycznia 2015 r. zniesiono obowiązek uzyskania z urzędu skarbowego dla potrzeb rejestracji sprowadzanych pojazdów z innych państw członkowskich Unii Europejskiej zaświadczenia (VAT-25) potwierdzającego uiszczenie przez podatnika podatku lub brak obowiązku uiszczenia podatku z tytułu przywozu tych pojazdów. Zaświadczenie to nie będzie zatem już wymagane przez ograny dokonujące stałej rejestracji pojazdów.</w:t>
      </w:r>
    </w:p>
    <w:p w14:paraId="71395927" w14:textId="77777777"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Biorąc pod uwagę charakter czynności polegających na sprowadzaniu używanych samochodów celem dalszej ich odsprzedaży, na podstawie art. 5a pkt 6 ustawy o podatku dochodowym od osób fizycznych należy uznać, iż dokonywane są one w ramach prowadzonej działalności gospodarczej. Natomiast podatnicy trudniący się zakupem i przywożeniem samochodów oraz dalszą ich odsprzedażą, często nie są zarejestrowani, jako osoby prowadzące działalność gospodarczą i nie wykazują dla celów podatkowych dochodów/obrotów uzyskanych w wyniku przedmiotowych transakcji.</w:t>
      </w:r>
    </w:p>
    <w:p w14:paraId="401E0F66" w14:textId="77777777" w:rsidR="00074138" w:rsidRPr="00074138" w:rsidRDefault="00074138" w:rsidP="00F65683">
      <w:pPr>
        <w:spacing w:line="240" w:lineRule="auto"/>
        <w:jc w:val="both"/>
        <w:rPr>
          <w:rFonts w:ascii="Times New Roman" w:hAnsi="Times New Roman" w:cs="Times New Roman"/>
          <w:sz w:val="24"/>
          <w:szCs w:val="24"/>
        </w:rPr>
      </w:pPr>
      <w:r w:rsidRPr="00074138">
        <w:rPr>
          <w:rFonts w:ascii="Times New Roman" w:hAnsi="Times New Roman" w:cs="Times New Roman"/>
          <w:sz w:val="24"/>
          <w:szCs w:val="24"/>
        </w:rPr>
        <w:t>W odniesieniu do napraw ryzyko związane jest z nielegalnie prowadzonymi warsztatami samochodowymi – naprawy są prowadzone z wykorzystaniem części klienta lub kupowanymi bez faktur. Zakupy części mogą być też dokonywane na giełdach samochodowych lub na złomowiskach samochodowych.</w:t>
      </w:r>
    </w:p>
    <w:p w14:paraId="5C419AFD" w14:textId="77777777" w:rsidR="00074138" w:rsidRPr="00074138" w:rsidRDefault="00074138" w:rsidP="00F65683">
      <w:pPr>
        <w:spacing w:line="240" w:lineRule="auto"/>
        <w:jc w:val="both"/>
        <w:rPr>
          <w:rFonts w:ascii="Times New Roman" w:hAnsi="Times New Roman" w:cs="Times New Roman"/>
          <w:sz w:val="24"/>
          <w:szCs w:val="24"/>
        </w:rPr>
      </w:pPr>
    </w:p>
    <w:p w14:paraId="4A8C6F3D" w14:textId="77777777" w:rsidR="00074138" w:rsidRDefault="00074138" w:rsidP="00F65683">
      <w:pPr>
        <w:spacing w:line="240" w:lineRule="auto"/>
      </w:pPr>
    </w:p>
    <w:p w14:paraId="2195237F" w14:textId="77777777" w:rsidR="00074138" w:rsidRPr="00BC465B" w:rsidRDefault="00074138" w:rsidP="00F65683">
      <w:pPr>
        <w:spacing w:after="360" w:line="240" w:lineRule="auto"/>
        <w:jc w:val="both"/>
        <w:rPr>
          <w:rFonts w:ascii="Times New Roman" w:hAnsi="Times New Roman" w:cs="Times New Roman"/>
          <w:sz w:val="24"/>
          <w:szCs w:val="24"/>
        </w:rPr>
      </w:pPr>
    </w:p>
    <w:sectPr w:rsidR="00074138" w:rsidRPr="00BC465B" w:rsidSect="002224A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60B" w14:textId="77777777" w:rsidR="0066591D" w:rsidRDefault="0066591D" w:rsidP="002224A5">
      <w:pPr>
        <w:spacing w:after="0" w:line="240" w:lineRule="auto"/>
      </w:pPr>
      <w:r>
        <w:separator/>
      </w:r>
    </w:p>
  </w:endnote>
  <w:endnote w:type="continuationSeparator" w:id="0">
    <w:p w14:paraId="3E2D75C3" w14:textId="77777777" w:rsidR="0066591D" w:rsidRDefault="0066591D" w:rsidP="0022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665875"/>
      <w:docPartObj>
        <w:docPartGallery w:val="Page Numbers (Bottom of Page)"/>
        <w:docPartUnique/>
      </w:docPartObj>
    </w:sdtPr>
    <w:sdtEndPr/>
    <w:sdtContent>
      <w:p w14:paraId="2CAF4EF5" w14:textId="77777777" w:rsidR="00806DC7" w:rsidRDefault="00806DC7">
        <w:pPr>
          <w:pStyle w:val="Stopka"/>
          <w:jc w:val="right"/>
        </w:pPr>
        <w:r>
          <w:fldChar w:fldCharType="begin"/>
        </w:r>
        <w:r>
          <w:instrText>PAGE   \* MERGEFORMAT</w:instrText>
        </w:r>
        <w:r>
          <w:fldChar w:fldCharType="separate"/>
        </w:r>
        <w:r w:rsidR="002253E9">
          <w:rPr>
            <w:noProof/>
          </w:rPr>
          <w:t>3</w:t>
        </w:r>
        <w:r>
          <w:fldChar w:fldCharType="end"/>
        </w:r>
      </w:p>
    </w:sdtContent>
  </w:sdt>
  <w:p w14:paraId="5C74D4C9" w14:textId="77777777" w:rsidR="00806DC7" w:rsidRDefault="00806D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5FF33" w14:textId="77777777" w:rsidR="0066591D" w:rsidRDefault="0066591D" w:rsidP="002224A5">
      <w:pPr>
        <w:spacing w:after="0" w:line="240" w:lineRule="auto"/>
      </w:pPr>
      <w:r>
        <w:separator/>
      </w:r>
    </w:p>
  </w:footnote>
  <w:footnote w:type="continuationSeparator" w:id="0">
    <w:p w14:paraId="2D056163" w14:textId="77777777" w:rsidR="0066591D" w:rsidRDefault="0066591D" w:rsidP="0022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AB2"/>
    <w:multiLevelType w:val="hybridMultilevel"/>
    <w:tmpl w:val="44E6B1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233D1"/>
    <w:multiLevelType w:val="hybridMultilevel"/>
    <w:tmpl w:val="0F4AF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4A13F9"/>
    <w:multiLevelType w:val="hybridMultilevel"/>
    <w:tmpl w:val="1536F8D0"/>
    <w:lvl w:ilvl="0" w:tplc="04150017">
      <w:start w:val="1"/>
      <w:numFmt w:val="lowerLetter"/>
      <w:lvlText w:val="%1)"/>
      <w:lvlJc w:val="left"/>
      <w:pPr>
        <w:ind w:left="720" w:hanging="360"/>
      </w:pPr>
      <w:rPr>
        <w:rFonts w:hint="default"/>
      </w:rPr>
    </w:lvl>
    <w:lvl w:ilvl="1" w:tplc="E2988B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34E89"/>
    <w:multiLevelType w:val="hybridMultilevel"/>
    <w:tmpl w:val="5C488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571AE7"/>
    <w:multiLevelType w:val="hybridMultilevel"/>
    <w:tmpl w:val="674AF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322A6"/>
    <w:multiLevelType w:val="hybridMultilevel"/>
    <w:tmpl w:val="A10E0754"/>
    <w:lvl w:ilvl="0" w:tplc="0415000F">
      <w:start w:val="1"/>
      <w:numFmt w:val="decimal"/>
      <w:lvlText w:val="%1."/>
      <w:lvlJc w:val="left"/>
      <w:pPr>
        <w:ind w:left="720" w:hanging="360"/>
      </w:pPr>
    </w:lvl>
    <w:lvl w:ilvl="1" w:tplc="590230AC">
      <w:start w:val="1"/>
      <w:numFmt w:val="decimal"/>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55578"/>
    <w:multiLevelType w:val="hybridMultilevel"/>
    <w:tmpl w:val="572ED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9671CB"/>
    <w:multiLevelType w:val="hybridMultilevel"/>
    <w:tmpl w:val="5CAA7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86703"/>
    <w:multiLevelType w:val="hybridMultilevel"/>
    <w:tmpl w:val="657CC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235879"/>
    <w:multiLevelType w:val="hybridMultilevel"/>
    <w:tmpl w:val="DE7E2B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44D06EE"/>
    <w:multiLevelType w:val="hybridMultilevel"/>
    <w:tmpl w:val="23CCA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C248DA"/>
    <w:multiLevelType w:val="hybridMultilevel"/>
    <w:tmpl w:val="3D4CEA16"/>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 w15:restartNumberingAfterBreak="0">
    <w:nsid w:val="18232AFF"/>
    <w:multiLevelType w:val="hybridMultilevel"/>
    <w:tmpl w:val="68785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100C51"/>
    <w:multiLevelType w:val="hybridMultilevel"/>
    <w:tmpl w:val="63DA3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F77780"/>
    <w:multiLevelType w:val="hybridMultilevel"/>
    <w:tmpl w:val="83C00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1A3E2B"/>
    <w:multiLevelType w:val="hybridMultilevel"/>
    <w:tmpl w:val="0D806586"/>
    <w:lvl w:ilvl="0" w:tplc="0415000F">
      <w:start w:val="1"/>
      <w:numFmt w:val="decimal"/>
      <w:lvlText w:val="%1."/>
      <w:lvlJc w:val="left"/>
      <w:pPr>
        <w:ind w:left="360" w:hanging="360"/>
      </w:pPr>
      <w:rPr>
        <w:rFonts w:hint="default"/>
      </w:rPr>
    </w:lvl>
    <w:lvl w:ilvl="1" w:tplc="E2988BA6">
      <w:start w:val="1"/>
      <w:numFmt w:val="decimal"/>
      <w:lvlText w:val="%2."/>
      <w:lvlJc w:val="left"/>
      <w:pPr>
        <w:ind w:left="1080" w:hanging="360"/>
      </w:pPr>
      <w:rPr>
        <w:rFonts w:hint="default"/>
      </w:rPr>
    </w:lvl>
    <w:lvl w:ilvl="2" w:tplc="37426C4C">
      <w:start w:val="4"/>
      <w:numFmt w:val="bullet"/>
      <w:lvlText w:val="•"/>
      <w:lvlJc w:val="left"/>
      <w:pPr>
        <w:ind w:left="1980" w:hanging="360"/>
      </w:pPr>
      <w:rPr>
        <w:rFonts w:ascii="Times New Roman" w:eastAsiaTheme="minorHAnsi"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880731B"/>
    <w:multiLevelType w:val="hybridMultilevel"/>
    <w:tmpl w:val="45D69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3A1B94"/>
    <w:multiLevelType w:val="hybridMultilevel"/>
    <w:tmpl w:val="B01CB8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B211E6"/>
    <w:multiLevelType w:val="hybridMultilevel"/>
    <w:tmpl w:val="0D806586"/>
    <w:lvl w:ilvl="0" w:tplc="0415000F">
      <w:start w:val="1"/>
      <w:numFmt w:val="decimal"/>
      <w:lvlText w:val="%1."/>
      <w:lvlJc w:val="left"/>
      <w:pPr>
        <w:ind w:left="360" w:hanging="360"/>
      </w:pPr>
      <w:rPr>
        <w:rFonts w:hint="default"/>
      </w:rPr>
    </w:lvl>
    <w:lvl w:ilvl="1" w:tplc="E2988BA6">
      <w:start w:val="1"/>
      <w:numFmt w:val="decimal"/>
      <w:lvlText w:val="%2."/>
      <w:lvlJc w:val="left"/>
      <w:pPr>
        <w:ind w:left="1080" w:hanging="360"/>
      </w:pPr>
      <w:rPr>
        <w:rFonts w:hint="default"/>
      </w:rPr>
    </w:lvl>
    <w:lvl w:ilvl="2" w:tplc="37426C4C">
      <w:start w:val="4"/>
      <w:numFmt w:val="bullet"/>
      <w:lvlText w:val="•"/>
      <w:lvlJc w:val="left"/>
      <w:pPr>
        <w:ind w:left="1980" w:hanging="360"/>
      </w:pPr>
      <w:rPr>
        <w:rFonts w:ascii="Times New Roman" w:eastAsiaTheme="minorHAnsi"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993DDD"/>
    <w:multiLevelType w:val="hybridMultilevel"/>
    <w:tmpl w:val="1D6AC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842724"/>
    <w:multiLevelType w:val="hybridMultilevel"/>
    <w:tmpl w:val="AA029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EE0955"/>
    <w:multiLevelType w:val="hybridMultilevel"/>
    <w:tmpl w:val="6106B1B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677F72"/>
    <w:multiLevelType w:val="hybridMultilevel"/>
    <w:tmpl w:val="7528E4A6"/>
    <w:lvl w:ilvl="0" w:tplc="0415000F">
      <w:start w:val="1"/>
      <w:numFmt w:val="decimal"/>
      <w:lvlText w:val="%1."/>
      <w:lvlJc w:val="left"/>
      <w:pPr>
        <w:ind w:left="720" w:hanging="360"/>
      </w:pPr>
    </w:lvl>
    <w:lvl w:ilvl="1" w:tplc="590230AC">
      <w:start w:val="1"/>
      <w:numFmt w:val="decimal"/>
      <w:lvlText w:val="%2)"/>
      <w:lvlJc w:val="left"/>
      <w:pPr>
        <w:ind w:left="1485" w:hanging="405"/>
      </w:pPr>
      <w:rPr>
        <w:rFonts w:hint="default"/>
      </w:rPr>
    </w:lvl>
    <w:lvl w:ilvl="2" w:tplc="376CA0D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810F5"/>
    <w:multiLevelType w:val="hybridMultilevel"/>
    <w:tmpl w:val="5F26C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CA5380"/>
    <w:multiLevelType w:val="hybridMultilevel"/>
    <w:tmpl w:val="7528E4A6"/>
    <w:lvl w:ilvl="0" w:tplc="0415000F">
      <w:start w:val="1"/>
      <w:numFmt w:val="decimal"/>
      <w:lvlText w:val="%1."/>
      <w:lvlJc w:val="left"/>
      <w:pPr>
        <w:ind w:left="720" w:hanging="360"/>
      </w:pPr>
    </w:lvl>
    <w:lvl w:ilvl="1" w:tplc="590230AC">
      <w:start w:val="1"/>
      <w:numFmt w:val="decimal"/>
      <w:lvlText w:val="%2)"/>
      <w:lvlJc w:val="left"/>
      <w:pPr>
        <w:ind w:left="1485" w:hanging="405"/>
      </w:pPr>
      <w:rPr>
        <w:rFonts w:hint="default"/>
      </w:rPr>
    </w:lvl>
    <w:lvl w:ilvl="2" w:tplc="376CA0D0">
      <w:start w:val="1"/>
      <w:numFmt w:val="lowerLetter"/>
      <w:lvlText w:val="%3)"/>
      <w:lvlJc w:val="left"/>
      <w:pPr>
        <w:ind w:left="2685" w:hanging="705"/>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F41D8D"/>
    <w:multiLevelType w:val="hybridMultilevel"/>
    <w:tmpl w:val="D1B81176"/>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BAA7554"/>
    <w:multiLevelType w:val="hybridMultilevel"/>
    <w:tmpl w:val="C0644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B105F3"/>
    <w:multiLevelType w:val="hybridMultilevel"/>
    <w:tmpl w:val="1536F8D0"/>
    <w:lvl w:ilvl="0" w:tplc="04150017">
      <w:start w:val="1"/>
      <w:numFmt w:val="lowerLetter"/>
      <w:lvlText w:val="%1)"/>
      <w:lvlJc w:val="left"/>
      <w:pPr>
        <w:ind w:left="720" w:hanging="360"/>
      </w:pPr>
      <w:rPr>
        <w:rFonts w:hint="default"/>
      </w:rPr>
    </w:lvl>
    <w:lvl w:ilvl="1" w:tplc="E2988B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990253"/>
    <w:multiLevelType w:val="hybridMultilevel"/>
    <w:tmpl w:val="BB3EC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F0F6A"/>
    <w:multiLevelType w:val="hybridMultilevel"/>
    <w:tmpl w:val="17AC9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187930"/>
    <w:multiLevelType w:val="hybridMultilevel"/>
    <w:tmpl w:val="B15EF4CA"/>
    <w:lvl w:ilvl="0" w:tplc="0415000F">
      <w:start w:val="1"/>
      <w:numFmt w:val="decimal"/>
      <w:lvlText w:val="%1."/>
      <w:lvlJc w:val="left"/>
      <w:pPr>
        <w:ind w:left="720" w:hanging="360"/>
      </w:pPr>
      <w:rPr>
        <w:rFonts w:hint="default"/>
      </w:rPr>
    </w:lvl>
    <w:lvl w:ilvl="1" w:tplc="7B06F6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7D498D"/>
    <w:multiLevelType w:val="hybridMultilevel"/>
    <w:tmpl w:val="D8864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AC3BBD"/>
    <w:multiLevelType w:val="hybridMultilevel"/>
    <w:tmpl w:val="C1683BBE"/>
    <w:lvl w:ilvl="0" w:tplc="0415000F">
      <w:start w:val="1"/>
      <w:numFmt w:val="decimal"/>
      <w:lvlText w:val="%1."/>
      <w:lvlJc w:val="left"/>
      <w:pPr>
        <w:ind w:left="360" w:hanging="360"/>
      </w:pPr>
      <w:rPr>
        <w:rFonts w:hint="default"/>
      </w:rPr>
    </w:lvl>
    <w:lvl w:ilvl="1" w:tplc="E2988BA6">
      <w:start w:val="1"/>
      <w:numFmt w:val="decimal"/>
      <w:lvlText w:val="%2."/>
      <w:lvlJc w:val="left"/>
      <w:pPr>
        <w:ind w:left="1080" w:hanging="360"/>
      </w:pPr>
      <w:rPr>
        <w:rFonts w:hint="default"/>
      </w:rPr>
    </w:lvl>
    <w:lvl w:ilvl="2" w:tplc="37426C4C">
      <w:start w:val="4"/>
      <w:numFmt w:val="bullet"/>
      <w:lvlText w:val="•"/>
      <w:lvlJc w:val="left"/>
      <w:pPr>
        <w:ind w:left="1980" w:hanging="360"/>
      </w:pPr>
      <w:rPr>
        <w:rFonts w:ascii="Times New Roman" w:eastAsiaTheme="minorHAnsi"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E2463BA"/>
    <w:multiLevelType w:val="hybridMultilevel"/>
    <w:tmpl w:val="6A6C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FD6047"/>
    <w:multiLevelType w:val="hybridMultilevel"/>
    <w:tmpl w:val="8B98A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953D0D"/>
    <w:multiLevelType w:val="hybridMultilevel"/>
    <w:tmpl w:val="03924E6E"/>
    <w:lvl w:ilvl="0" w:tplc="6F8E1E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276F47"/>
    <w:multiLevelType w:val="hybridMultilevel"/>
    <w:tmpl w:val="AC363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2F0278"/>
    <w:multiLevelType w:val="hybridMultilevel"/>
    <w:tmpl w:val="B7E21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646A48"/>
    <w:multiLevelType w:val="hybridMultilevel"/>
    <w:tmpl w:val="40429D18"/>
    <w:lvl w:ilvl="0" w:tplc="0415000F">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79CF5976"/>
    <w:multiLevelType w:val="hybridMultilevel"/>
    <w:tmpl w:val="76ECC8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8"/>
  </w:num>
  <w:num w:numId="4">
    <w:abstractNumId w:val="35"/>
  </w:num>
  <w:num w:numId="5">
    <w:abstractNumId w:val="30"/>
  </w:num>
  <w:num w:numId="6">
    <w:abstractNumId w:val="38"/>
  </w:num>
  <w:num w:numId="7">
    <w:abstractNumId w:val="25"/>
  </w:num>
  <w:num w:numId="8">
    <w:abstractNumId w:val="17"/>
  </w:num>
  <w:num w:numId="9">
    <w:abstractNumId w:val="27"/>
  </w:num>
  <w:num w:numId="10">
    <w:abstractNumId w:val="11"/>
  </w:num>
  <w:num w:numId="11">
    <w:abstractNumId w:val="31"/>
  </w:num>
  <w:num w:numId="12">
    <w:abstractNumId w:val="2"/>
  </w:num>
  <w:num w:numId="13">
    <w:abstractNumId w:val="18"/>
  </w:num>
  <w:num w:numId="14">
    <w:abstractNumId w:val="13"/>
  </w:num>
  <w:num w:numId="15">
    <w:abstractNumId w:val="26"/>
  </w:num>
  <w:num w:numId="16">
    <w:abstractNumId w:val="23"/>
  </w:num>
  <w:num w:numId="17">
    <w:abstractNumId w:val="39"/>
  </w:num>
  <w:num w:numId="18">
    <w:abstractNumId w:val="21"/>
  </w:num>
  <w:num w:numId="19">
    <w:abstractNumId w:val="3"/>
  </w:num>
  <w:num w:numId="20">
    <w:abstractNumId w:val="29"/>
  </w:num>
  <w:num w:numId="21">
    <w:abstractNumId w:val="0"/>
  </w:num>
  <w:num w:numId="22">
    <w:abstractNumId w:val="12"/>
  </w:num>
  <w:num w:numId="23">
    <w:abstractNumId w:val="14"/>
  </w:num>
  <w:num w:numId="24">
    <w:abstractNumId w:val="15"/>
  </w:num>
  <w:num w:numId="25">
    <w:abstractNumId w:val="1"/>
  </w:num>
  <w:num w:numId="26">
    <w:abstractNumId w:val="19"/>
  </w:num>
  <w:num w:numId="27">
    <w:abstractNumId w:val="20"/>
  </w:num>
  <w:num w:numId="28">
    <w:abstractNumId w:val="37"/>
  </w:num>
  <w:num w:numId="29">
    <w:abstractNumId w:val="10"/>
  </w:num>
  <w:num w:numId="30">
    <w:abstractNumId w:val="4"/>
  </w:num>
  <w:num w:numId="31">
    <w:abstractNumId w:val="33"/>
  </w:num>
  <w:num w:numId="32">
    <w:abstractNumId w:val="32"/>
  </w:num>
  <w:num w:numId="33">
    <w:abstractNumId w:val="34"/>
  </w:num>
  <w:num w:numId="34">
    <w:abstractNumId w:val="5"/>
  </w:num>
  <w:num w:numId="35">
    <w:abstractNumId w:val="9"/>
  </w:num>
  <w:num w:numId="36">
    <w:abstractNumId w:val="24"/>
  </w:num>
  <w:num w:numId="37">
    <w:abstractNumId w:val="8"/>
  </w:num>
  <w:num w:numId="38">
    <w:abstractNumId w:val="16"/>
  </w:num>
  <w:num w:numId="39">
    <w:abstractNumId w:val="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46"/>
    <w:rsid w:val="0001505C"/>
    <w:rsid w:val="00035BF0"/>
    <w:rsid w:val="000438C0"/>
    <w:rsid w:val="000467B1"/>
    <w:rsid w:val="0005107E"/>
    <w:rsid w:val="00053414"/>
    <w:rsid w:val="00057AE7"/>
    <w:rsid w:val="0006090A"/>
    <w:rsid w:val="00074138"/>
    <w:rsid w:val="00076DA5"/>
    <w:rsid w:val="00080AAE"/>
    <w:rsid w:val="00087B2E"/>
    <w:rsid w:val="000B1279"/>
    <w:rsid w:val="000B32C6"/>
    <w:rsid w:val="000C1F0A"/>
    <w:rsid w:val="000D3B51"/>
    <w:rsid w:val="000D48C5"/>
    <w:rsid w:val="000F1674"/>
    <w:rsid w:val="0010103B"/>
    <w:rsid w:val="00130FB0"/>
    <w:rsid w:val="00136EDA"/>
    <w:rsid w:val="0015108E"/>
    <w:rsid w:val="001563F2"/>
    <w:rsid w:val="00160008"/>
    <w:rsid w:val="00174CE6"/>
    <w:rsid w:val="00176257"/>
    <w:rsid w:val="00184DF6"/>
    <w:rsid w:val="00196099"/>
    <w:rsid w:val="001B7574"/>
    <w:rsid w:val="001C39CA"/>
    <w:rsid w:val="001D04F1"/>
    <w:rsid w:val="001E4FDB"/>
    <w:rsid w:val="001F0D75"/>
    <w:rsid w:val="002224A5"/>
    <w:rsid w:val="00224961"/>
    <w:rsid w:val="002253E9"/>
    <w:rsid w:val="002342F5"/>
    <w:rsid w:val="002365B8"/>
    <w:rsid w:val="00242ED1"/>
    <w:rsid w:val="00260336"/>
    <w:rsid w:val="00262B11"/>
    <w:rsid w:val="00273166"/>
    <w:rsid w:val="002906DA"/>
    <w:rsid w:val="002A30BE"/>
    <w:rsid w:val="002B0FAE"/>
    <w:rsid w:val="002B445C"/>
    <w:rsid w:val="002B5C53"/>
    <w:rsid w:val="002C21A4"/>
    <w:rsid w:val="002C3956"/>
    <w:rsid w:val="002D2746"/>
    <w:rsid w:val="002E3635"/>
    <w:rsid w:val="002E4131"/>
    <w:rsid w:val="002E6885"/>
    <w:rsid w:val="002E70BD"/>
    <w:rsid w:val="002F3F76"/>
    <w:rsid w:val="00302DFE"/>
    <w:rsid w:val="00321665"/>
    <w:rsid w:val="00326236"/>
    <w:rsid w:val="00341411"/>
    <w:rsid w:val="003457AB"/>
    <w:rsid w:val="00380F5F"/>
    <w:rsid w:val="003900BF"/>
    <w:rsid w:val="003924FB"/>
    <w:rsid w:val="003A3115"/>
    <w:rsid w:val="003A4E49"/>
    <w:rsid w:val="003B029C"/>
    <w:rsid w:val="003B25B1"/>
    <w:rsid w:val="003B434A"/>
    <w:rsid w:val="003B49A5"/>
    <w:rsid w:val="003B675B"/>
    <w:rsid w:val="003D2A6F"/>
    <w:rsid w:val="003D78ED"/>
    <w:rsid w:val="003E4900"/>
    <w:rsid w:val="003F2E17"/>
    <w:rsid w:val="0040315C"/>
    <w:rsid w:val="00411E1A"/>
    <w:rsid w:val="00437144"/>
    <w:rsid w:val="004565E3"/>
    <w:rsid w:val="00492803"/>
    <w:rsid w:val="00493ADB"/>
    <w:rsid w:val="004B068D"/>
    <w:rsid w:val="004B324A"/>
    <w:rsid w:val="004B4574"/>
    <w:rsid w:val="004B4BC0"/>
    <w:rsid w:val="004B5C30"/>
    <w:rsid w:val="004D7507"/>
    <w:rsid w:val="00500F01"/>
    <w:rsid w:val="00506BC3"/>
    <w:rsid w:val="0051662B"/>
    <w:rsid w:val="00520964"/>
    <w:rsid w:val="00550295"/>
    <w:rsid w:val="00551EFC"/>
    <w:rsid w:val="00581C78"/>
    <w:rsid w:val="00582A10"/>
    <w:rsid w:val="005A454C"/>
    <w:rsid w:val="005C71C8"/>
    <w:rsid w:val="005F097D"/>
    <w:rsid w:val="00617474"/>
    <w:rsid w:val="006248B1"/>
    <w:rsid w:val="006535EE"/>
    <w:rsid w:val="006559BD"/>
    <w:rsid w:val="00661C17"/>
    <w:rsid w:val="0066591D"/>
    <w:rsid w:val="0066698E"/>
    <w:rsid w:val="006674A8"/>
    <w:rsid w:val="0068412C"/>
    <w:rsid w:val="00691C57"/>
    <w:rsid w:val="00692C50"/>
    <w:rsid w:val="006A6AFE"/>
    <w:rsid w:val="006B7F92"/>
    <w:rsid w:val="006C223A"/>
    <w:rsid w:val="006C448F"/>
    <w:rsid w:val="006C7273"/>
    <w:rsid w:val="006D0387"/>
    <w:rsid w:val="006F067E"/>
    <w:rsid w:val="007009F2"/>
    <w:rsid w:val="00713F4B"/>
    <w:rsid w:val="007306A6"/>
    <w:rsid w:val="00761870"/>
    <w:rsid w:val="007667FA"/>
    <w:rsid w:val="0077172D"/>
    <w:rsid w:val="007818AE"/>
    <w:rsid w:val="00783827"/>
    <w:rsid w:val="007A1B85"/>
    <w:rsid w:val="007C3D05"/>
    <w:rsid w:val="007D5DC9"/>
    <w:rsid w:val="007E1BD9"/>
    <w:rsid w:val="00806DC7"/>
    <w:rsid w:val="00823A14"/>
    <w:rsid w:val="0082683B"/>
    <w:rsid w:val="008278C9"/>
    <w:rsid w:val="0083618B"/>
    <w:rsid w:val="00871D03"/>
    <w:rsid w:val="00883A96"/>
    <w:rsid w:val="00885BBD"/>
    <w:rsid w:val="008B6E7D"/>
    <w:rsid w:val="008C527E"/>
    <w:rsid w:val="008D163E"/>
    <w:rsid w:val="00906D8E"/>
    <w:rsid w:val="00914CA3"/>
    <w:rsid w:val="00966603"/>
    <w:rsid w:val="00971590"/>
    <w:rsid w:val="00975E56"/>
    <w:rsid w:val="0097692B"/>
    <w:rsid w:val="009836FB"/>
    <w:rsid w:val="009C2686"/>
    <w:rsid w:val="009D214F"/>
    <w:rsid w:val="00A23DE0"/>
    <w:rsid w:val="00A308FE"/>
    <w:rsid w:val="00AA1F18"/>
    <w:rsid w:val="00AC5AE5"/>
    <w:rsid w:val="00AF60D0"/>
    <w:rsid w:val="00B16B9B"/>
    <w:rsid w:val="00B23C94"/>
    <w:rsid w:val="00B24AE6"/>
    <w:rsid w:val="00B24AEA"/>
    <w:rsid w:val="00B24D10"/>
    <w:rsid w:val="00B51D38"/>
    <w:rsid w:val="00B52B4C"/>
    <w:rsid w:val="00B92BCF"/>
    <w:rsid w:val="00B9610B"/>
    <w:rsid w:val="00B966B9"/>
    <w:rsid w:val="00BA4B74"/>
    <w:rsid w:val="00BA75CC"/>
    <w:rsid w:val="00BB0F01"/>
    <w:rsid w:val="00BC2D48"/>
    <w:rsid w:val="00BC465B"/>
    <w:rsid w:val="00BC6298"/>
    <w:rsid w:val="00BD0129"/>
    <w:rsid w:val="00BD128D"/>
    <w:rsid w:val="00BE421E"/>
    <w:rsid w:val="00BF26C5"/>
    <w:rsid w:val="00BF65D2"/>
    <w:rsid w:val="00BF6CC2"/>
    <w:rsid w:val="00C01083"/>
    <w:rsid w:val="00C14B85"/>
    <w:rsid w:val="00C26A26"/>
    <w:rsid w:val="00C30391"/>
    <w:rsid w:val="00C452D0"/>
    <w:rsid w:val="00C52418"/>
    <w:rsid w:val="00C95863"/>
    <w:rsid w:val="00C97EEF"/>
    <w:rsid w:val="00CA5E84"/>
    <w:rsid w:val="00CB0F48"/>
    <w:rsid w:val="00CB76E1"/>
    <w:rsid w:val="00CC7502"/>
    <w:rsid w:val="00CD20C9"/>
    <w:rsid w:val="00CF0DAC"/>
    <w:rsid w:val="00D02457"/>
    <w:rsid w:val="00D13CB4"/>
    <w:rsid w:val="00D262D8"/>
    <w:rsid w:val="00D27AF7"/>
    <w:rsid w:val="00D579DD"/>
    <w:rsid w:val="00D61908"/>
    <w:rsid w:val="00D67946"/>
    <w:rsid w:val="00D73B63"/>
    <w:rsid w:val="00D76B1B"/>
    <w:rsid w:val="00DA6EC9"/>
    <w:rsid w:val="00DB381A"/>
    <w:rsid w:val="00DB692A"/>
    <w:rsid w:val="00DC3E65"/>
    <w:rsid w:val="00DD0F3B"/>
    <w:rsid w:val="00DD29E1"/>
    <w:rsid w:val="00DE054C"/>
    <w:rsid w:val="00DE67DF"/>
    <w:rsid w:val="00E0089F"/>
    <w:rsid w:val="00E12D63"/>
    <w:rsid w:val="00E13AEB"/>
    <w:rsid w:val="00E15EFC"/>
    <w:rsid w:val="00E16639"/>
    <w:rsid w:val="00E4267C"/>
    <w:rsid w:val="00E61CE7"/>
    <w:rsid w:val="00E65D11"/>
    <w:rsid w:val="00E80CF0"/>
    <w:rsid w:val="00E81278"/>
    <w:rsid w:val="00E924C7"/>
    <w:rsid w:val="00E95B85"/>
    <w:rsid w:val="00E95D2B"/>
    <w:rsid w:val="00E96EBF"/>
    <w:rsid w:val="00ED2BB5"/>
    <w:rsid w:val="00ED65FF"/>
    <w:rsid w:val="00ED71A0"/>
    <w:rsid w:val="00EE072F"/>
    <w:rsid w:val="00EF5F13"/>
    <w:rsid w:val="00F330DF"/>
    <w:rsid w:val="00F437FB"/>
    <w:rsid w:val="00F4725B"/>
    <w:rsid w:val="00F4749E"/>
    <w:rsid w:val="00F65683"/>
    <w:rsid w:val="00F71625"/>
    <w:rsid w:val="00F72DFD"/>
    <w:rsid w:val="00F8748B"/>
    <w:rsid w:val="00F95A14"/>
    <w:rsid w:val="00FB6F9F"/>
    <w:rsid w:val="00FB7097"/>
    <w:rsid w:val="00FC3EDB"/>
    <w:rsid w:val="00FD1B46"/>
    <w:rsid w:val="00FE17E3"/>
    <w:rsid w:val="00FE1931"/>
    <w:rsid w:val="00FE2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ED1C"/>
  <w15:docId w15:val="{D6E5E922-BBB7-436B-B89A-ACB43B75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B96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66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66B9"/>
    <w:pPr>
      <w:ind w:left="720"/>
      <w:contextualSpacing/>
    </w:pPr>
  </w:style>
  <w:style w:type="character" w:customStyle="1" w:styleId="Nagwek1Znak">
    <w:name w:val="Nagłówek 1 Znak"/>
    <w:basedOn w:val="Domylnaczcionkaakapitu"/>
    <w:link w:val="Nagwek1"/>
    <w:uiPriority w:val="99"/>
    <w:rsid w:val="00B966B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66B9"/>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B966B9"/>
    <w:rPr>
      <w:sz w:val="16"/>
      <w:szCs w:val="16"/>
    </w:rPr>
  </w:style>
  <w:style w:type="paragraph" w:styleId="Tekstkomentarza">
    <w:name w:val="annotation text"/>
    <w:basedOn w:val="Normalny"/>
    <w:link w:val="TekstkomentarzaZnak"/>
    <w:uiPriority w:val="99"/>
    <w:semiHidden/>
    <w:unhideWhenUsed/>
    <w:rsid w:val="00B966B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66B9"/>
    <w:rPr>
      <w:sz w:val="20"/>
      <w:szCs w:val="20"/>
    </w:rPr>
  </w:style>
  <w:style w:type="paragraph" w:styleId="Tematkomentarza">
    <w:name w:val="annotation subject"/>
    <w:basedOn w:val="Tekstkomentarza"/>
    <w:next w:val="Tekstkomentarza"/>
    <w:link w:val="TematkomentarzaZnak"/>
    <w:uiPriority w:val="99"/>
    <w:semiHidden/>
    <w:unhideWhenUsed/>
    <w:rsid w:val="00B966B9"/>
    <w:rPr>
      <w:b/>
      <w:bCs/>
    </w:rPr>
  </w:style>
  <w:style w:type="character" w:customStyle="1" w:styleId="TematkomentarzaZnak">
    <w:name w:val="Temat komentarza Znak"/>
    <w:basedOn w:val="TekstkomentarzaZnak"/>
    <w:link w:val="Tematkomentarza"/>
    <w:uiPriority w:val="99"/>
    <w:semiHidden/>
    <w:rsid w:val="00B966B9"/>
    <w:rPr>
      <w:b/>
      <w:bCs/>
      <w:sz w:val="20"/>
      <w:szCs w:val="20"/>
    </w:rPr>
  </w:style>
  <w:style w:type="paragraph" w:styleId="Tekstdymka">
    <w:name w:val="Balloon Text"/>
    <w:basedOn w:val="Normalny"/>
    <w:link w:val="TekstdymkaZnak"/>
    <w:uiPriority w:val="99"/>
    <w:semiHidden/>
    <w:unhideWhenUsed/>
    <w:rsid w:val="00B966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6B9"/>
    <w:rPr>
      <w:rFonts w:ascii="Segoe UI" w:hAnsi="Segoe UI" w:cs="Segoe UI"/>
      <w:sz w:val="18"/>
      <w:szCs w:val="18"/>
    </w:rPr>
  </w:style>
  <w:style w:type="paragraph" w:styleId="Nagwek">
    <w:name w:val="header"/>
    <w:basedOn w:val="Normalny"/>
    <w:link w:val="NagwekZnak"/>
    <w:uiPriority w:val="99"/>
    <w:unhideWhenUsed/>
    <w:rsid w:val="002224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4A5"/>
  </w:style>
  <w:style w:type="paragraph" w:styleId="Stopka">
    <w:name w:val="footer"/>
    <w:basedOn w:val="Normalny"/>
    <w:link w:val="StopkaZnak"/>
    <w:uiPriority w:val="99"/>
    <w:unhideWhenUsed/>
    <w:rsid w:val="002224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4A5"/>
  </w:style>
  <w:style w:type="paragraph" w:styleId="Nagwekspisutreci">
    <w:name w:val="TOC Heading"/>
    <w:basedOn w:val="Nagwek1"/>
    <w:next w:val="Normalny"/>
    <w:uiPriority w:val="39"/>
    <w:unhideWhenUsed/>
    <w:qFormat/>
    <w:rsid w:val="002224A5"/>
    <w:pPr>
      <w:outlineLvl w:val="9"/>
    </w:pPr>
    <w:rPr>
      <w:lang w:eastAsia="pl-PL"/>
    </w:rPr>
  </w:style>
  <w:style w:type="paragraph" w:styleId="Spistreci2">
    <w:name w:val="toc 2"/>
    <w:basedOn w:val="Normalny"/>
    <w:next w:val="Normalny"/>
    <w:autoRedefine/>
    <w:uiPriority w:val="39"/>
    <w:unhideWhenUsed/>
    <w:rsid w:val="000D3B51"/>
    <w:pPr>
      <w:tabs>
        <w:tab w:val="left" w:pos="660"/>
        <w:tab w:val="right" w:leader="dot" w:pos="9062"/>
      </w:tabs>
      <w:spacing w:after="100"/>
      <w:ind w:left="220"/>
      <w:jc w:val="both"/>
    </w:pPr>
  </w:style>
  <w:style w:type="character" w:styleId="Hipercze">
    <w:name w:val="Hyperlink"/>
    <w:basedOn w:val="Domylnaczcionkaakapitu"/>
    <w:uiPriority w:val="99"/>
    <w:unhideWhenUsed/>
    <w:rsid w:val="002224A5"/>
    <w:rPr>
      <w:color w:val="0563C1" w:themeColor="hyperlink"/>
      <w:u w:val="single"/>
    </w:rPr>
  </w:style>
  <w:style w:type="paragraph" w:styleId="Tekstprzypisudolnego">
    <w:name w:val="footnote text"/>
    <w:basedOn w:val="Normalny"/>
    <w:link w:val="TekstprzypisudolnegoZnak"/>
    <w:uiPriority w:val="99"/>
    <w:semiHidden/>
    <w:unhideWhenUsed/>
    <w:rsid w:val="00174CE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4CE6"/>
    <w:rPr>
      <w:sz w:val="20"/>
      <w:szCs w:val="20"/>
    </w:rPr>
  </w:style>
  <w:style w:type="character" w:styleId="Odwoanieprzypisudolnego">
    <w:name w:val="footnote reference"/>
    <w:basedOn w:val="Domylnaczcionkaakapitu"/>
    <w:uiPriority w:val="99"/>
    <w:semiHidden/>
    <w:unhideWhenUsed/>
    <w:rsid w:val="00174CE6"/>
    <w:rPr>
      <w:vertAlign w:val="superscript"/>
    </w:rPr>
  </w:style>
  <w:style w:type="paragraph" w:styleId="Spistreci1">
    <w:name w:val="toc 1"/>
    <w:basedOn w:val="Normalny"/>
    <w:next w:val="Normalny"/>
    <w:autoRedefine/>
    <w:uiPriority w:val="39"/>
    <w:unhideWhenUsed/>
    <w:rsid w:val="002906DA"/>
    <w:pPr>
      <w:spacing w:after="100"/>
    </w:pPr>
  </w:style>
  <w:style w:type="paragraph" w:styleId="Tekstprzypisukocowego">
    <w:name w:val="endnote text"/>
    <w:basedOn w:val="Normalny"/>
    <w:link w:val="TekstprzypisukocowegoZnak"/>
    <w:uiPriority w:val="99"/>
    <w:semiHidden/>
    <w:unhideWhenUsed/>
    <w:rsid w:val="008D16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163E"/>
    <w:rPr>
      <w:sz w:val="20"/>
      <w:szCs w:val="20"/>
    </w:rPr>
  </w:style>
  <w:style w:type="character" w:styleId="Odwoanieprzypisukocowego">
    <w:name w:val="endnote reference"/>
    <w:basedOn w:val="Domylnaczcionkaakapitu"/>
    <w:uiPriority w:val="99"/>
    <w:semiHidden/>
    <w:unhideWhenUsed/>
    <w:rsid w:val="008D1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1527">
      <w:bodyDiv w:val="1"/>
      <w:marLeft w:val="0"/>
      <w:marRight w:val="0"/>
      <w:marTop w:val="0"/>
      <w:marBottom w:val="0"/>
      <w:divBdr>
        <w:top w:val="none" w:sz="0" w:space="0" w:color="auto"/>
        <w:left w:val="none" w:sz="0" w:space="0" w:color="auto"/>
        <w:bottom w:val="none" w:sz="0" w:space="0" w:color="auto"/>
        <w:right w:val="none" w:sz="0" w:space="0" w:color="auto"/>
      </w:divBdr>
    </w:div>
    <w:div w:id="12183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B358-3E10-44C1-96B8-C6A03BDE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13347</Words>
  <Characters>80086</Characters>
  <Application>Microsoft Office Word</Application>
  <DocSecurity>4</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93247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Rolka</dc:creator>
  <cp:lastModifiedBy>Przemysław Pruszyński</cp:lastModifiedBy>
  <cp:revision>2</cp:revision>
  <cp:lastPrinted>2015-08-25T10:01:00Z</cp:lastPrinted>
  <dcterms:created xsi:type="dcterms:W3CDTF">2015-10-12T11:53:00Z</dcterms:created>
  <dcterms:modified xsi:type="dcterms:W3CDTF">2015-10-12T11:53:00Z</dcterms:modified>
</cp:coreProperties>
</file>