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A6" w:rsidRDefault="001459A6" w:rsidP="008C291F">
      <w:pPr>
        <w:tabs>
          <w:tab w:val="right" w:pos="10206"/>
        </w:tabs>
        <w:spacing w:line="360" w:lineRule="auto"/>
        <w:ind w:right="57"/>
        <w:rPr>
          <w:rFonts w:cs="Arial"/>
          <w:sz w:val="28"/>
          <w:szCs w:val="28"/>
        </w:rPr>
      </w:pPr>
      <w:bookmarkStart w:id="0" w:name="_GoBack"/>
      <w:bookmarkEnd w:id="0"/>
    </w:p>
    <w:p w:rsidR="00B036E8" w:rsidRDefault="001459A6" w:rsidP="008C291F">
      <w:pPr>
        <w:tabs>
          <w:tab w:val="right" w:pos="10206"/>
        </w:tabs>
        <w:spacing w:line="360" w:lineRule="auto"/>
        <w:ind w:left="567" w:right="57"/>
        <w:jc w:val="center"/>
        <w:rPr>
          <w:rFonts w:cs="Arial"/>
          <w:b/>
          <w:color w:val="0070C0"/>
          <w:sz w:val="28"/>
          <w:szCs w:val="28"/>
        </w:rPr>
      </w:pPr>
      <w:r w:rsidRPr="00B036E8">
        <w:rPr>
          <w:rFonts w:cs="Arial"/>
          <w:b/>
          <w:color w:val="0070C0"/>
          <w:sz w:val="28"/>
          <w:szCs w:val="28"/>
        </w:rPr>
        <w:t>Transatlantyckie</w:t>
      </w:r>
      <w:r w:rsidR="00B46F46">
        <w:rPr>
          <w:rFonts w:cs="Arial"/>
          <w:b/>
          <w:color w:val="0070C0"/>
          <w:sz w:val="28"/>
          <w:szCs w:val="28"/>
        </w:rPr>
        <w:t xml:space="preserve"> Partnerstwo</w:t>
      </w:r>
      <w:r w:rsidRPr="00B036E8">
        <w:rPr>
          <w:rFonts w:cs="Arial"/>
          <w:b/>
          <w:color w:val="0070C0"/>
          <w:sz w:val="28"/>
          <w:szCs w:val="28"/>
        </w:rPr>
        <w:t xml:space="preserve"> w dziedzinie Handlu i Inwestycji (TTIP)</w:t>
      </w:r>
    </w:p>
    <w:p w:rsidR="00B46F46" w:rsidRPr="00B46F46" w:rsidRDefault="00B46F46" w:rsidP="00B46F46">
      <w:pPr>
        <w:pStyle w:val="Akapitzlist"/>
        <w:numPr>
          <w:ilvl w:val="0"/>
          <w:numId w:val="3"/>
        </w:numPr>
        <w:tabs>
          <w:tab w:val="right" w:pos="10206"/>
        </w:tabs>
        <w:spacing w:line="360" w:lineRule="auto"/>
        <w:ind w:right="57"/>
        <w:jc w:val="center"/>
        <w:rPr>
          <w:rFonts w:cs="Arial"/>
          <w:b/>
          <w:color w:val="0070C0"/>
          <w:sz w:val="28"/>
          <w:szCs w:val="28"/>
        </w:rPr>
      </w:pPr>
      <w:r w:rsidRPr="00B46F46">
        <w:rPr>
          <w:rFonts w:cs="Arial"/>
          <w:b/>
          <w:color w:val="0070C0"/>
          <w:sz w:val="28"/>
          <w:szCs w:val="28"/>
        </w:rPr>
        <w:t>materiał Konfederacji Lewiatan</w:t>
      </w:r>
    </w:p>
    <w:p w:rsidR="001468BE" w:rsidRDefault="00B46F46" w:rsidP="00B46F46">
      <w:pPr>
        <w:pStyle w:val="Akapitzlist"/>
        <w:tabs>
          <w:tab w:val="right" w:pos="10206"/>
        </w:tabs>
        <w:spacing w:line="360" w:lineRule="auto"/>
        <w:ind w:left="927" w:right="57"/>
        <w:jc w:val="center"/>
        <w:rPr>
          <w:rFonts w:cs="Arial"/>
          <w:color w:val="0070C0"/>
          <w:sz w:val="28"/>
          <w:szCs w:val="28"/>
        </w:rPr>
      </w:pPr>
      <w:r w:rsidRPr="00B46F46">
        <w:rPr>
          <w:rFonts w:cs="Arial"/>
          <w:color w:val="0070C0"/>
          <w:sz w:val="28"/>
          <w:szCs w:val="28"/>
        </w:rPr>
        <w:t xml:space="preserve">Grudzień 2014 </w:t>
      </w:r>
    </w:p>
    <w:p w:rsidR="00B46F46" w:rsidRPr="00B46F46" w:rsidRDefault="00B46F46" w:rsidP="00B46F46">
      <w:pPr>
        <w:pStyle w:val="Akapitzlist"/>
        <w:tabs>
          <w:tab w:val="right" w:pos="10206"/>
        </w:tabs>
        <w:spacing w:line="360" w:lineRule="auto"/>
        <w:ind w:left="927" w:right="57"/>
        <w:jc w:val="center"/>
        <w:rPr>
          <w:rFonts w:cs="Arial"/>
          <w:color w:val="0070C0"/>
          <w:sz w:val="28"/>
          <w:szCs w:val="28"/>
        </w:rPr>
      </w:pPr>
    </w:p>
    <w:p w:rsidR="001459A6" w:rsidRDefault="001459A6" w:rsidP="001459A6">
      <w:pPr>
        <w:pStyle w:val="Nagwek1"/>
        <w:numPr>
          <w:ilvl w:val="0"/>
          <w:numId w:val="1"/>
        </w:numPr>
        <w:rPr>
          <w:color w:val="002060"/>
        </w:rPr>
      </w:pPr>
      <w:r w:rsidRPr="001459A6">
        <w:rPr>
          <w:color w:val="002060"/>
        </w:rPr>
        <w:t>Wprowadzenie</w:t>
      </w:r>
    </w:p>
    <w:p w:rsidR="001459A6" w:rsidRDefault="001459A6" w:rsidP="001459A6"/>
    <w:p w:rsidR="008C291F" w:rsidRDefault="001468BE" w:rsidP="006B294F">
      <w:pPr>
        <w:ind w:left="360"/>
        <w:jc w:val="both"/>
      </w:pPr>
      <w:r>
        <w:t xml:space="preserve">Środowisko przedsiębiorców od początku </w:t>
      </w:r>
      <w:r w:rsidR="00CD2C2C">
        <w:t>popiera inicjatywę</w:t>
      </w:r>
      <w:r w:rsidR="00AE51EC">
        <w:t xml:space="preserve"> zawarcia</w:t>
      </w:r>
      <w:r w:rsidR="00A60765">
        <w:t xml:space="preserve"> ambitnego</w:t>
      </w:r>
      <w:r w:rsidR="00AE51EC">
        <w:t xml:space="preserve"> Transatlantyckiego Partnerstwa w</w:t>
      </w:r>
      <w:r w:rsidR="002C1BD1">
        <w:t> </w:t>
      </w:r>
      <w:r w:rsidR="00AE51EC">
        <w:t xml:space="preserve">dziedzinie Handlu i Inwestycji (TTIP) i </w:t>
      </w:r>
      <w:r w:rsidR="00AE51EC" w:rsidRPr="00E74AC7">
        <w:t xml:space="preserve">oczekuje silnego zaangażowania politycznego </w:t>
      </w:r>
      <w:r w:rsidR="00AE51EC">
        <w:t>zarówno po stronie Unii Europejskiej (UE)</w:t>
      </w:r>
      <w:r w:rsidR="008C291F">
        <w:t>,</w:t>
      </w:r>
      <w:r w:rsidR="00AE51EC">
        <w:t xml:space="preserve"> jak </w:t>
      </w:r>
      <w:r w:rsidR="00A60765">
        <w:t>i Stanów Zjednoczonych (USA). Z punktu widzenia</w:t>
      </w:r>
      <w:r w:rsidR="00AE51EC">
        <w:t xml:space="preserve"> biznesu </w:t>
      </w:r>
      <w:r w:rsidR="00A60765">
        <w:t>umowa</w:t>
      </w:r>
      <w:r w:rsidR="00AE51EC">
        <w:t xml:space="preserve"> handlow</w:t>
      </w:r>
      <w:r w:rsidR="00A60765">
        <w:t>a</w:t>
      </w:r>
      <w:r w:rsidR="00AE51EC">
        <w:t xml:space="preserve"> z USA to nie tylko naturalna konse</w:t>
      </w:r>
      <w:r w:rsidR="00995FD7">
        <w:t xml:space="preserve">kwencja globalizacji, </w:t>
      </w:r>
      <w:r w:rsidR="00AE51EC">
        <w:t>a</w:t>
      </w:r>
      <w:r w:rsidR="000C6452">
        <w:t>le</w:t>
      </w:r>
      <w:r w:rsidR="00AE51EC">
        <w:t xml:space="preserve"> przede wszystkim </w:t>
      </w:r>
      <w:r w:rsidR="000C6452">
        <w:t xml:space="preserve">szansa na zniesienie anachronicznych barier pomiędzy gospodarkami, których </w:t>
      </w:r>
      <w:r w:rsidR="00995FD7">
        <w:t xml:space="preserve">wspólna </w:t>
      </w:r>
      <w:r w:rsidR="000C6452">
        <w:t>wartość szacowana jest na ponad 50</w:t>
      </w:r>
      <w:r w:rsidR="008C291F">
        <w:t>% światowego PKB.</w:t>
      </w:r>
    </w:p>
    <w:p w:rsidR="00995FD7" w:rsidRDefault="00995FD7" w:rsidP="006B294F">
      <w:pPr>
        <w:ind w:left="360"/>
        <w:jc w:val="both"/>
      </w:pPr>
      <w:r>
        <w:t>Priorytetem członków Konfederacji Lewiatan, poza zniesieniem taryf celnych,</w:t>
      </w:r>
      <w:r w:rsidR="008C291F">
        <w:t xml:space="preserve"> już i tak relatywnie niskich, </w:t>
      </w:r>
      <w:r>
        <w:t xml:space="preserve">jest </w:t>
      </w:r>
      <w:r w:rsidR="00AE51EC">
        <w:t xml:space="preserve">ułatwienie dostępu do rynku amerykańskiego </w:t>
      </w:r>
      <w:r>
        <w:t>poprzez</w:t>
      </w:r>
      <w:r w:rsidR="00AE51EC">
        <w:t xml:space="preserve"> </w:t>
      </w:r>
      <w:r w:rsidR="00B51171">
        <w:t>zbliżenie</w:t>
      </w:r>
      <w:r w:rsidR="00AE51EC">
        <w:t xml:space="preserve"> ram regulacyjnych po obydwu stronach Atlantyku</w:t>
      </w:r>
      <w:r w:rsidR="002C1BD1">
        <w:t>. W dłuższej perspektywie nie tylko</w:t>
      </w:r>
      <w:r w:rsidR="00B51171">
        <w:t xml:space="preserve"> bowiem</w:t>
      </w:r>
      <w:r w:rsidR="002C1BD1">
        <w:t xml:space="preserve"> obniżenie kosztów eksportu, ale </w:t>
      </w:r>
      <w:r w:rsidR="0092422C">
        <w:t>prze</w:t>
      </w:r>
      <w:r w:rsidR="00172275">
        <w:t xml:space="preserve">de wszystkim wzajemne uznawanie uzgodnionych na wysokim poziomie </w:t>
      </w:r>
      <w:r w:rsidR="002C1BD1">
        <w:t>standardów oraz</w:t>
      </w:r>
      <w:r w:rsidR="000C6452">
        <w:t xml:space="preserve"> </w:t>
      </w:r>
      <w:r>
        <w:t xml:space="preserve">tańszy dostęp do źródeł energii </w:t>
      </w:r>
      <w:r w:rsidR="0096352F">
        <w:t xml:space="preserve">zachęci sektor prywatny do </w:t>
      </w:r>
      <w:r w:rsidR="008C291F">
        <w:t>większych</w:t>
      </w:r>
      <w:r w:rsidR="0092422C">
        <w:t xml:space="preserve"> </w:t>
      </w:r>
      <w:r>
        <w:t>inwestycj</w:t>
      </w:r>
      <w:r w:rsidR="002C1BD1">
        <w:t>i</w:t>
      </w:r>
      <w:r w:rsidR="008C291F">
        <w:t xml:space="preserve"> i wchodzenia</w:t>
      </w:r>
      <w:r w:rsidR="009B5159">
        <w:t xml:space="preserve"> na rynek amerykański</w:t>
      </w:r>
      <w:r w:rsidR="00755C8E">
        <w:t>.</w:t>
      </w:r>
    </w:p>
    <w:p w:rsidR="00921E51" w:rsidRDefault="00921E51" w:rsidP="00995FD7">
      <w:pPr>
        <w:jc w:val="both"/>
      </w:pPr>
    </w:p>
    <w:p w:rsidR="006314EC" w:rsidRDefault="00921E51" w:rsidP="006B294F">
      <w:pPr>
        <w:ind w:left="360"/>
        <w:jc w:val="both"/>
      </w:pPr>
      <w:r>
        <w:t xml:space="preserve">Z uwagi na </w:t>
      </w:r>
      <w:r w:rsidR="002F6BA0">
        <w:t>bardzo szeroki</w:t>
      </w:r>
      <w:r>
        <w:t xml:space="preserve"> zakres negocjowanych zagadnień, Konfederacja </w:t>
      </w:r>
      <w:r w:rsidR="002C5825">
        <w:t xml:space="preserve">Lewiatan nie wypracowała </w:t>
      </w:r>
      <w:r w:rsidR="002F6BA0">
        <w:t>szczegółowego</w:t>
      </w:r>
      <w:r>
        <w:t xml:space="preserve"> stanowiska w sprawie</w:t>
      </w:r>
      <w:r w:rsidR="002C5825">
        <w:t xml:space="preserve"> </w:t>
      </w:r>
      <w:r>
        <w:t>TTIP.</w:t>
      </w:r>
      <w:r w:rsidR="002F6BA0">
        <w:t xml:space="preserve"> Zarówno jednak nasi członkowie reprezentujący pracodawców konkretnych sektorów</w:t>
      </w:r>
      <w:r w:rsidR="002F6BA0">
        <w:rPr>
          <w:rStyle w:val="Odwoanieprzypisudolnego"/>
        </w:rPr>
        <w:footnoteReference w:id="1"/>
      </w:r>
      <w:r w:rsidR="008C291F">
        <w:t>, jak i</w:t>
      </w:r>
      <w:r w:rsidR="002C5825">
        <w:t xml:space="preserve"> BUSINESSEUROPE, </w:t>
      </w:r>
      <w:r w:rsidR="00CD2C2C">
        <w:t xml:space="preserve">największa organizacja pracodawców europejskich, </w:t>
      </w:r>
      <w:r w:rsidR="002C5825">
        <w:t>której Lewiatan je</w:t>
      </w:r>
      <w:r w:rsidR="00B51171">
        <w:t>st aktywnym członkiem, zidentyfikowali</w:t>
      </w:r>
      <w:r w:rsidR="002C5825">
        <w:t xml:space="preserve"> najważniejsze z punktu widzenia przedsiębiorców obszary.</w:t>
      </w:r>
      <w:r w:rsidR="008C291F">
        <w:t xml:space="preserve"> Zaliczyć do nich należy </w:t>
      </w:r>
      <w:r w:rsidR="00755C8E">
        <w:t xml:space="preserve">zniesienie </w:t>
      </w:r>
      <w:r w:rsidR="00C542A6">
        <w:t>taryf</w:t>
      </w:r>
      <w:r w:rsidR="008C291F">
        <w:t xml:space="preserve"> celnych oraz </w:t>
      </w:r>
      <w:r w:rsidR="004D63FC">
        <w:t>obniżenie barier administracyjnych</w:t>
      </w:r>
      <w:r w:rsidR="00C542A6">
        <w:t xml:space="preserve">, w tym </w:t>
      </w:r>
      <w:r w:rsidR="008C291F">
        <w:t>m.in.</w:t>
      </w:r>
      <w:r w:rsidR="00C542A6">
        <w:t xml:space="preserve"> </w:t>
      </w:r>
      <w:r w:rsidR="004D63FC">
        <w:t xml:space="preserve"> </w:t>
      </w:r>
      <w:r w:rsidR="008C291F">
        <w:t>wzajemne</w:t>
      </w:r>
      <w:r w:rsidR="00C542A6">
        <w:t xml:space="preserve"> uznawanie wyników badań klinicznych, z</w:t>
      </w:r>
      <w:r w:rsidR="004D63FC">
        <w:t>bliżenie sy</w:t>
      </w:r>
      <w:r w:rsidR="008C291F">
        <w:t>stemów specyfikacji technicznej</w:t>
      </w:r>
      <w:r w:rsidR="004D63FC">
        <w:t xml:space="preserve"> </w:t>
      </w:r>
      <w:r w:rsidR="00CD2C2C">
        <w:t>czy</w:t>
      </w:r>
      <w:r w:rsidR="00C542A6">
        <w:t xml:space="preserve"> </w:t>
      </w:r>
      <w:r w:rsidR="004D63FC">
        <w:t xml:space="preserve">ułatwienie dostępu do rynku zamówień publicznych </w:t>
      </w:r>
      <w:r w:rsidR="00C542A6">
        <w:t>USA</w:t>
      </w:r>
      <w:r w:rsidR="00BF58FB">
        <w:t>.</w:t>
      </w:r>
    </w:p>
    <w:p w:rsidR="008C291F" w:rsidRDefault="008C291F" w:rsidP="006B294F">
      <w:pPr>
        <w:ind w:left="360"/>
        <w:jc w:val="both"/>
      </w:pPr>
    </w:p>
    <w:p w:rsidR="00B46F46" w:rsidRPr="00395D95" w:rsidRDefault="00B46F46" w:rsidP="006B294F">
      <w:pPr>
        <w:ind w:left="360"/>
        <w:jc w:val="both"/>
      </w:pPr>
    </w:p>
    <w:p w:rsidR="00227431" w:rsidRDefault="00227431" w:rsidP="00227431">
      <w:pPr>
        <w:pStyle w:val="Nagwek1"/>
        <w:numPr>
          <w:ilvl w:val="0"/>
          <w:numId w:val="1"/>
        </w:numPr>
        <w:rPr>
          <w:color w:val="002060"/>
        </w:rPr>
      </w:pPr>
      <w:r w:rsidRPr="00227431">
        <w:rPr>
          <w:color w:val="002060"/>
        </w:rPr>
        <w:lastRenderedPageBreak/>
        <w:t>Uwagi szczegółowe</w:t>
      </w:r>
      <w:r w:rsidR="00126DF0">
        <w:rPr>
          <w:color w:val="002060"/>
        </w:rPr>
        <w:t xml:space="preserve"> zgłoszone przez</w:t>
      </w:r>
      <w:r>
        <w:rPr>
          <w:color w:val="002060"/>
        </w:rPr>
        <w:t xml:space="preserve"> sektor</w:t>
      </w:r>
      <w:r w:rsidR="00126DF0">
        <w:rPr>
          <w:color w:val="002060"/>
        </w:rPr>
        <w:t>y</w:t>
      </w:r>
    </w:p>
    <w:p w:rsidR="00801937" w:rsidRDefault="00801937" w:rsidP="002F6BA0"/>
    <w:p w:rsidR="00801937" w:rsidRDefault="00172275" w:rsidP="006B294F">
      <w:pPr>
        <w:ind w:left="360"/>
      </w:pPr>
      <w:r>
        <w:t>Poniżej przykłady</w:t>
      </w:r>
      <w:r w:rsidR="00801937">
        <w:t xml:space="preserve"> postulat</w:t>
      </w:r>
      <w:r w:rsidR="008C291F">
        <w:t>ów zgłoszonych</w:t>
      </w:r>
      <w:r w:rsidR="007E195F">
        <w:t xml:space="preserve"> przez</w:t>
      </w:r>
      <w:r>
        <w:t xml:space="preserve"> przedstawicieli</w:t>
      </w:r>
      <w:r w:rsidR="00B33827">
        <w:t xml:space="preserve"> </w:t>
      </w:r>
      <w:r>
        <w:t>poszczególnych sektor</w:t>
      </w:r>
      <w:r w:rsidR="00B33827">
        <w:t>ów</w:t>
      </w:r>
      <w:r>
        <w:t xml:space="preserve">. </w:t>
      </w:r>
    </w:p>
    <w:p w:rsidR="00801937" w:rsidRDefault="00801937" w:rsidP="00227431"/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37"/>
      </w:tblGrid>
      <w:tr w:rsidR="00887451" w:rsidTr="008C291F">
        <w:tc>
          <w:tcPr>
            <w:tcW w:w="9237" w:type="dxa"/>
          </w:tcPr>
          <w:p w:rsidR="00887451" w:rsidRDefault="00B33827" w:rsidP="006B294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</w:t>
            </w:r>
            <w:r w:rsidR="00887451" w:rsidRPr="00126DF0">
              <w:rPr>
                <w:b/>
                <w:color w:val="002060"/>
              </w:rPr>
              <w:t>rzemysł kosmetyczny</w:t>
            </w:r>
          </w:p>
        </w:tc>
      </w:tr>
    </w:tbl>
    <w:p w:rsidR="006B294F" w:rsidRPr="00126DF0" w:rsidRDefault="006B294F" w:rsidP="006B294F">
      <w:pPr>
        <w:rPr>
          <w:b/>
          <w:color w:val="002060"/>
        </w:rPr>
      </w:pPr>
    </w:p>
    <w:p w:rsidR="000B43D5" w:rsidRPr="000B43D5" w:rsidRDefault="0071763E" w:rsidP="00641771">
      <w:pPr>
        <w:ind w:left="360"/>
        <w:jc w:val="both"/>
        <w:rPr>
          <w:rFonts w:ascii="Calibri" w:eastAsia="Calibri" w:hAnsi="Calibri"/>
          <w:lang w:eastAsia="en-US"/>
        </w:rPr>
      </w:pPr>
      <w:r w:rsidRPr="000B43D5">
        <w:t xml:space="preserve">Konfederacja Lewiatan zrzesza </w:t>
      </w:r>
      <w:r w:rsidRPr="002431B1">
        <w:rPr>
          <w:b/>
        </w:rPr>
        <w:t>ponad 80 firm</w:t>
      </w:r>
      <w:r w:rsidRPr="000B43D5">
        <w:t xml:space="preserve"> działających w branży kosmetycznej w Polsce.</w:t>
      </w:r>
      <w:r w:rsidR="00126DF0">
        <w:t xml:space="preserve"> </w:t>
      </w:r>
      <w:r w:rsidR="002431B1">
        <w:t>Krajowy</w:t>
      </w:r>
      <w:r w:rsidRPr="000B43D5">
        <w:t xml:space="preserve"> </w:t>
      </w:r>
      <w:r w:rsidR="002431B1">
        <w:t>przemysł</w:t>
      </w:r>
      <w:r w:rsidRPr="000B43D5">
        <w:t xml:space="preserve"> kosmetyczn</w:t>
      </w:r>
      <w:r w:rsidR="00126DF0">
        <w:t>y</w:t>
      </w:r>
      <w:r w:rsidR="002431B1">
        <w:t>,</w:t>
      </w:r>
      <w:r w:rsidRPr="000B43D5">
        <w:t xml:space="preserve"> </w:t>
      </w:r>
      <w:r w:rsidR="00126DF0">
        <w:t>jako n</w:t>
      </w:r>
      <w:r w:rsidRPr="000B43D5">
        <w:t>ajwiększ</w:t>
      </w:r>
      <w:r w:rsidR="00126DF0">
        <w:t>ą</w:t>
      </w:r>
      <w:r w:rsidRPr="000B43D5">
        <w:t xml:space="preserve"> </w:t>
      </w:r>
      <w:r w:rsidR="00126DF0">
        <w:t xml:space="preserve">korzyść </w:t>
      </w:r>
      <w:r w:rsidR="002431B1">
        <w:t xml:space="preserve">z </w:t>
      </w:r>
      <w:r w:rsidR="00126DF0">
        <w:t>zawarcia porozumienia z USA</w:t>
      </w:r>
      <w:r w:rsidR="008C291F">
        <w:t>,</w:t>
      </w:r>
      <w:r w:rsidR="00126DF0">
        <w:t xml:space="preserve"> </w:t>
      </w:r>
      <w:r w:rsidR="002431B1">
        <w:t>wskazuje</w:t>
      </w:r>
      <w:r w:rsidRPr="000B43D5">
        <w:t xml:space="preserve"> </w:t>
      </w:r>
      <w:r w:rsidRPr="000B43D5">
        <w:rPr>
          <w:b/>
        </w:rPr>
        <w:t>zniesienie barier pozataryfowych</w:t>
      </w:r>
      <w:r w:rsidRPr="000B43D5">
        <w:t xml:space="preserve"> utrudniających dostęp polskich firm do amerykańskiego rynku. </w:t>
      </w:r>
      <w:r w:rsidR="00FB5EF2">
        <w:t>Jednym</w:t>
      </w:r>
      <w:r w:rsidRPr="000B43D5">
        <w:t xml:space="preserve"> z </w:t>
      </w:r>
      <w:r w:rsidR="007E195F">
        <w:t>kluczowych</w:t>
      </w:r>
      <w:r w:rsidR="008C291F">
        <w:t xml:space="preserve"> postulatów jest</w:t>
      </w:r>
      <w:r w:rsidR="00A74A21" w:rsidRPr="000B43D5">
        <w:t xml:space="preserve"> </w:t>
      </w:r>
      <w:r w:rsidR="00A74A21" w:rsidRPr="000B43D5">
        <w:rPr>
          <w:b/>
        </w:rPr>
        <w:t>ujednolicenie definicji produktu kosmetycznego</w:t>
      </w:r>
      <w:r w:rsidRPr="000B43D5">
        <w:t>, która aktualnie sta</w:t>
      </w:r>
      <w:r w:rsidR="002431B1">
        <w:t>nowi główną barierę</w:t>
      </w:r>
      <w:r w:rsidRPr="000B43D5">
        <w:t>.</w:t>
      </w:r>
      <w:r w:rsidR="000B43D5" w:rsidRPr="000B43D5">
        <w:rPr>
          <w:rFonts w:ascii="Calibri" w:eastAsia="Calibri" w:hAnsi="Calibri"/>
          <w:lang w:eastAsia="en-US"/>
        </w:rPr>
        <w:t xml:space="preserve"> </w:t>
      </w:r>
    </w:p>
    <w:p w:rsidR="000B43D5" w:rsidRDefault="000B43D5" w:rsidP="00641771">
      <w:pPr>
        <w:ind w:left="360"/>
        <w:jc w:val="both"/>
        <w:rPr>
          <w:rFonts w:ascii="Calibri" w:eastAsia="Calibri" w:hAnsi="Calibri"/>
          <w:lang w:eastAsia="en-US"/>
        </w:rPr>
      </w:pPr>
      <w:r w:rsidRPr="000B43D5">
        <w:rPr>
          <w:rFonts w:ascii="Calibri" w:eastAsia="Calibri" w:hAnsi="Calibri"/>
          <w:lang w:eastAsia="en-US"/>
        </w:rPr>
        <w:t>Definicja produktu kosmetycznego w USA jest bardzo wąska i obejmuje jedynie podstawowe produkty pielęgnacyjne (nawilżające i natłuszczające), produkty do mycia, do makijażu i produkty perfumeryjne. Produkty posiadające działanie aktywne (w tym produkty ochrony przeciwsłonecznej i inne produkty zawierające filtry UV) mające w UE status produkt</w:t>
      </w:r>
      <w:r w:rsidR="008C291F">
        <w:rPr>
          <w:rFonts w:ascii="Calibri" w:eastAsia="Calibri" w:hAnsi="Calibri"/>
          <w:lang w:eastAsia="en-US"/>
        </w:rPr>
        <w:t>ów kosmetycznych, mają</w:t>
      </w:r>
      <w:r w:rsidRPr="000B43D5">
        <w:rPr>
          <w:rFonts w:ascii="Calibri" w:eastAsia="Calibri" w:hAnsi="Calibri"/>
          <w:lang w:eastAsia="en-US"/>
        </w:rPr>
        <w:t xml:space="preserve"> w USA status leków </w:t>
      </w:r>
      <w:r w:rsidR="008C291F">
        <w:rPr>
          <w:rFonts w:ascii="Calibri" w:eastAsia="Calibri" w:hAnsi="Calibri"/>
          <w:lang w:eastAsia="en-US"/>
        </w:rPr>
        <w:t xml:space="preserve">OTC (sprzedawanych bez recepty). W konsekwencji  </w:t>
      </w:r>
      <w:r w:rsidRPr="000B43D5">
        <w:rPr>
          <w:rFonts w:ascii="Calibri" w:eastAsia="Calibri" w:hAnsi="Calibri"/>
          <w:lang w:eastAsia="en-US"/>
        </w:rPr>
        <w:t>podlegają innemu ustawodawstwu, oznakowaniu, wymaganiom w zakresie GMP itd. Zróżnicowanie definicji produktu kosmetycznego w UE i USA powoduje, że przedsiębiorcy sektora kosmetycznego w UE nie są w stanie eksportować większości (75-80%) produktów kosmetycznych do USA.</w:t>
      </w:r>
      <w:r>
        <w:rPr>
          <w:rFonts w:ascii="Calibri" w:eastAsia="Calibri" w:hAnsi="Calibri"/>
          <w:lang w:eastAsia="en-US"/>
        </w:rPr>
        <w:t xml:space="preserve"> Jedynie w</w:t>
      </w:r>
      <w:r w:rsidRPr="000B43D5">
        <w:rPr>
          <w:rFonts w:ascii="Calibri" w:eastAsia="Calibri" w:hAnsi="Calibri"/>
          <w:lang w:eastAsia="en-US"/>
        </w:rPr>
        <w:t xml:space="preserve"> przypadku harmonizacji definicji produktu kosmetycznego dysproporcja ta zostanie </w:t>
      </w:r>
      <w:r>
        <w:rPr>
          <w:rFonts w:ascii="Calibri" w:eastAsia="Calibri" w:hAnsi="Calibri"/>
          <w:lang w:eastAsia="en-US"/>
        </w:rPr>
        <w:t>zniesiona</w:t>
      </w:r>
      <w:r w:rsidR="008C291F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a </w:t>
      </w:r>
      <w:r w:rsidRPr="000B43D5">
        <w:rPr>
          <w:rFonts w:ascii="Calibri" w:eastAsia="Calibri" w:hAnsi="Calibri"/>
          <w:lang w:eastAsia="en-US"/>
        </w:rPr>
        <w:t>eksport produktów kosmetycznych do USA ulegnie znaczącemu zwiększeniu.</w:t>
      </w:r>
    </w:p>
    <w:p w:rsidR="000B43D5" w:rsidRPr="000B43D5" w:rsidRDefault="008C291F" w:rsidP="006B294F">
      <w:pPr>
        <w:ind w:left="360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Kolejne </w:t>
      </w:r>
      <w:r w:rsidR="000B43D5">
        <w:rPr>
          <w:rFonts w:ascii="Calibri" w:eastAsia="Calibri" w:hAnsi="Calibri"/>
          <w:lang w:eastAsia="en-US"/>
        </w:rPr>
        <w:t xml:space="preserve">postulaty dotyczą </w:t>
      </w:r>
      <w:r w:rsidR="000B43D5" w:rsidRPr="00037C5B">
        <w:rPr>
          <w:rFonts w:ascii="Calibri" w:eastAsia="Calibri" w:hAnsi="Calibri"/>
          <w:b/>
          <w:lang w:eastAsia="en-US"/>
        </w:rPr>
        <w:t>wzajemnej uznawalności substancji</w:t>
      </w:r>
      <w:r w:rsidR="000B43D5">
        <w:rPr>
          <w:rFonts w:ascii="Calibri" w:eastAsia="Calibri" w:hAnsi="Calibri"/>
          <w:lang w:eastAsia="en-US"/>
        </w:rPr>
        <w:t xml:space="preserve">, </w:t>
      </w:r>
      <w:r w:rsidR="000B43D5" w:rsidRPr="00037C5B">
        <w:rPr>
          <w:rFonts w:ascii="Calibri" w:eastAsia="Calibri" w:hAnsi="Calibri"/>
          <w:b/>
          <w:lang w:eastAsia="en-US"/>
        </w:rPr>
        <w:t>harmonizacji metod badań</w:t>
      </w:r>
      <w:r>
        <w:rPr>
          <w:rFonts w:ascii="Calibri" w:eastAsia="Calibri" w:hAnsi="Calibri"/>
          <w:b/>
          <w:lang w:eastAsia="en-US"/>
        </w:rPr>
        <w:t xml:space="preserve">          </w:t>
      </w:r>
      <w:r w:rsidR="000B43D5" w:rsidRPr="00037C5B">
        <w:rPr>
          <w:rFonts w:ascii="Calibri" w:eastAsia="Calibri" w:hAnsi="Calibri"/>
          <w:b/>
          <w:lang w:eastAsia="en-US"/>
        </w:rPr>
        <w:t xml:space="preserve"> i testów</w:t>
      </w:r>
      <w:r w:rsidR="000B43D5">
        <w:rPr>
          <w:rFonts w:ascii="Calibri" w:eastAsia="Calibri" w:hAnsi="Calibri"/>
          <w:lang w:eastAsia="en-US"/>
        </w:rPr>
        <w:t xml:space="preserve"> oraz </w:t>
      </w:r>
      <w:r w:rsidR="000B43D5" w:rsidRPr="00037C5B">
        <w:rPr>
          <w:rFonts w:ascii="Calibri" w:eastAsia="Calibri" w:hAnsi="Calibri"/>
          <w:b/>
          <w:lang w:eastAsia="en-US"/>
        </w:rPr>
        <w:t>ujednolicenia i uproszczenia wymogów etykietowania</w:t>
      </w:r>
      <w:r w:rsidR="000B43D5">
        <w:rPr>
          <w:rFonts w:ascii="Calibri" w:eastAsia="Calibri" w:hAnsi="Calibri"/>
          <w:lang w:eastAsia="en-US"/>
        </w:rPr>
        <w:t>.</w:t>
      </w:r>
      <w:r w:rsidR="000B43D5">
        <w:rPr>
          <w:rStyle w:val="Odwoanieprzypisudolnego"/>
          <w:rFonts w:ascii="Calibri" w:eastAsia="Calibri" w:hAnsi="Calibri"/>
          <w:lang w:eastAsia="en-US"/>
        </w:rPr>
        <w:footnoteReference w:id="2"/>
      </w:r>
    </w:p>
    <w:p w:rsidR="000B43D5" w:rsidRDefault="000B43D5" w:rsidP="00227431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79"/>
      </w:tblGrid>
      <w:tr w:rsidR="00887451" w:rsidTr="008C291F">
        <w:tc>
          <w:tcPr>
            <w:tcW w:w="9379" w:type="dxa"/>
          </w:tcPr>
          <w:p w:rsidR="00887451" w:rsidRPr="00887451" w:rsidRDefault="00B33827" w:rsidP="00227431">
            <w:pPr>
              <w:rPr>
                <w:color w:val="002060"/>
              </w:rPr>
            </w:pPr>
            <w:r>
              <w:rPr>
                <w:b/>
                <w:color w:val="002060"/>
              </w:rPr>
              <w:t>P</w:t>
            </w:r>
            <w:r w:rsidR="00887451" w:rsidRPr="00126DF0">
              <w:rPr>
                <w:b/>
                <w:color w:val="002060"/>
              </w:rPr>
              <w:t>rzemysł farmaceutyczny</w:t>
            </w:r>
          </w:p>
        </w:tc>
      </w:tr>
    </w:tbl>
    <w:p w:rsidR="00064A05" w:rsidRDefault="00064A05" w:rsidP="00227431"/>
    <w:p w:rsidR="00887451" w:rsidRDefault="00AF7D2E" w:rsidP="00641771">
      <w:pPr>
        <w:ind w:left="284"/>
        <w:jc w:val="both"/>
      </w:pPr>
      <w:r w:rsidRPr="002B60BA">
        <w:rPr>
          <w:b/>
        </w:rPr>
        <w:t>Ujednolicenie wymagań regulacyjnych</w:t>
      </w:r>
      <w:r>
        <w:t xml:space="preserve"> </w:t>
      </w:r>
      <w:r w:rsidR="002B60BA">
        <w:t xml:space="preserve">pomiędzy UE a USA </w:t>
      </w:r>
      <w:r>
        <w:t xml:space="preserve">stanowi również jeden z głównych postulatów Polskiego Związku Pracodawców Przemysłu Farmaceutycznego, </w:t>
      </w:r>
      <w:r w:rsidR="00A313E8">
        <w:t xml:space="preserve">członka </w:t>
      </w:r>
      <w:r w:rsidR="00A313E8" w:rsidRPr="000C0217">
        <w:rPr>
          <w:b/>
        </w:rPr>
        <w:t>Konfederacji Lewiatan</w:t>
      </w:r>
      <w:r w:rsidR="00A313E8">
        <w:t xml:space="preserve"> </w:t>
      </w:r>
      <w:r>
        <w:t xml:space="preserve">zrzeszającego </w:t>
      </w:r>
      <w:r w:rsidRPr="00A313E8">
        <w:rPr>
          <w:b/>
        </w:rPr>
        <w:t>ponad 20 firm</w:t>
      </w:r>
      <w:r>
        <w:t xml:space="preserve"> produkujących leki generyczne</w:t>
      </w:r>
      <w:r w:rsidR="001B5403">
        <w:t xml:space="preserve"> i biopodobne</w:t>
      </w:r>
      <w:r>
        <w:t xml:space="preserve"> w Polsce. </w:t>
      </w:r>
    </w:p>
    <w:p w:rsidR="00534AC7" w:rsidRDefault="00887451" w:rsidP="00534AC7">
      <w:pPr>
        <w:ind w:left="284"/>
        <w:jc w:val="both"/>
      </w:pPr>
      <w:r>
        <w:t xml:space="preserve">Dla producentów leków </w:t>
      </w:r>
      <w:r w:rsidR="00641771">
        <w:t xml:space="preserve">zawarcie TTIP </w:t>
      </w:r>
      <w:r>
        <w:t>daje możliwość intensyfikacji handlu i inwestycji pomiędzy dwoma zintegrowanymi rynkami.</w:t>
      </w:r>
      <w:r w:rsidR="006D6F82" w:rsidRPr="006D6F82">
        <w:t xml:space="preserve"> </w:t>
      </w:r>
      <w:r w:rsidR="00641771">
        <w:t>W</w:t>
      </w:r>
      <w:r w:rsidR="006D6F82">
        <w:t>artości</w:t>
      </w:r>
      <w:r w:rsidR="00641771">
        <w:t>ą</w:t>
      </w:r>
      <w:r w:rsidR="006D6F82">
        <w:t xml:space="preserve"> </w:t>
      </w:r>
      <w:r w:rsidR="00641771">
        <w:t xml:space="preserve">dodaną </w:t>
      </w:r>
      <w:r w:rsidR="006D6F82">
        <w:t xml:space="preserve">wzmocnionej integracji gospodarczej pomiędzy USA a UE byłby </w:t>
      </w:r>
      <w:r w:rsidR="006D6F82" w:rsidRPr="0063603D">
        <w:rPr>
          <w:b/>
        </w:rPr>
        <w:t>wspólny program rozwoju</w:t>
      </w:r>
      <w:r w:rsidR="006D6F82">
        <w:t xml:space="preserve"> dla</w:t>
      </w:r>
      <w:r w:rsidR="006D6F82" w:rsidRPr="006D6F82">
        <w:t xml:space="preserve"> biopodobnych produktów leczniczych</w:t>
      </w:r>
      <w:r w:rsidR="00641771">
        <w:t xml:space="preserve"> oraz leków generycznych. </w:t>
      </w:r>
      <w:r w:rsidR="006D6F82" w:rsidRPr="006D6F82">
        <w:t xml:space="preserve">Taki program znacznie </w:t>
      </w:r>
      <w:r w:rsidR="006D6F82">
        <w:t>zmniejszyłby</w:t>
      </w:r>
      <w:r w:rsidR="006D6F82" w:rsidRPr="006D6F82">
        <w:t xml:space="preserve"> koszty </w:t>
      </w:r>
      <w:r w:rsidR="00641771">
        <w:t>prac badawczych nad nowymi</w:t>
      </w:r>
      <w:r w:rsidR="006D6F82" w:rsidRPr="006D6F82">
        <w:t xml:space="preserve"> lek</w:t>
      </w:r>
      <w:r w:rsidR="00641771">
        <w:t xml:space="preserve">ami </w:t>
      </w:r>
      <w:r w:rsidR="006D6F82">
        <w:t xml:space="preserve">poprzez </w:t>
      </w:r>
      <w:r w:rsidR="006D6F82" w:rsidRPr="0063603D">
        <w:rPr>
          <w:b/>
        </w:rPr>
        <w:t>ograniczenie wymogu przeprowadzania podwójnych tekstów i badań</w:t>
      </w:r>
      <w:r w:rsidR="006D6F82">
        <w:t xml:space="preserve"> </w:t>
      </w:r>
      <w:r w:rsidR="006D6F82" w:rsidRPr="0063603D">
        <w:rPr>
          <w:b/>
        </w:rPr>
        <w:t>klinicznych</w:t>
      </w:r>
      <w:r w:rsidR="006D6F82">
        <w:t>.</w:t>
      </w:r>
      <w:r w:rsidR="00F50950">
        <w:t xml:space="preserve"> </w:t>
      </w:r>
      <w:r w:rsidR="00641771">
        <w:t xml:space="preserve">Zniesienie tego wymogu </w:t>
      </w:r>
      <w:r w:rsidR="00534AC7">
        <w:t xml:space="preserve">oraz </w:t>
      </w:r>
      <w:r w:rsidR="00534AC7">
        <w:rPr>
          <w:b/>
        </w:rPr>
        <w:t>wzajemne uznawanie</w:t>
      </w:r>
      <w:r w:rsidR="00534AC7">
        <w:t xml:space="preserve"> wysokich standardów </w:t>
      </w:r>
      <w:r w:rsidR="00641771">
        <w:t xml:space="preserve">                 w praktyce </w:t>
      </w:r>
      <w:r w:rsidR="00534AC7">
        <w:t>przyniosłoby oszczędności liczone w milionach euro w skali roku.</w:t>
      </w:r>
    </w:p>
    <w:p w:rsidR="00887451" w:rsidRDefault="00F50950" w:rsidP="00534AC7">
      <w:pPr>
        <w:ind w:left="284"/>
        <w:jc w:val="both"/>
      </w:pPr>
      <w:r>
        <w:lastRenderedPageBreak/>
        <w:t xml:space="preserve">Kolejną korzyścią byłaby </w:t>
      </w:r>
      <w:r w:rsidRPr="0063603D">
        <w:rPr>
          <w:b/>
        </w:rPr>
        <w:t>harmonizacja kryteriów aplikacji</w:t>
      </w:r>
      <w:r w:rsidR="00534AC7">
        <w:t xml:space="preserve">, co zwiększyłoby </w:t>
      </w:r>
      <w:r w:rsidR="00172275">
        <w:t>przejrzystość procesu</w:t>
      </w:r>
      <w:r w:rsidR="00B33827">
        <w:t xml:space="preserve">, jego szybkość oraz prawdopodobieństwo pomyślnego przejścia procesu.  </w:t>
      </w:r>
    </w:p>
    <w:p w:rsidR="002B60BA" w:rsidRDefault="002B60BA" w:rsidP="002B60BA">
      <w:pPr>
        <w:ind w:left="284"/>
        <w:jc w:val="both"/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605"/>
      </w:tblGrid>
      <w:tr w:rsidR="00FE0BE1" w:rsidTr="008C291F">
        <w:tc>
          <w:tcPr>
            <w:tcW w:w="9605" w:type="dxa"/>
          </w:tcPr>
          <w:p w:rsidR="00FE0BE1" w:rsidRPr="00FE0BE1" w:rsidRDefault="00FE0BE1" w:rsidP="00FE0BE1">
            <w:pPr>
              <w:rPr>
                <w:b/>
              </w:rPr>
            </w:pPr>
            <w:r w:rsidRPr="00FE0BE1">
              <w:rPr>
                <w:b/>
                <w:color w:val="002060"/>
              </w:rPr>
              <w:t>Sektor energii</w:t>
            </w:r>
          </w:p>
        </w:tc>
      </w:tr>
    </w:tbl>
    <w:p w:rsidR="00FE0BE1" w:rsidRDefault="00FE0BE1" w:rsidP="002B60BA">
      <w:pPr>
        <w:ind w:left="284"/>
        <w:jc w:val="both"/>
      </w:pPr>
    </w:p>
    <w:p w:rsidR="00303C84" w:rsidRPr="00303C84" w:rsidRDefault="00303C84" w:rsidP="00303C84">
      <w:pPr>
        <w:widowControl w:val="0"/>
        <w:autoSpaceDE w:val="0"/>
        <w:autoSpaceDN w:val="0"/>
        <w:adjustRightInd w:val="0"/>
        <w:ind w:left="360"/>
        <w:jc w:val="both"/>
      </w:pPr>
      <w:r w:rsidRPr="00303C84">
        <w:t>Europie, a także Polsce, potrzeba nowych kierunków pozyskiwania surowców energetycznych     (w szczególności gazu). Dostaw, które będą bezpieczne, niezawodne i poprawią dotychczasową pozycję handlową Europy w stosunku do importerów surowców energetycznych.</w:t>
      </w:r>
      <w:r w:rsidRPr="00303C84">
        <w:rPr>
          <w:color w:val="18376A"/>
        </w:rPr>
        <w:t xml:space="preserve"> W </w:t>
      </w:r>
      <w:r w:rsidRPr="00303C84">
        <w:t xml:space="preserve">perspektywie średnio- i długoterminowej TTIP oferuje interesujące możliwości </w:t>
      </w:r>
      <w:r w:rsidRPr="00303C84">
        <w:rPr>
          <w:b/>
          <w:bCs/>
        </w:rPr>
        <w:t>rozszerzenia zewnętrznego sposobu pozyskiwania energii</w:t>
      </w:r>
      <w:r w:rsidRPr="00303C84">
        <w:t>.</w:t>
      </w:r>
    </w:p>
    <w:p w:rsidR="00303C84" w:rsidRPr="00303C84" w:rsidRDefault="00303C84" w:rsidP="00303C84">
      <w:pPr>
        <w:widowControl w:val="0"/>
        <w:autoSpaceDE w:val="0"/>
        <w:autoSpaceDN w:val="0"/>
        <w:adjustRightInd w:val="0"/>
        <w:ind w:left="920"/>
        <w:jc w:val="both"/>
      </w:pPr>
      <w:r w:rsidRPr="00303C84">
        <w:t> </w:t>
      </w:r>
    </w:p>
    <w:p w:rsidR="00303C84" w:rsidRPr="00303C84" w:rsidRDefault="00303C84" w:rsidP="00303C84">
      <w:pPr>
        <w:widowControl w:val="0"/>
        <w:autoSpaceDE w:val="0"/>
        <w:autoSpaceDN w:val="0"/>
        <w:adjustRightInd w:val="0"/>
        <w:ind w:left="360"/>
        <w:jc w:val="both"/>
      </w:pPr>
      <w:r w:rsidRPr="00303C84">
        <w:t xml:space="preserve">Wysokie ceny energii w Europie to istotna kwestia wpływająca na konkurencyjność biznesu. Stąd też wszelkie działania, które mogą doprowadzić do wyrównania cen z konkurentami działającymi poza Europą, są dla nas istotne. Popieramy stworzenie kluczowych zasad funkcjonowania transparentnego, konkurencyjnego i nie dyskryminującego globalnego rynku energii. TTIP mógłby stanowić podwaliny określenia zasad stworzenia i funkcjonowania takiego rynku.  W pierwszej kolejności należy </w:t>
      </w:r>
      <w:r w:rsidRPr="00303C84">
        <w:rPr>
          <w:b/>
          <w:bCs/>
        </w:rPr>
        <w:t>wyeliminować istniejące zakazy i ograniczenia eksportowe po stronie amerykańskiej</w:t>
      </w:r>
      <w:r w:rsidRPr="00303C84">
        <w:t xml:space="preserve"> oraz </w:t>
      </w:r>
      <w:r w:rsidRPr="00303C84">
        <w:rPr>
          <w:b/>
          <w:bCs/>
        </w:rPr>
        <w:t>uprościć proces uzyskania licencji do funkcjonowania na tym rynku</w:t>
      </w:r>
      <w:r w:rsidRPr="00303C84">
        <w:t>. Pozwoliłoby to nie tylko zdywersyfikować kierunki dostaw surowców energetycznych na rynku europejskim, ale również zapewnić niższe ceny i dostęp do rynku amerykańskiego dla firm europejskich, w tym polskich, zainteresowanych inwestycjami za oceanem.</w:t>
      </w:r>
    </w:p>
    <w:p w:rsidR="0063603D" w:rsidRDefault="00303C84" w:rsidP="00303C84">
      <w:pPr>
        <w:ind w:left="284"/>
        <w:jc w:val="both"/>
      </w:pPr>
      <w:r w:rsidRPr="00303C84">
        <w:rPr>
          <w:rFonts w:cs="Calibri"/>
        </w:rPr>
        <w:t> 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79"/>
      </w:tblGrid>
      <w:tr w:rsidR="002E4B0D" w:rsidTr="008C291F">
        <w:tc>
          <w:tcPr>
            <w:tcW w:w="9379" w:type="dxa"/>
          </w:tcPr>
          <w:p w:rsidR="002E4B0D" w:rsidRPr="002E4B0D" w:rsidRDefault="002E4B0D" w:rsidP="00F660FA">
            <w:pPr>
              <w:rPr>
                <w:b/>
              </w:rPr>
            </w:pPr>
            <w:r w:rsidRPr="002E4B0D">
              <w:rPr>
                <w:b/>
                <w:color w:val="002060"/>
              </w:rPr>
              <w:t>Sektor MŚP</w:t>
            </w:r>
          </w:p>
        </w:tc>
      </w:tr>
    </w:tbl>
    <w:p w:rsidR="002E4B0D" w:rsidRDefault="002E4B0D" w:rsidP="00227431"/>
    <w:p w:rsidR="000A0FAD" w:rsidRDefault="00C45EB9" w:rsidP="001676FB">
      <w:pPr>
        <w:ind w:left="284"/>
        <w:jc w:val="both"/>
      </w:pPr>
      <w:r>
        <w:t>Według danych statystycznych GUS polskie małe i średnie przedsiębiorstwa (MŚP) tworzą trzy cz</w:t>
      </w:r>
      <w:r w:rsidR="001676FB">
        <w:t>warte produktu krajowego brutto, lecz j</w:t>
      </w:r>
      <w:r w:rsidR="008D4DD8">
        <w:t>edynie 30% z nich decyduje się na eksport produktów.</w:t>
      </w:r>
      <w:r w:rsidR="008D4DD8">
        <w:rPr>
          <w:rStyle w:val="Odwoanieprzypisudolnego"/>
        </w:rPr>
        <w:footnoteReference w:id="3"/>
      </w:r>
      <w:r w:rsidR="001676FB">
        <w:t xml:space="preserve"> Jest to konsekwencja </w:t>
      </w:r>
      <w:r w:rsidR="008D4DD8">
        <w:t xml:space="preserve">nie tylko </w:t>
      </w:r>
      <w:r w:rsidR="008D4DD8" w:rsidRPr="00F660FA">
        <w:rPr>
          <w:b/>
        </w:rPr>
        <w:t>ograniczeń rynkowych</w:t>
      </w:r>
      <w:r w:rsidR="008D4DD8">
        <w:t xml:space="preserve">, ale przede wszystkim </w:t>
      </w:r>
      <w:r w:rsidR="008D4DD8" w:rsidRPr="00F660FA">
        <w:rPr>
          <w:b/>
        </w:rPr>
        <w:t>regulacyjnych</w:t>
      </w:r>
      <w:r w:rsidR="008D4DD8">
        <w:t>. TTIP ma szansę wprowadzić szereg ułatwień dla wymiany handlowej pomiędzy UE a USA</w:t>
      </w:r>
      <w:r w:rsidR="001676FB">
        <w:t>, z</w:t>
      </w:r>
      <w:r w:rsidR="000A0FAD">
        <w:t xml:space="preserve"> których skorzysta w pierwszej kolejności właśnie sektor MŚP. </w:t>
      </w:r>
    </w:p>
    <w:p w:rsidR="00A462C5" w:rsidRDefault="00A462C5" w:rsidP="00F660FA">
      <w:pPr>
        <w:jc w:val="both"/>
      </w:pPr>
    </w:p>
    <w:p w:rsidR="00A462C5" w:rsidRDefault="00A462C5" w:rsidP="00F660FA">
      <w:pPr>
        <w:ind w:left="284"/>
        <w:jc w:val="both"/>
      </w:pPr>
      <w:r>
        <w:t>Dla MŚP w szczególności trudnym jest</w:t>
      </w:r>
      <w:r w:rsidR="001676FB">
        <w:t xml:space="preserve"> rozpoznanie środowiska na zagranicznym rynku, w tym wypadku na rynku amerykańskim</w:t>
      </w:r>
      <w:r w:rsidR="00074707">
        <w:t>,</w:t>
      </w:r>
      <w:r>
        <w:t xml:space="preserve"> np. sprawdzanie czy ten sam wymóg techniczny obowiązuje w dwóch różnych stanach</w:t>
      </w:r>
      <w:r w:rsidR="00074707">
        <w:t xml:space="preserve">, na jakich warunkach i </w:t>
      </w:r>
      <w:r w:rsidR="001676FB">
        <w:t xml:space="preserve">w jakim terminie </w:t>
      </w:r>
      <w:r w:rsidR="00074707">
        <w:t>zaczyna obowiązywać</w:t>
      </w:r>
      <w:r>
        <w:t xml:space="preserve">. Dlatego pewność prawna, </w:t>
      </w:r>
      <w:r w:rsidRPr="002F3D27">
        <w:rPr>
          <w:b/>
        </w:rPr>
        <w:t xml:space="preserve">przejrzystość legislacyjna i łatwy dostęp do informacji </w:t>
      </w:r>
      <w:r>
        <w:t xml:space="preserve">jest kluczowy z punktu widzenia firm chcących </w:t>
      </w:r>
      <w:r w:rsidR="00074707">
        <w:t>roz</w:t>
      </w:r>
      <w:r>
        <w:t xml:space="preserve">szerzyć swoją działalność na rynek amerykański. Liczymy, że negocjatorzy </w:t>
      </w:r>
      <w:r w:rsidRPr="00074707">
        <w:rPr>
          <w:b/>
        </w:rPr>
        <w:t>rozdziału poświęconego MŚP</w:t>
      </w:r>
      <w:r>
        <w:t xml:space="preserve"> wezmą pod uwagę tę kwestię</w:t>
      </w:r>
      <w:r w:rsidR="00074707">
        <w:t xml:space="preserve"> i pot</w:t>
      </w:r>
      <w:r w:rsidR="001676FB">
        <w:t>raktują ją w sposób priorytetowy, bowiem jest to zagadnienie horyzontalne</w:t>
      </w:r>
      <w:r>
        <w:t>.</w:t>
      </w:r>
    </w:p>
    <w:p w:rsidR="00A462C5" w:rsidRDefault="00A462C5" w:rsidP="000A0FAD">
      <w:pPr>
        <w:ind w:left="705"/>
        <w:jc w:val="both"/>
      </w:pPr>
    </w:p>
    <w:p w:rsidR="000A0FAD" w:rsidRDefault="007E6F6E" w:rsidP="00AE5E7A">
      <w:pPr>
        <w:ind w:left="284"/>
        <w:jc w:val="both"/>
      </w:pPr>
      <w:r>
        <w:lastRenderedPageBreak/>
        <w:t xml:space="preserve">TTIP powinien również ułatwić i zharmonizować </w:t>
      </w:r>
      <w:r w:rsidRPr="00074707">
        <w:rPr>
          <w:b/>
        </w:rPr>
        <w:t>procedury celne</w:t>
      </w:r>
      <w:r>
        <w:t>. Kolejnym p</w:t>
      </w:r>
      <w:r w:rsidR="002F3D27">
        <w:t>roblem</w:t>
      </w:r>
      <w:r>
        <w:t>em bowiem</w:t>
      </w:r>
      <w:r w:rsidR="002F3D27">
        <w:t xml:space="preserve"> na jaki napotykają eksporterzy europejscy </w:t>
      </w:r>
      <w:r>
        <w:t>są</w:t>
      </w:r>
      <w:r w:rsidR="002F3D27">
        <w:t xml:space="preserve"> </w:t>
      </w:r>
      <w:r w:rsidR="002F3D27" w:rsidRPr="002F3D27">
        <w:rPr>
          <w:b/>
        </w:rPr>
        <w:t>wysokie</w:t>
      </w:r>
      <w:r>
        <w:rPr>
          <w:b/>
        </w:rPr>
        <w:t xml:space="preserve"> i</w:t>
      </w:r>
      <w:r w:rsidR="002F3D27" w:rsidRPr="002F3D27">
        <w:rPr>
          <w:b/>
        </w:rPr>
        <w:t xml:space="preserve"> zróżnicowane</w:t>
      </w:r>
      <w:r>
        <w:rPr>
          <w:b/>
        </w:rPr>
        <w:t xml:space="preserve"> opłaty</w:t>
      </w:r>
      <w:r w:rsidR="002F3D27" w:rsidRPr="002F3D27">
        <w:rPr>
          <w:b/>
        </w:rPr>
        <w:t xml:space="preserve"> </w:t>
      </w:r>
      <w:r w:rsidR="002F3D27">
        <w:t>na</w:t>
      </w:r>
      <w:r w:rsidR="003B53AA">
        <w:t>kładane na</w:t>
      </w:r>
      <w:r w:rsidR="002F3D27">
        <w:t xml:space="preserve"> produkty wprowadzane na rynek amerykański. Przykładowo 32% cła na produkty tekstylne (koszulki) przyczynia się do znaczącego wzrostu ceny eksportowanego produktu, a co za tym idzie </w:t>
      </w:r>
      <w:r w:rsidR="000B417C">
        <w:t>obniżenia jego konkurencyjności</w:t>
      </w:r>
      <w:r w:rsidR="00074707">
        <w:t xml:space="preserve"> </w:t>
      </w:r>
      <w:r w:rsidR="002F3D27">
        <w:t>na rynku docelowym.</w:t>
      </w:r>
    </w:p>
    <w:p w:rsidR="007E6F6E" w:rsidRDefault="00074707" w:rsidP="00AE5E7A">
      <w:pPr>
        <w:ind w:left="284"/>
        <w:jc w:val="both"/>
      </w:pPr>
      <w:r>
        <w:t>Z kolei s</w:t>
      </w:r>
      <w:r w:rsidR="00B0767D">
        <w:t xml:space="preserve">komplikowane </w:t>
      </w:r>
      <w:r w:rsidR="00B0767D" w:rsidRPr="00B0767D">
        <w:rPr>
          <w:b/>
        </w:rPr>
        <w:t>procedury celne</w:t>
      </w:r>
      <w:r w:rsidR="00B0767D">
        <w:t xml:space="preserve"> stanowią dodatkowy koszt i istotne utrudnienie administracyjne we w</w:t>
      </w:r>
      <w:r>
        <w:t xml:space="preserve">prowadzeniu produktu do obrotu. </w:t>
      </w:r>
      <w:r w:rsidR="00903D19">
        <w:t>Konieczność wykupywania dodatkowego ubezpie</w:t>
      </w:r>
      <w:r w:rsidR="000B417C">
        <w:t>czenia, podwójne kontrole celne</w:t>
      </w:r>
      <w:r w:rsidR="00903D19">
        <w:t xml:space="preserve"> oraz zróżnicowane reguły określania państwa pochodzenia dodatkowo komplikują dostęp do rynku USA.</w:t>
      </w:r>
    </w:p>
    <w:p w:rsidR="007E6F6E" w:rsidRDefault="007E6F6E" w:rsidP="002F3D27">
      <w:pPr>
        <w:ind w:left="705"/>
        <w:jc w:val="both"/>
      </w:pPr>
    </w:p>
    <w:p w:rsidR="008D4DD8" w:rsidRDefault="003B53AA" w:rsidP="00AE5E7A">
      <w:pPr>
        <w:ind w:left="284"/>
        <w:jc w:val="both"/>
      </w:pPr>
      <w:r>
        <w:t xml:space="preserve">Z punktu widzenia MŚP równie istotne jest także opisane wcześniej </w:t>
      </w:r>
      <w:r w:rsidRPr="00C762DC">
        <w:rPr>
          <w:b/>
        </w:rPr>
        <w:t>zniesienie barier pozacelnych</w:t>
      </w:r>
      <w:r>
        <w:t>. P</w:t>
      </w:r>
      <w:r w:rsidR="000B417C">
        <w:t>odwójne pozwolenia, różne</w:t>
      </w:r>
      <w:r>
        <w:t xml:space="preserve"> definicje</w:t>
      </w:r>
      <w:r w:rsidR="000B417C">
        <w:t xml:space="preserve"> produktów</w:t>
      </w:r>
      <w:r>
        <w:t xml:space="preserve"> i </w:t>
      </w:r>
      <w:r w:rsidR="000B417C">
        <w:t xml:space="preserve">zróżnicowane </w:t>
      </w:r>
      <w:r>
        <w:t>obowiązki dystrybutorów stanowią akt</w:t>
      </w:r>
      <w:r w:rsidR="000B417C">
        <w:t>ualnie jedne</w:t>
      </w:r>
      <w:r w:rsidR="00074707">
        <w:t xml:space="preserve"> z głównych </w:t>
      </w:r>
      <w:r w:rsidR="000025BE">
        <w:t>blok</w:t>
      </w:r>
      <w:r w:rsidR="00074707">
        <w:t>ad dla</w:t>
      </w:r>
      <w:r w:rsidR="000025BE">
        <w:t xml:space="preserve"> przedsiębiorców. </w:t>
      </w:r>
    </w:p>
    <w:p w:rsidR="00A74A21" w:rsidRDefault="00A74A21" w:rsidP="00227431"/>
    <w:p w:rsidR="000207FD" w:rsidRDefault="000207FD" w:rsidP="000207FD">
      <w:pPr>
        <w:pStyle w:val="Nagwek1"/>
        <w:numPr>
          <w:ilvl w:val="0"/>
          <w:numId w:val="1"/>
        </w:numPr>
        <w:rPr>
          <w:color w:val="002060"/>
        </w:rPr>
      </w:pPr>
      <w:r w:rsidRPr="000207FD">
        <w:rPr>
          <w:color w:val="002060"/>
        </w:rPr>
        <w:t>Przejrzystość</w:t>
      </w:r>
      <w:r w:rsidR="008C5AEE">
        <w:rPr>
          <w:color w:val="002060"/>
        </w:rPr>
        <w:t xml:space="preserve"> negocjacji</w:t>
      </w:r>
    </w:p>
    <w:p w:rsidR="00AE5E7A" w:rsidRDefault="00AE5E7A" w:rsidP="00AE5E7A">
      <w:pPr>
        <w:jc w:val="both"/>
      </w:pPr>
    </w:p>
    <w:p w:rsidR="00C03FDE" w:rsidRDefault="001D13FF" w:rsidP="00C03FDE">
      <w:pPr>
        <w:ind w:left="360"/>
        <w:jc w:val="both"/>
      </w:pPr>
      <w:r>
        <w:t xml:space="preserve">Państwa członkowskie zdecydowały się powierzyć </w:t>
      </w:r>
      <w:r w:rsidR="00CB5976">
        <w:t xml:space="preserve">Unii Europejskiej </w:t>
      </w:r>
      <w:r>
        <w:t>kompetencję w zakresie</w:t>
      </w:r>
      <w:r w:rsidR="000B417C">
        <w:t xml:space="preserve"> prowadzenia</w:t>
      </w:r>
      <w:r>
        <w:t xml:space="preserve"> p</w:t>
      </w:r>
      <w:r w:rsidR="00C03FDE">
        <w:t>olityk</w:t>
      </w:r>
      <w:r>
        <w:t>i handlowej i inwestycyjnej</w:t>
      </w:r>
      <w:r w:rsidR="00C03FDE">
        <w:t>. W konsekwencji</w:t>
      </w:r>
      <w:r>
        <w:t xml:space="preserve"> to</w:t>
      </w:r>
      <w:r w:rsidR="00C03FDE">
        <w:t xml:space="preserve"> </w:t>
      </w:r>
      <w:r>
        <w:t>Komisja Europejska reprezentuje UE podczas negocjacji bilateralnych porozumień w ramach</w:t>
      </w:r>
      <w:r w:rsidR="00C03FDE">
        <w:t xml:space="preserve"> udziel</w:t>
      </w:r>
      <w:r>
        <w:t>onego jej każdorazowo mandatu.</w:t>
      </w:r>
      <w:r w:rsidR="00C03FDE">
        <w:t xml:space="preserve"> </w:t>
      </w:r>
    </w:p>
    <w:p w:rsidR="00C03FDE" w:rsidRDefault="00C03FDE" w:rsidP="00C03FDE">
      <w:pPr>
        <w:ind w:left="360"/>
        <w:jc w:val="both"/>
      </w:pPr>
    </w:p>
    <w:p w:rsidR="00AA75DD" w:rsidRDefault="00AA75DD" w:rsidP="00CB5976">
      <w:pPr>
        <w:ind w:left="360"/>
        <w:jc w:val="both"/>
        <w:rPr>
          <w:rFonts w:cs="Tahoma"/>
        </w:rPr>
      </w:pPr>
      <w:r w:rsidRPr="009F2494">
        <w:rPr>
          <w:rFonts w:cs="Helvetica"/>
          <w:bCs/>
          <w:color w:val="1C1C1C"/>
        </w:rPr>
        <w:t>W</w:t>
      </w:r>
      <w:r w:rsidRPr="009F2494">
        <w:rPr>
          <w:rFonts w:cs="Tahoma"/>
        </w:rPr>
        <w:t xml:space="preserve">okół TTIP od miesięcy narastają niebezpieczne mity. Krytycznie wobec umowy wypowiadają się głównie organizacje pozarządowe i związki zawodowe. Jeden z najczęściej podnoszonych argumentów to </w:t>
      </w:r>
      <w:r w:rsidRPr="00AA75DD">
        <w:rPr>
          <w:rFonts w:cs="Tahoma"/>
        </w:rPr>
        <w:t>brak przejrzystości negocjacji</w:t>
      </w:r>
      <w:r w:rsidRPr="009F2494">
        <w:rPr>
          <w:rFonts w:cs="Tahoma"/>
        </w:rPr>
        <w:t xml:space="preserve">. </w:t>
      </w:r>
      <w:r>
        <w:t xml:space="preserve">Jako przedstawiciele biznesu zdajemy sobie sprawę z delikatnej materii jaką stanowi tajemnica negocjacji. Całkowite ujawnienie strategii negocjacyjnej wiązałoby się bowiem ze </w:t>
      </w:r>
      <w:r w:rsidRPr="00AA75DD">
        <w:rPr>
          <w:b/>
        </w:rPr>
        <w:t xml:space="preserve">znacznym obniżeniem szans </w:t>
      </w:r>
      <w:r w:rsidR="000B417C">
        <w:rPr>
          <w:b/>
        </w:rPr>
        <w:t>wynegocjowania ambitnego porozumienia</w:t>
      </w:r>
      <w:r>
        <w:t>.</w:t>
      </w:r>
    </w:p>
    <w:p w:rsidR="00AA75DD" w:rsidRDefault="00AA75DD" w:rsidP="00AA75DD">
      <w:pPr>
        <w:ind w:left="360"/>
        <w:jc w:val="both"/>
      </w:pPr>
    </w:p>
    <w:p w:rsidR="009F2494" w:rsidRPr="009F2494" w:rsidRDefault="000B417C" w:rsidP="005A501F">
      <w:pPr>
        <w:ind w:left="360"/>
        <w:jc w:val="both"/>
        <w:rPr>
          <w:rFonts w:cs="Tahoma"/>
        </w:rPr>
      </w:pPr>
      <w:r>
        <w:rPr>
          <w:rFonts w:cs="Tahoma"/>
        </w:rPr>
        <w:t>W reakcji na rosnącą</w:t>
      </w:r>
      <w:r w:rsidR="00AA75DD" w:rsidRPr="009F2494">
        <w:rPr>
          <w:rFonts w:cs="Tahoma"/>
        </w:rPr>
        <w:t xml:space="preserve"> presję społeczną, europejski negocjator zdecydował się na bezprecedensowy krok </w:t>
      </w:r>
      <w:r w:rsidR="00AA75DD" w:rsidRPr="009F2494">
        <w:rPr>
          <w:rFonts w:cs="Tahoma"/>
          <w:b/>
        </w:rPr>
        <w:t>opublikowania mandatu negocjacyjnego</w:t>
      </w:r>
      <w:r w:rsidR="00AA75DD" w:rsidRPr="00D62EF1">
        <w:t>.</w:t>
      </w:r>
      <w:r>
        <w:t xml:space="preserve"> Konfederacja Lewiatan postrzega</w:t>
      </w:r>
      <w:r w:rsidR="00AA75DD">
        <w:t xml:space="preserve"> </w:t>
      </w:r>
      <w:r>
        <w:t>tę decyzję</w:t>
      </w:r>
      <w:r w:rsidR="00A27718">
        <w:t xml:space="preserve"> </w:t>
      </w:r>
      <w:r w:rsidR="002A6C44">
        <w:t>jako dowód na prowadzenie</w:t>
      </w:r>
      <w:r>
        <w:t xml:space="preserve"> negocjacji w możliwie otwarty sposób oraz gotowość do </w:t>
      </w:r>
      <w:r w:rsidR="00A27718">
        <w:t>otwartej debaty ze społeczeństwem. J</w:t>
      </w:r>
      <w:r w:rsidR="00AA75DD">
        <w:t>ednoc</w:t>
      </w:r>
      <w:r w:rsidR="005C45BE">
        <w:t xml:space="preserve">ześnie z zadowoleniem przyjmujemy fakt, że KE systematycznie publikuje podsumowanie kolejnych rund negocjacyjnych i organizuje </w:t>
      </w:r>
      <w:r w:rsidR="005C45BE" w:rsidRPr="00717983">
        <w:rPr>
          <w:b/>
        </w:rPr>
        <w:t xml:space="preserve">spotkania </w:t>
      </w:r>
      <w:r w:rsidR="00A27718" w:rsidRPr="00717983">
        <w:rPr>
          <w:b/>
        </w:rPr>
        <w:t>z zainteresowanymi podmiotami</w:t>
      </w:r>
      <w:r w:rsidR="005C45BE">
        <w:t xml:space="preserve">. Takie konsultacje </w:t>
      </w:r>
      <w:r w:rsidR="00A27718">
        <w:t>pomagają negocjatorom w dostosowaniu stanowiska</w:t>
      </w:r>
      <w:r w:rsidR="00AA75DD">
        <w:t xml:space="preserve"> do rzeczywistych potrzeb ry</w:t>
      </w:r>
      <w:r w:rsidR="005C45BE">
        <w:t>n</w:t>
      </w:r>
      <w:r w:rsidR="00AA75DD">
        <w:t xml:space="preserve">ku. </w:t>
      </w:r>
    </w:p>
    <w:p w:rsidR="009F2494" w:rsidRPr="009F2494" w:rsidRDefault="009F2494" w:rsidP="009F2494">
      <w:pPr>
        <w:jc w:val="both"/>
        <w:rPr>
          <w:rFonts w:cs="Tahoma"/>
          <w:b/>
        </w:rPr>
      </w:pPr>
    </w:p>
    <w:p w:rsidR="00686497" w:rsidRDefault="009F2494" w:rsidP="00686497">
      <w:pPr>
        <w:ind w:left="360"/>
        <w:jc w:val="both"/>
      </w:pPr>
      <w:r w:rsidRPr="009F2494">
        <w:rPr>
          <w:rFonts w:cs="Tahoma"/>
        </w:rPr>
        <w:t xml:space="preserve">Warto również zwrócić uwagę na prowadzone </w:t>
      </w:r>
      <w:r w:rsidR="00E91B6C">
        <w:rPr>
          <w:rFonts w:cs="Tahoma"/>
        </w:rPr>
        <w:t>stale</w:t>
      </w:r>
      <w:r w:rsidRPr="009F2494">
        <w:rPr>
          <w:rFonts w:cs="Tahoma"/>
        </w:rPr>
        <w:t xml:space="preserve"> </w:t>
      </w:r>
      <w:r w:rsidRPr="00717983">
        <w:rPr>
          <w:rFonts w:cs="Tahoma"/>
          <w:b/>
        </w:rPr>
        <w:t>konsultacje społeczne</w:t>
      </w:r>
      <w:r w:rsidRPr="009F2494">
        <w:rPr>
          <w:rFonts w:cs="Tahoma"/>
        </w:rPr>
        <w:t xml:space="preserve"> dotyczące różnych zagadnień TTIP. </w:t>
      </w:r>
      <w:r w:rsidR="00E91B6C">
        <w:t>Przykładem jest</w:t>
      </w:r>
      <w:r w:rsidRPr="00D62EF1">
        <w:t xml:space="preserve"> ankieta skierowana głównie do  unijnych małych i średnich przedsiębiorstw (MŚP). Dotyczy ona dostępu do </w:t>
      </w:r>
      <w:r w:rsidR="000B417C">
        <w:t>amerykańskiego rynku</w:t>
      </w:r>
      <w:r w:rsidRPr="00D62EF1">
        <w:t xml:space="preserve"> i ma na celu </w:t>
      </w:r>
      <w:r w:rsidR="00E91B6C">
        <w:lastRenderedPageBreak/>
        <w:t xml:space="preserve">doprecyzowanie barier na </w:t>
      </w:r>
      <w:r w:rsidRPr="00D62EF1">
        <w:t>jakie</w:t>
      </w:r>
      <w:r w:rsidR="00E91B6C">
        <w:t xml:space="preserve"> na</w:t>
      </w:r>
      <w:r w:rsidRPr="00D62EF1">
        <w:t>potykają przedsiębiorcy tego sektora w dostępie do amerykańs</w:t>
      </w:r>
      <w:r>
        <w:t>kiego rynku.</w:t>
      </w:r>
    </w:p>
    <w:p w:rsidR="00686497" w:rsidRDefault="00686497" w:rsidP="00686497">
      <w:pPr>
        <w:ind w:left="360"/>
        <w:jc w:val="both"/>
      </w:pPr>
    </w:p>
    <w:p w:rsidR="00686497" w:rsidRPr="00D62EF1" w:rsidRDefault="00686497" w:rsidP="00686497">
      <w:pPr>
        <w:ind w:left="360"/>
        <w:jc w:val="both"/>
      </w:pPr>
      <w:r w:rsidRPr="00D62EF1">
        <w:t xml:space="preserve">Biorąc pod uwagę nasilającą się negatywną kampanię społeczną, niezmiernie istotnym jest </w:t>
      </w:r>
      <w:r w:rsidRPr="005C45BE">
        <w:rPr>
          <w:b/>
        </w:rPr>
        <w:t>wykazanie konkretnego postępu w negocjacjach</w:t>
      </w:r>
      <w:r>
        <w:t xml:space="preserve">, jak również </w:t>
      </w:r>
      <w:r w:rsidRPr="005C45BE">
        <w:rPr>
          <w:b/>
        </w:rPr>
        <w:t>wymiernych korzyści ekonomiczno-społecznych</w:t>
      </w:r>
      <w:r w:rsidR="00171C6B">
        <w:t xml:space="preserve"> płynących </w:t>
      </w:r>
      <w:r w:rsidRPr="00D62EF1">
        <w:t>z</w:t>
      </w:r>
      <w:r>
        <w:t> </w:t>
      </w:r>
      <w:r w:rsidRPr="00D62EF1">
        <w:t>zawarcia ambitnej umowy pomiędzy dwoma największymi gospodarkami świata.</w:t>
      </w:r>
      <w:r>
        <w:t xml:space="preserve"> Widzimy również korzyści płynące ze wzmocnionej roli Grupy Doradczej, której członkowie p</w:t>
      </w:r>
      <w:r w:rsidR="00171C6B">
        <w:t>owinni mieć możliwość</w:t>
      </w:r>
      <w:r>
        <w:t xml:space="preserve"> konkretnego wkładu do procesu negocjacyjnego.  </w:t>
      </w:r>
    </w:p>
    <w:p w:rsidR="009762CA" w:rsidRDefault="009762CA" w:rsidP="009F2494"/>
    <w:p w:rsidR="00131028" w:rsidRPr="00686497" w:rsidRDefault="00686497" w:rsidP="00686497">
      <w:pPr>
        <w:ind w:left="360"/>
        <w:jc w:val="both"/>
        <w:rPr>
          <w:b/>
        </w:rPr>
      </w:pPr>
      <w:r>
        <w:t>Jako przedstawiciele ś</w:t>
      </w:r>
      <w:r w:rsidR="009F2494" w:rsidRPr="00D62EF1">
        <w:t>rodowisk</w:t>
      </w:r>
      <w:r>
        <w:t>a biznesowe</w:t>
      </w:r>
      <w:r w:rsidR="00171C6B">
        <w:t>go</w:t>
      </w:r>
      <w:r>
        <w:t xml:space="preserve"> staramy się również być aktywni w dyskusji społecznej i przedstawiać argumenty za podpisanie ambitnego porozumienia. Między innymi w tym celu BU</w:t>
      </w:r>
      <w:r w:rsidR="009762CA">
        <w:t>SINESSEUROPE</w:t>
      </w:r>
      <w:r w:rsidR="009F2494" w:rsidRPr="00D62EF1">
        <w:t>, największa europejska organizacja przedsiębiorców, zorganizował</w:t>
      </w:r>
      <w:r w:rsidR="009762CA">
        <w:t>a</w:t>
      </w:r>
      <w:r w:rsidR="009F2494" w:rsidRPr="00D62EF1">
        <w:t xml:space="preserve"> pod koniec września w Brukseli debatę prasową pomiędzy przedstawicielami KE i biznesu oraz  organizacjami pozarządowymi sprzeciwiającymi się umowie</w:t>
      </w:r>
      <w:r w:rsidR="009762CA">
        <w:t>.</w:t>
      </w:r>
      <w:r>
        <w:t xml:space="preserve"> </w:t>
      </w:r>
      <w:r w:rsidR="009F2494" w:rsidRPr="009762CA">
        <w:rPr>
          <w:rFonts w:cs="Helvetica"/>
          <w:color w:val="1C1C1C"/>
        </w:rPr>
        <w:t xml:space="preserve">Perspektywa pracodawców na korzyści płynące z zawarcia porozumienia była również tematem panelu prowadzonego przez przedstawicieli Europejskiego Komitetu Społeczno-Ekonomicznego podczas tegorocznego EFNI w </w:t>
      </w:r>
      <w:r w:rsidR="00A91242">
        <w:rPr>
          <w:rFonts w:cs="Helvetica"/>
          <w:color w:val="1C1C1C"/>
        </w:rPr>
        <w:t>Sopocie.</w:t>
      </w:r>
    </w:p>
    <w:p w:rsidR="000207FD" w:rsidRPr="000207FD" w:rsidRDefault="000207FD" w:rsidP="000207FD"/>
    <w:p w:rsidR="00227431" w:rsidRPr="00227431" w:rsidRDefault="00227431" w:rsidP="00227431"/>
    <w:p w:rsidR="001459A6" w:rsidRPr="00635012" w:rsidRDefault="001459A6" w:rsidP="0005163B">
      <w:pPr>
        <w:tabs>
          <w:tab w:val="right" w:pos="10206"/>
        </w:tabs>
        <w:spacing w:line="320" w:lineRule="atLeast"/>
        <w:ind w:left="567" w:right="56"/>
        <w:jc w:val="center"/>
        <w:rPr>
          <w:rFonts w:cs="Arial"/>
        </w:rPr>
      </w:pPr>
    </w:p>
    <w:sectPr w:rsidR="001459A6" w:rsidRPr="00635012" w:rsidSect="00635012">
      <w:headerReference w:type="default" r:id="rId8"/>
      <w:footerReference w:type="default" r:id="rId9"/>
      <w:pgSz w:w="11906" w:h="16838" w:code="9"/>
      <w:pgMar w:top="851" w:right="991" w:bottom="2269" w:left="1134" w:header="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90" w:rsidRDefault="00B40A90">
      <w:r>
        <w:separator/>
      </w:r>
    </w:p>
  </w:endnote>
  <w:endnote w:type="continuationSeparator" w:id="0">
    <w:p w:rsidR="00B40A90" w:rsidRDefault="00B4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F5" w:rsidRDefault="005925F5" w:rsidP="00912E45">
    <w:pPr>
      <w:pStyle w:val="Stopka"/>
      <w:jc w:val="right"/>
      <w:rPr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0B18B1AA" wp14:editId="4D646F39">
          <wp:extent cx="1164590" cy="201295"/>
          <wp:effectExtent l="0" t="0" r="0" b="8255"/>
          <wp:docPr id="14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210BAB7A" wp14:editId="57BE2057">
          <wp:extent cx="5912026" cy="814387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5F5" w:rsidRPr="00912E45" w:rsidRDefault="005925F5" w:rsidP="00912E45">
    <w:pPr>
      <w:pStyle w:val="Stopka"/>
      <w:jc w:val="right"/>
      <w:rPr>
        <w:color w:val="002060"/>
        <w:sz w:val="20"/>
        <w:szCs w:val="20"/>
      </w:rPr>
    </w:pPr>
    <w:r w:rsidRPr="00912E45">
      <w:rPr>
        <w:color w:val="002060"/>
        <w:sz w:val="20"/>
        <w:szCs w:val="20"/>
      </w:rPr>
      <w:t xml:space="preserve">- </w:t>
    </w:r>
    <w:sdt>
      <w:sdtPr>
        <w:rPr>
          <w:color w:val="002060"/>
          <w:sz w:val="20"/>
          <w:szCs w:val="20"/>
        </w:rPr>
        <w:id w:val="1687659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2E45">
          <w:rPr>
            <w:color w:val="002060"/>
            <w:sz w:val="20"/>
            <w:szCs w:val="20"/>
          </w:rPr>
          <w:fldChar w:fldCharType="begin"/>
        </w:r>
        <w:r w:rsidRPr="00912E45">
          <w:rPr>
            <w:color w:val="002060"/>
            <w:sz w:val="20"/>
            <w:szCs w:val="20"/>
          </w:rPr>
          <w:instrText xml:space="preserve"> PAGE   \* MERGEFORMAT </w:instrText>
        </w:r>
        <w:r w:rsidRPr="00912E45">
          <w:rPr>
            <w:color w:val="002060"/>
            <w:sz w:val="20"/>
            <w:szCs w:val="20"/>
          </w:rPr>
          <w:fldChar w:fldCharType="separate"/>
        </w:r>
        <w:r w:rsidR="00367112">
          <w:rPr>
            <w:noProof/>
            <w:color w:val="002060"/>
            <w:sz w:val="20"/>
            <w:szCs w:val="20"/>
          </w:rPr>
          <w:t>2</w:t>
        </w:r>
        <w:r w:rsidRPr="00912E45">
          <w:rPr>
            <w:noProof/>
            <w:color w:val="002060"/>
            <w:sz w:val="20"/>
            <w:szCs w:val="20"/>
          </w:rPr>
          <w:fldChar w:fldCharType="end"/>
        </w:r>
        <w:r w:rsidRPr="00912E45">
          <w:rPr>
            <w:noProof/>
            <w:color w:val="002060"/>
            <w:sz w:val="20"/>
            <w:szCs w:val="20"/>
          </w:rPr>
          <w:t xml:space="preserve"> -</w:t>
        </w:r>
      </w:sdtContent>
    </w:sdt>
  </w:p>
  <w:p w:rsidR="005925F5" w:rsidRPr="008D5B7E" w:rsidRDefault="005925F5" w:rsidP="008D5B7E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90" w:rsidRDefault="00B40A90">
      <w:r>
        <w:separator/>
      </w:r>
    </w:p>
  </w:footnote>
  <w:footnote w:type="continuationSeparator" w:id="0">
    <w:p w:rsidR="00B40A90" w:rsidRDefault="00B40A90">
      <w:r>
        <w:continuationSeparator/>
      </w:r>
    </w:p>
  </w:footnote>
  <w:footnote w:id="1">
    <w:p w:rsidR="005925F5" w:rsidRDefault="005925F5">
      <w:pPr>
        <w:pStyle w:val="Tekstprzypisudolnego"/>
      </w:pPr>
      <w:r>
        <w:rPr>
          <w:rStyle w:val="Odwoanieprzypisudolnego"/>
        </w:rPr>
        <w:footnoteRef/>
      </w:r>
      <w:r>
        <w:t xml:space="preserve"> Polski Związek Przemysłu Kosmetycznego, Polski Związek Pracodawców Przemysłu Farmaceutycznego, Polski Związek Pracodawców Motoryzacji i Artykułów Przemysłowych.</w:t>
      </w:r>
    </w:p>
  </w:footnote>
  <w:footnote w:id="2">
    <w:p w:rsidR="005925F5" w:rsidRDefault="005925F5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stanowiska sektora kosmetycznego może zostać uzyskana od Polskiego Związku Kosmetycznego, firmy członkowskiej Konfederacji Lewiatan. </w:t>
      </w:r>
    </w:p>
  </w:footnote>
  <w:footnote w:id="3">
    <w:p w:rsidR="005925F5" w:rsidRPr="00B46F46" w:rsidRDefault="005925F5">
      <w:pPr>
        <w:pStyle w:val="Tekstprzypisudolnego"/>
      </w:pPr>
      <w:r w:rsidRPr="00B46F46">
        <w:rPr>
          <w:rStyle w:val="Odwoanieprzypisudolnego"/>
        </w:rPr>
        <w:footnoteRef/>
      </w:r>
      <w:r w:rsidRPr="00B46F46">
        <w:t xml:space="preserve"> </w:t>
      </w:r>
      <w:r>
        <w:t>„</w:t>
      </w:r>
      <w:hyperlink r:id="rId1" w:history="1">
        <w:r w:rsidRPr="00B46F46">
          <w:rPr>
            <w:rStyle w:val="Hipercze"/>
            <w:color w:val="auto"/>
            <w:u w:val="none"/>
          </w:rPr>
          <w:t>Raport o stanie sektora MŚP w Polsce</w:t>
        </w:r>
      </w:hyperlink>
      <w:r>
        <w:rPr>
          <w:rStyle w:val="Hipercze"/>
          <w:color w:val="auto"/>
          <w:u w:val="none"/>
        </w:rPr>
        <w:t>”</w:t>
      </w:r>
      <w:r w:rsidRPr="00B46F46">
        <w:t>, PARP, 2011r</w:t>
      </w:r>
      <w:r>
        <w:t>.</w:t>
      </w:r>
      <w:r w:rsidRPr="00B46F46">
        <w:t xml:space="preserve"> </w:t>
      </w:r>
      <w:r w:rsidRPr="00B46F46">
        <w:rPr>
          <w:highlight w:val="yellow"/>
        </w:rPr>
        <w:t xml:space="preserve"> </w:t>
      </w:r>
      <w:r w:rsidRPr="00B46F4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F5" w:rsidRDefault="005925F5" w:rsidP="008D5B7E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>
      <w:t xml:space="preserve">                                                                                                                                            </w:t>
    </w:r>
  </w:p>
  <w:p w:rsidR="005925F5" w:rsidRDefault="005925F5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:rsidR="005925F5" w:rsidRDefault="005925F5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tbl>
    <w:tblPr>
      <w:tblStyle w:val="Tabela-Siatka"/>
      <w:tblW w:w="9639" w:type="dxa"/>
      <w:tblInd w:w="426" w:type="dxa"/>
      <w:tblBorders>
        <w:top w:val="none" w:sz="0" w:space="0" w:color="auto"/>
        <w:left w:val="none" w:sz="0" w:space="0" w:color="auto"/>
        <w:bottom w:val="single" w:sz="8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8"/>
      <w:gridCol w:w="6021"/>
    </w:tblGrid>
    <w:tr w:rsidR="005925F5" w:rsidTr="00010EFB">
      <w:tc>
        <w:tcPr>
          <w:tcW w:w="3618" w:type="dxa"/>
          <w:tcBorders>
            <w:bottom w:val="nil"/>
          </w:tcBorders>
        </w:tcPr>
        <w:p w:rsidR="005925F5" w:rsidRDefault="005925F5" w:rsidP="00711C38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</w:pPr>
          <w:r w:rsidRPr="00DE7F9D">
            <w:rPr>
              <w:noProof/>
            </w:rPr>
            <w:drawing>
              <wp:inline distT="0" distB="0" distL="0" distR="0" wp14:anchorId="3DA51AB3" wp14:editId="01FE1282">
                <wp:extent cx="713105" cy="932815"/>
                <wp:effectExtent l="0" t="0" r="0" b="635"/>
                <wp:docPr id="13" name="Obraz 13" descr="Papier_Lewiatan_10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2" descr="Papier_Lewiatan_10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tcBorders>
            <w:bottom w:val="nil"/>
          </w:tcBorders>
        </w:tcPr>
        <w:p w:rsidR="005925F5" w:rsidRDefault="005925F5" w:rsidP="008D5B7E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</w:tbl>
  <w:p w:rsidR="005925F5" w:rsidRPr="00C80C61" w:rsidRDefault="005925F5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4093"/>
    <w:multiLevelType w:val="hybridMultilevel"/>
    <w:tmpl w:val="A456F496"/>
    <w:lvl w:ilvl="0" w:tplc="43627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352"/>
    <w:multiLevelType w:val="hybridMultilevel"/>
    <w:tmpl w:val="ACCED35C"/>
    <w:lvl w:ilvl="0" w:tplc="B9CAE8CE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E794297"/>
    <w:multiLevelType w:val="hybridMultilevel"/>
    <w:tmpl w:val="3EDA9A88"/>
    <w:lvl w:ilvl="0" w:tplc="597EA4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b5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025BE"/>
    <w:rsid w:val="00010EFB"/>
    <w:rsid w:val="000207FD"/>
    <w:rsid w:val="00037C5B"/>
    <w:rsid w:val="0005163B"/>
    <w:rsid w:val="00064A05"/>
    <w:rsid w:val="00070402"/>
    <w:rsid w:val="000704B0"/>
    <w:rsid w:val="00074707"/>
    <w:rsid w:val="000A0FAD"/>
    <w:rsid w:val="000B417C"/>
    <w:rsid w:val="000B43D5"/>
    <w:rsid w:val="000C0217"/>
    <w:rsid w:val="000C5695"/>
    <w:rsid w:val="000C6452"/>
    <w:rsid w:val="00100AB1"/>
    <w:rsid w:val="00126755"/>
    <w:rsid w:val="00126DF0"/>
    <w:rsid w:val="00131028"/>
    <w:rsid w:val="001459A6"/>
    <w:rsid w:val="001468BE"/>
    <w:rsid w:val="001676FB"/>
    <w:rsid w:val="00171C6B"/>
    <w:rsid w:val="00172275"/>
    <w:rsid w:val="00174F74"/>
    <w:rsid w:val="001B5403"/>
    <w:rsid w:val="001C7EB7"/>
    <w:rsid w:val="001D13FF"/>
    <w:rsid w:val="001D720D"/>
    <w:rsid w:val="001F0FAE"/>
    <w:rsid w:val="00227431"/>
    <w:rsid w:val="002431B1"/>
    <w:rsid w:val="0027569E"/>
    <w:rsid w:val="00284B3F"/>
    <w:rsid w:val="002A6C44"/>
    <w:rsid w:val="002B60BA"/>
    <w:rsid w:val="002C1BD1"/>
    <w:rsid w:val="002C5825"/>
    <w:rsid w:val="002E4B0D"/>
    <w:rsid w:val="002F3D27"/>
    <w:rsid w:val="002F6BA0"/>
    <w:rsid w:val="00303C84"/>
    <w:rsid w:val="0033172F"/>
    <w:rsid w:val="0033233D"/>
    <w:rsid w:val="00336D63"/>
    <w:rsid w:val="00367112"/>
    <w:rsid w:val="00391837"/>
    <w:rsid w:val="00395D95"/>
    <w:rsid w:val="003A373A"/>
    <w:rsid w:val="003B53AA"/>
    <w:rsid w:val="003F163E"/>
    <w:rsid w:val="00403ADA"/>
    <w:rsid w:val="0041510C"/>
    <w:rsid w:val="00420740"/>
    <w:rsid w:val="00440953"/>
    <w:rsid w:val="00477521"/>
    <w:rsid w:val="004D63FC"/>
    <w:rsid w:val="004F7563"/>
    <w:rsid w:val="00525BE4"/>
    <w:rsid w:val="00532959"/>
    <w:rsid w:val="00534AC7"/>
    <w:rsid w:val="0055384D"/>
    <w:rsid w:val="00561DB4"/>
    <w:rsid w:val="00576998"/>
    <w:rsid w:val="005925F5"/>
    <w:rsid w:val="005A501F"/>
    <w:rsid w:val="005C45BE"/>
    <w:rsid w:val="005D304E"/>
    <w:rsid w:val="006255E5"/>
    <w:rsid w:val="006314EC"/>
    <w:rsid w:val="00635012"/>
    <w:rsid w:val="0063603D"/>
    <w:rsid w:val="00641771"/>
    <w:rsid w:val="00671EAA"/>
    <w:rsid w:val="00674724"/>
    <w:rsid w:val="00686497"/>
    <w:rsid w:val="00686E56"/>
    <w:rsid w:val="006B294F"/>
    <w:rsid w:val="006D6F82"/>
    <w:rsid w:val="006F5225"/>
    <w:rsid w:val="00711C38"/>
    <w:rsid w:val="0071763E"/>
    <w:rsid w:val="00717983"/>
    <w:rsid w:val="0072064C"/>
    <w:rsid w:val="00723D50"/>
    <w:rsid w:val="00734DF2"/>
    <w:rsid w:val="007357CB"/>
    <w:rsid w:val="00744B56"/>
    <w:rsid w:val="00747E08"/>
    <w:rsid w:val="00755C8E"/>
    <w:rsid w:val="00775630"/>
    <w:rsid w:val="00781138"/>
    <w:rsid w:val="007A4B44"/>
    <w:rsid w:val="007C1B9C"/>
    <w:rsid w:val="007D0861"/>
    <w:rsid w:val="007E195F"/>
    <w:rsid w:val="007E6F6E"/>
    <w:rsid w:val="00801937"/>
    <w:rsid w:val="00812E34"/>
    <w:rsid w:val="008525ED"/>
    <w:rsid w:val="00872D80"/>
    <w:rsid w:val="00887451"/>
    <w:rsid w:val="008939BB"/>
    <w:rsid w:val="00897053"/>
    <w:rsid w:val="008B4928"/>
    <w:rsid w:val="008C291F"/>
    <w:rsid w:val="008C5AEE"/>
    <w:rsid w:val="008D239D"/>
    <w:rsid w:val="008D4DD8"/>
    <w:rsid w:val="008D5B7E"/>
    <w:rsid w:val="00903D19"/>
    <w:rsid w:val="009113DD"/>
    <w:rsid w:val="00912E45"/>
    <w:rsid w:val="00921E51"/>
    <w:rsid w:val="0092422C"/>
    <w:rsid w:val="0096352F"/>
    <w:rsid w:val="009762CA"/>
    <w:rsid w:val="00995FD7"/>
    <w:rsid w:val="00997A7C"/>
    <w:rsid w:val="009B5159"/>
    <w:rsid w:val="009E3C98"/>
    <w:rsid w:val="009E61AE"/>
    <w:rsid w:val="009E6CBE"/>
    <w:rsid w:val="009F2494"/>
    <w:rsid w:val="00A27718"/>
    <w:rsid w:val="00A27F31"/>
    <w:rsid w:val="00A313E8"/>
    <w:rsid w:val="00A462C5"/>
    <w:rsid w:val="00A60765"/>
    <w:rsid w:val="00A60B5E"/>
    <w:rsid w:val="00A74A21"/>
    <w:rsid w:val="00A91242"/>
    <w:rsid w:val="00AA75DD"/>
    <w:rsid w:val="00AB1BAB"/>
    <w:rsid w:val="00AB4045"/>
    <w:rsid w:val="00AC7C2D"/>
    <w:rsid w:val="00AE51EC"/>
    <w:rsid w:val="00AE5E7A"/>
    <w:rsid w:val="00AF7D2E"/>
    <w:rsid w:val="00B009EE"/>
    <w:rsid w:val="00B01457"/>
    <w:rsid w:val="00B030CC"/>
    <w:rsid w:val="00B036E8"/>
    <w:rsid w:val="00B0767D"/>
    <w:rsid w:val="00B241F1"/>
    <w:rsid w:val="00B33827"/>
    <w:rsid w:val="00B40A90"/>
    <w:rsid w:val="00B46F46"/>
    <w:rsid w:val="00B51171"/>
    <w:rsid w:val="00B77D4B"/>
    <w:rsid w:val="00B91DF2"/>
    <w:rsid w:val="00BB0F9A"/>
    <w:rsid w:val="00BB7989"/>
    <w:rsid w:val="00BF455E"/>
    <w:rsid w:val="00BF58FB"/>
    <w:rsid w:val="00C03FDE"/>
    <w:rsid w:val="00C207ED"/>
    <w:rsid w:val="00C31EFB"/>
    <w:rsid w:val="00C34257"/>
    <w:rsid w:val="00C45EB9"/>
    <w:rsid w:val="00C542A6"/>
    <w:rsid w:val="00C63F11"/>
    <w:rsid w:val="00C762DC"/>
    <w:rsid w:val="00C80388"/>
    <w:rsid w:val="00C80C61"/>
    <w:rsid w:val="00CB5976"/>
    <w:rsid w:val="00CD2C2C"/>
    <w:rsid w:val="00CF3641"/>
    <w:rsid w:val="00D05BDB"/>
    <w:rsid w:val="00D06CDF"/>
    <w:rsid w:val="00D33E02"/>
    <w:rsid w:val="00D922B2"/>
    <w:rsid w:val="00DC0322"/>
    <w:rsid w:val="00DE7F9D"/>
    <w:rsid w:val="00DF0045"/>
    <w:rsid w:val="00DF5BA7"/>
    <w:rsid w:val="00E27053"/>
    <w:rsid w:val="00E32776"/>
    <w:rsid w:val="00E33455"/>
    <w:rsid w:val="00E33919"/>
    <w:rsid w:val="00E632F4"/>
    <w:rsid w:val="00E65A39"/>
    <w:rsid w:val="00E71089"/>
    <w:rsid w:val="00E74AC7"/>
    <w:rsid w:val="00E91B6C"/>
    <w:rsid w:val="00EA156C"/>
    <w:rsid w:val="00EC2E7E"/>
    <w:rsid w:val="00EC3A35"/>
    <w:rsid w:val="00EC50D1"/>
    <w:rsid w:val="00EC66AB"/>
    <w:rsid w:val="00F15EF4"/>
    <w:rsid w:val="00F3746F"/>
    <w:rsid w:val="00F44FE3"/>
    <w:rsid w:val="00F50950"/>
    <w:rsid w:val="00F660FA"/>
    <w:rsid w:val="00FB126D"/>
    <w:rsid w:val="00FB5EF2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b5b5e"/>
    </o:shapedefaults>
    <o:shapelayout v:ext="edit">
      <o:idmap v:ext="edit" data="1"/>
    </o:shapelayout>
  </w:shapeDefaults>
  <w:decimalSymbol w:val=","/>
  <w:listSeparator w:val=";"/>
  <w15:docId w15:val="{539DD509-E0D6-4386-AF89-6E2692AA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9A6"/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qFormat/>
    <w:rsid w:val="001459A6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1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3233D"/>
    <w:pPr>
      <w:spacing w:after="210" w:line="210" w:lineRule="atLeast"/>
      <w:jc w:val="both"/>
    </w:pPr>
    <w:rPr>
      <w:sz w:val="17"/>
      <w:szCs w:val="17"/>
    </w:rPr>
  </w:style>
  <w:style w:type="table" w:styleId="Tabela-Siatka">
    <w:name w:val="Table Grid"/>
    <w:basedOn w:val="Standardowy"/>
    <w:rsid w:val="005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12E4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74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274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7431"/>
    <w:rPr>
      <w:rFonts w:asciiTheme="minorHAnsi" w:hAnsiTheme="minorHAnsi"/>
    </w:rPr>
  </w:style>
  <w:style w:type="character" w:styleId="Odwoanieprzypisukocowego">
    <w:name w:val="endnote reference"/>
    <w:basedOn w:val="Domylnaczcionkaakapitu"/>
    <w:rsid w:val="002274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F6B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6BA0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2F6BA0"/>
    <w:rPr>
      <w:vertAlign w:val="superscript"/>
    </w:rPr>
  </w:style>
  <w:style w:type="character" w:styleId="Hipercze">
    <w:name w:val="Hyperlink"/>
    <w:basedOn w:val="Domylnaczcionkaakapitu"/>
    <w:rsid w:val="002F6B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631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ps">
    <w:name w:val="hps"/>
    <w:basedOn w:val="Domylnaczcionkaakapitu"/>
    <w:rsid w:val="00D33E02"/>
  </w:style>
  <w:style w:type="character" w:styleId="UyteHipercze">
    <w:name w:val="FollowedHyperlink"/>
    <w:basedOn w:val="Domylnaczcionkaakapitu"/>
    <w:rsid w:val="008C5AE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686E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6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6E56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686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6E5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p.gov.pl/files/74/81/469/1255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E5EB-BE0E-4885-BE36-E8C83DD9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Futu</dc:creator>
  <cp:keywords/>
  <cp:lastModifiedBy>Alicja Tatarczuk</cp:lastModifiedBy>
  <cp:revision>2</cp:revision>
  <cp:lastPrinted>2014-10-16T08:23:00Z</cp:lastPrinted>
  <dcterms:created xsi:type="dcterms:W3CDTF">2014-12-18T11:52:00Z</dcterms:created>
  <dcterms:modified xsi:type="dcterms:W3CDTF">2014-12-18T11:52:00Z</dcterms:modified>
</cp:coreProperties>
</file>