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5D9" w:rsidRDefault="006A25D9" w:rsidP="006A25D9">
      <w:pPr>
        <w:pStyle w:val="Tekstpodstawowy"/>
        <w:jc w:val="center"/>
      </w:pPr>
      <w:r>
        <w:rPr>
          <w:b/>
          <w:bCs/>
        </w:rPr>
        <w:t>Indeks Biznesu Lewiatan - grudzień 2013</w:t>
      </w:r>
    </w:p>
    <w:p w:rsidR="006A25D9" w:rsidRDefault="006A25D9" w:rsidP="006A25D9">
      <w:pPr>
        <w:pStyle w:val="Tekstpodstawowy"/>
        <w:jc w:val="both"/>
        <w:rPr>
          <w:b/>
          <w:bCs/>
        </w:rPr>
      </w:pPr>
    </w:p>
    <w:p w:rsidR="006A25D9" w:rsidRDefault="006A25D9" w:rsidP="006A25D9">
      <w:pPr>
        <w:pStyle w:val="Tekstpodstawowy"/>
        <w:spacing w:before="220"/>
        <w:jc w:val="both"/>
        <w:rPr>
          <w:b/>
          <w:bCs/>
        </w:rPr>
      </w:pPr>
      <w:r>
        <w:rPr>
          <w:b/>
          <w:bCs/>
        </w:rPr>
        <w:t xml:space="preserve">Indeks Biznesu </w:t>
      </w:r>
      <w:r w:rsidR="00721A6E">
        <w:rPr>
          <w:b/>
          <w:bCs/>
        </w:rPr>
        <w:t xml:space="preserve">Konfederacji </w:t>
      </w:r>
      <w:r>
        <w:rPr>
          <w:b/>
          <w:bCs/>
        </w:rPr>
        <w:t xml:space="preserve">Lewiatan w grudniu w notowaniu rocznym pozostał na poziomie 33 </w:t>
      </w:r>
      <w:proofErr w:type="spellStart"/>
      <w:r>
        <w:rPr>
          <w:b/>
          <w:bCs/>
        </w:rPr>
        <w:t>pkt</w:t>
      </w:r>
      <w:proofErr w:type="spellEnd"/>
      <w:r>
        <w:rPr>
          <w:b/>
          <w:bCs/>
        </w:rPr>
        <w:t>, na którym znajduje się już od dwóch miesięcy, a w notowaniu kwartalnym odnotował jednopunktową korektę w dół do 34 pkt. Indeks półroczny pozostał na poziomie 35 pkt., co sugeruje, że tempo ożywienia w drugiej połowie ub. roku było mniej więcej wyrównane. Poprawa koniunktury w drugiej połowie roku w porównaniu do pierwszej nabrała cech trwałej tendencji. Dobre wyniki gospodarki w trzecim kwartale z pewnością zostały utrzymane w ostatnim kwartale roku. Szczególnie ważne wydaje się ożywienie popytu krajowego, bo gospodarka nie jedzie już tylko na jednym silniku, eksporcie, ale wyraźnie ożywieniu uległ popyt krajowy. Wyniki dwóch miesięcy czwartego kwartału napawają optymizmem; rośnie produkcja sprzedana przemysłu, a zwłaszcza sprzedaż detaliczna.</w:t>
      </w:r>
      <w:r>
        <w:t xml:space="preserve"> </w:t>
      </w:r>
      <w:r>
        <w:rPr>
          <w:b/>
          <w:bCs/>
        </w:rPr>
        <w:t>W ostatnim miesiącu po raz pierwszy od ponad roku odnotowano także wzrost zatrudnienia. Szacujemy, że wzrost PKB w 2013 roku wyniósł 1,5%, a w bieżącym roku możemy liczyć nawet na 3%.</w:t>
      </w:r>
    </w:p>
    <w:p w:rsidR="006A25D9" w:rsidRDefault="006A25D9" w:rsidP="006A25D9">
      <w:pPr>
        <w:pStyle w:val="Tekstpodstawowy"/>
        <w:spacing w:before="220"/>
        <w:jc w:val="both"/>
        <w:rPr>
          <w:b/>
          <w:bCs/>
        </w:rPr>
      </w:pPr>
    </w:p>
    <w:p w:rsidR="006A25D9" w:rsidRDefault="006A25D9" w:rsidP="006A25D9">
      <w:pPr>
        <w:pStyle w:val="Tekstpodstawowy"/>
        <w:spacing w:before="220"/>
        <w:jc w:val="both"/>
      </w:pPr>
      <w:r>
        <w:t xml:space="preserve">Indeks Biznesu </w:t>
      </w:r>
      <w:r w:rsidR="00721A6E">
        <w:t xml:space="preserve">Konfederacji </w:t>
      </w:r>
      <w:r>
        <w:t xml:space="preserve">Lewiatan jest wskaźnikiem koniunktury gospodarczej w kraju, obliczanym i publikowanym miesięcznie od początku 2003 r. Powstaje na podstawie prognoz czołówki ekonomistów polskich oceniających koniunkturę na bieżący kwartał, półrocze i cały rok. Liczony jest w skali 100-punktowej, w której 50 odpowiada prognozie wzrostu gospodarczego w granicach 4 % PKB rocznie. </w:t>
      </w:r>
    </w:p>
    <w:p w:rsidR="006A25D9" w:rsidRDefault="006A25D9" w:rsidP="006A25D9">
      <w:pPr>
        <w:pStyle w:val="Tekstpodstawowy"/>
        <w:spacing w:before="220"/>
        <w:jc w:val="center"/>
        <w:rPr>
          <w:b/>
          <w:bCs/>
        </w:rPr>
      </w:pPr>
      <w:r>
        <w:rPr>
          <w:b/>
          <w:bCs/>
        </w:rPr>
        <w:t>Indeks kwartalny, półroczny i roczny</w:t>
      </w:r>
    </w:p>
    <w:p w:rsidR="006A25D9" w:rsidRDefault="006A25D9" w:rsidP="006A25D9">
      <w:pPr>
        <w:pStyle w:val="Tekstpodstawowy"/>
        <w:spacing w:before="220"/>
        <w:jc w:val="both"/>
      </w:pPr>
      <w:r>
        <w:t xml:space="preserve">Indeks Biznesu Lewiatan w grudniu w notowaniu rocznym pozostał na poziomie 33 </w:t>
      </w:r>
      <w:proofErr w:type="spellStart"/>
      <w:r>
        <w:t>pkt</w:t>
      </w:r>
      <w:proofErr w:type="spellEnd"/>
      <w:r>
        <w:t>, na którym znajduje się już od dwóch miesięcy, a w notowaniu kwartalnym odnotował jednopunktową korektę w dół do 34 pkt. Indeks półroczny pozostał na poziomie 35 pkt., co sugeruje, że tempo ożywienia w drugiej połowie ub. roku było mniej więcej wyrównane. Poprawa koniunktury w drugiej połowie roku w porównaniu do pierwszej nabrała cech trwałej tendencji. Dobre wyniki gospodarki w trzecim kwartale z pewnością zostały utrzymane w ostatnim kwartale roku. Szczególnie ważne wydaje się ożywienie popytu krajowego, bo gospodarka nie jedzie już tylko na jednym silniku, eksporcie, ale wyraźnie ożywieniu uległ popyt krajowy. Wyniki dwóch miesięcy czwartego kwartału napawają optymizmem; rośnie produkcja sprzedana przemysłu, a zwłaszcza sprzedaż detaliczna. Jest to skutkiem utrzymującej się dodatniej dynamiki płac realnych przy niskiej inflacji, a w ostatnim miesiącu także wzrostu zatrudnienia, odnotowanego w listopadzie po raz pierwszy od ponad roku.  Mimo lekkiego wzrostu bezrobocia o charakterze sezonowym rośnie zaufanie konsumentów, a dobre wyniki finansowe przedsiębiorstw, zwłaszcza eksporterów, powinny pobudzić do podejmowania inwestycji. Niska inflacja i nadwyżka w handlu zagranicznym wzmacniają stabilność równowagi makroekonomicznej, tak wewnętrznej jak i zewnętrznej, a ożywienie gospodarcze w drugiej połowie roku wyraźnie pomaga w ograniczeniu deficytu budżetowego poniżej poziomu planowanego wykonania.</w:t>
      </w:r>
    </w:p>
    <w:p w:rsidR="00307FC3" w:rsidRDefault="00307FC3" w:rsidP="006A25D9">
      <w:pPr>
        <w:pStyle w:val="Tekstpodstawowy"/>
        <w:tabs>
          <w:tab w:val="left" w:pos="2160"/>
        </w:tabs>
        <w:spacing w:before="220"/>
        <w:jc w:val="both"/>
        <w:rPr>
          <w:b/>
          <w:bCs/>
        </w:rPr>
      </w:pPr>
    </w:p>
    <w:p w:rsidR="00307FC3" w:rsidRDefault="00307FC3" w:rsidP="006A25D9">
      <w:pPr>
        <w:pStyle w:val="Tekstpodstawowy"/>
        <w:tabs>
          <w:tab w:val="left" w:pos="2160"/>
        </w:tabs>
        <w:spacing w:before="220"/>
        <w:jc w:val="both"/>
        <w:rPr>
          <w:b/>
          <w:bCs/>
        </w:rPr>
      </w:pPr>
    </w:p>
    <w:p w:rsidR="00307FC3" w:rsidRDefault="00307FC3" w:rsidP="006A25D9">
      <w:pPr>
        <w:pStyle w:val="Tekstpodstawowy"/>
        <w:tabs>
          <w:tab w:val="left" w:pos="2160"/>
        </w:tabs>
        <w:spacing w:before="220"/>
        <w:jc w:val="both"/>
        <w:rPr>
          <w:b/>
          <w:bCs/>
        </w:rPr>
      </w:pPr>
    </w:p>
    <w:p w:rsidR="00307FC3" w:rsidRDefault="00307FC3" w:rsidP="006A25D9">
      <w:pPr>
        <w:pStyle w:val="Tekstpodstawowy"/>
        <w:tabs>
          <w:tab w:val="left" w:pos="2160"/>
        </w:tabs>
        <w:spacing w:before="220"/>
        <w:jc w:val="both"/>
        <w:rPr>
          <w:b/>
          <w:bCs/>
        </w:rPr>
      </w:pPr>
    </w:p>
    <w:p w:rsidR="00307FC3" w:rsidRDefault="00307FC3" w:rsidP="006A25D9">
      <w:pPr>
        <w:pStyle w:val="Tekstpodstawowy"/>
        <w:tabs>
          <w:tab w:val="left" w:pos="2160"/>
        </w:tabs>
        <w:spacing w:before="220"/>
        <w:jc w:val="both"/>
        <w:rPr>
          <w:b/>
          <w:bCs/>
        </w:rPr>
      </w:pPr>
    </w:p>
    <w:p w:rsidR="00307FC3" w:rsidRDefault="00307FC3" w:rsidP="006A25D9">
      <w:pPr>
        <w:pStyle w:val="Tekstpodstawowy"/>
        <w:tabs>
          <w:tab w:val="left" w:pos="2160"/>
        </w:tabs>
        <w:spacing w:before="220"/>
        <w:jc w:val="both"/>
        <w:rPr>
          <w:b/>
          <w:bCs/>
        </w:rPr>
      </w:pPr>
    </w:p>
    <w:p w:rsidR="006A25D9" w:rsidRDefault="006A25D9" w:rsidP="006A25D9">
      <w:pPr>
        <w:pStyle w:val="Tekstpodstawowy"/>
        <w:tabs>
          <w:tab w:val="left" w:pos="2160"/>
        </w:tabs>
        <w:spacing w:before="220"/>
        <w:jc w:val="both"/>
        <w:rPr>
          <w:b/>
          <w:bCs/>
        </w:rPr>
      </w:pPr>
      <w:r>
        <w:rPr>
          <w:b/>
          <w:bCs/>
          <w:noProof/>
          <w:sz w:val="20"/>
        </w:rPr>
        <w:drawing>
          <wp:anchor distT="0" distB="0" distL="114300" distR="114300" simplePos="0" relativeHeight="251661312" behindDoc="0" locked="0" layoutInCell="1" allowOverlap="1">
            <wp:simplePos x="0" y="0"/>
            <wp:positionH relativeFrom="column">
              <wp:posOffset>1943100</wp:posOffset>
            </wp:positionH>
            <wp:positionV relativeFrom="paragraph">
              <wp:posOffset>135890</wp:posOffset>
            </wp:positionV>
            <wp:extent cx="3547745" cy="42291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3547745" cy="4229100"/>
                    </a:xfrm>
                    <a:prstGeom prst="rect">
                      <a:avLst/>
                    </a:prstGeom>
                    <a:noFill/>
                  </pic:spPr>
                </pic:pic>
              </a:graphicData>
            </a:graphic>
          </wp:anchor>
        </w:drawing>
      </w:r>
      <w:r>
        <w:rPr>
          <w:b/>
          <w:bCs/>
        </w:rPr>
        <w:t>Grudzień 2013</w:t>
      </w: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r>
        <w:rPr>
          <w:b/>
          <w:bCs/>
          <w:noProof/>
          <w:sz w:val="20"/>
        </w:rPr>
        <w:drawing>
          <wp:anchor distT="0" distB="0" distL="114300" distR="114300" simplePos="0" relativeHeight="251662336" behindDoc="0" locked="0" layoutInCell="1" allowOverlap="1">
            <wp:simplePos x="0" y="0"/>
            <wp:positionH relativeFrom="column">
              <wp:posOffset>-457200</wp:posOffset>
            </wp:positionH>
            <wp:positionV relativeFrom="paragraph">
              <wp:posOffset>248920</wp:posOffset>
            </wp:positionV>
            <wp:extent cx="6743700" cy="41148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6743700" cy="4114800"/>
                    </a:xfrm>
                    <a:prstGeom prst="rect">
                      <a:avLst/>
                    </a:prstGeom>
                    <a:noFill/>
                  </pic:spPr>
                </pic:pic>
              </a:graphicData>
            </a:graphic>
          </wp:anchor>
        </w:drawing>
      </w: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rPr>
          <w:b/>
          <w:bCs/>
        </w:rPr>
      </w:pPr>
    </w:p>
    <w:p w:rsidR="006A25D9" w:rsidRDefault="006A25D9" w:rsidP="006A25D9">
      <w:pPr>
        <w:pStyle w:val="Tekstpodstawowy"/>
        <w:spacing w:before="220"/>
        <w:rPr>
          <w:b/>
          <w:bCs/>
        </w:rPr>
      </w:pPr>
    </w:p>
    <w:p w:rsidR="006A25D9" w:rsidRDefault="006A25D9" w:rsidP="006A25D9">
      <w:pPr>
        <w:pStyle w:val="Tekstpodstawowy"/>
        <w:spacing w:before="220"/>
        <w:rPr>
          <w:b/>
          <w:bCs/>
        </w:rPr>
      </w:pPr>
      <w:r>
        <w:rPr>
          <w:b/>
          <w:bCs/>
        </w:rPr>
        <w:t>Indeksy szczegółowe</w:t>
      </w:r>
    </w:p>
    <w:p w:rsidR="006A25D9" w:rsidRDefault="006A25D9" w:rsidP="006A25D9">
      <w:pPr>
        <w:pStyle w:val="Tekstpodstawowy"/>
        <w:spacing w:before="220"/>
        <w:jc w:val="both"/>
      </w:pPr>
      <w:r>
        <w:t>Przedstawiają wpływ poszczególnych czynników na oczekiwany poziom koniunktury. Dotyczą popytu globalnego, finansów, sytuacji makro-ekonomicznej i politycznej.</w:t>
      </w:r>
    </w:p>
    <w:p w:rsidR="006A25D9" w:rsidRDefault="006A25D9" w:rsidP="006A25D9">
      <w:pPr>
        <w:pStyle w:val="Tekstpodstawowy"/>
        <w:spacing w:before="220"/>
        <w:jc w:val="both"/>
      </w:pPr>
      <w:r>
        <w:rPr>
          <w:b/>
          <w:bCs/>
        </w:rPr>
        <w:t xml:space="preserve">Indeks popytu globalnego (ocenia konsumpcję krajową, eksport, inwestycje krajowe i zagraniczne). </w:t>
      </w:r>
    </w:p>
    <w:p w:rsidR="006A25D9" w:rsidRDefault="006A25D9" w:rsidP="006A25D9">
      <w:pPr>
        <w:pStyle w:val="Tekstpodstawowy"/>
        <w:spacing w:before="220"/>
        <w:jc w:val="both"/>
      </w:pPr>
      <w:r>
        <w:t>Indeks popytu w perspektywie kwartalnej uległ dwupunktowej korekcie do 24 pkt., ale w perspektywie rocznej wzrósł o kolejny punkt do 14 pkt. Wynika to stąd, że ożywienie popytu krajowego nastąpiło dopiero w drugim półroczu po prawie półrocznym wcześniejszym trendzie spadkowym. Do solidnego wzrostu eksportu dołączył teraz popyt krajowy. Ożywienie widać nie tylko w zakresie konsumpcji indywidualnej, ale nawet w wydatkach inwestycyjnych. W związku z rosnącym portfelem zamówień przedsiębiorstwa odbudowują zapasy, a dobre perspektywy eksportu skłaniają do inwestowania. Tendencja wzrostowa konsumpcji powinna się utrzymać dzięki stałym i stabilnym przyrostom funduszu płac, przy regularnym wzroście wynagrodzeń i spadającej inflacji. A przełamanie trwającego od roku spadkowego trendu zatrudnienia powinno wzmocnić zaufanie konsumentów; widać to już w ożywieniu kredytu konsumpcyjnego, po prawie rocznej stagnacji. Wyniki dwóch miesięcy ostatniego kwartału potwierdzają utrzymujące się tempo wzrostu produkcji sprzedanej przemysłu i sprzedaży detalicznej. Gospodarkę ciągną już dwa silniki, eksport netto i popyt krajowy.</w:t>
      </w:r>
    </w:p>
    <w:p w:rsidR="006A25D9" w:rsidRDefault="006A25D9" w:rsidP="006A25D9">
      <w:pPr>
        <w:pStyle w:val="Tekstpodstawowy"/>
        <w:spacing w:before="220"/>
        <w:jc w:val="both"/>
        <w:rPr>
          <w:b/>
          <w:bCs/>
        </w:rPr>
      </w:pPr>
      <w:r>
        <w:rPr>
          <w:b/>
          <w:bCs/>
        </w:rPr>
        <w:t xml:space="preserve">Indeks finansów (ocenia rentowność i płynność finansową przedsiębiorstw, zmiany realnej podaży kredytu oraz stopy procentowej). </w:t>
      </w:r>
    </w:p>
    <w:p w:rsidR="006A25D9" w:rsidRDefault="006A25D9" w:rsidP="006A25D9">
      <w:pPr>
        <w:pStyle w:val="Tekstpodstawowy"/>
        <w:spacing w:before="220"/>
        <w:jc w:val="both"/>
      </w:pPr>
      <w:r>
        <w:t xml:space="preserve">Indeksy finansów od wielu miesięcy pozostają w zasadzie stabilne; w ostatnim notowaniu uległy jednopunktowej poprawie, indeks kwartalny do 47 </w:t>
      </w:r>
      <w:proofErr w:type="spellStart"/>
      <w:r>
        <w:t>pkt</w:t>
      </w:r>
      <w:proofErr w:type="spellEnd"/>
      <w:r>
        <w:t>, a indeks roczny do 45 pkt. Wskaźniki rentowności i płynności przedsiębiorstw pozostają na wysokim poziomie, a wynik finansowy jest wyższy niż rok temu. Sytuacja finansowa przedsiębiorstw jest stabilna, a ich depozyty bankowe rosną z miesiąca na miesiąc. Przy trwałej poprawie koniunktury możemy oczekiwać ożywienia inwestycji. Sprzyjają temu niskie stopy procentowe i perspektywa ich stabilnego poziomu w najbliższym okresie. Na razie jednak inwestycje finansowane są raczej ze środków własnych, bo nie widać trwałego wzrostu kredytu korporacyjnego. Systematycznie rośnie natomiast kredyt hipoteczny i konsumpcyjny, co pozwoliło bankom po trzech kwartałach osiągnąć zysk netto niewiele gorszy od roku ubiegłego.</w:t>
      </w:r>
    </w:p>
    <w:p w:rsidR="006A25D9" w:rsidRDefault="006A25D9" w:rsidP="006A25D9">
      <w:pPr>
        <w:pStyle w:val="Tekstpodstawowy"/>
        <w:spacing w:before="220"/>
        <w:jc w:val="both"/>
        <w:rPr>
          <w:b/>
          <w:bCs/>
        </w:rPr>
      </w:pPr>
      <w:r>
        <w:rPr>
          <w:b/>
          <w:bCs/>
        </w:rPr>
        <w:t>Indeks makroekonomiczny (obejmuje inflację, deficyt finansów publicznych, stopę bezrobocia, oraz stopień konkurencyjności gospodarki).</w:t>
      </w:r>
    </w:p>
    <w:p w:rsidR="006A25D9" w:rsidRDefault="006A25D9" w:rsidP="006A25D9">
      <w:pPr>
        <w:pStyle w:val="Nagwek3"/>
        <w:jc w:val="both"/>
        <w:rPr>
          <w:b w:val="0"/>
          <w:bCs w:val="0"/>
          <w:sz w:val="22"/>
        </w:rPr>
      </w:pPr>
      <w:r>
        <w:rPr>
          <w:b w:val="0"/>
          <w:bCs w:val="0"/>
          <w:sz w:val="22"/>
        </w:rPr>
        <w:t xml:space="preserve">Indeksy makroekonomiczne straciły po trzy punkty: kwartalny spadł do 43 pkt., a indeks roczny do 42 pkt. Niskie notowania indeksu, poniżej połowy skali, wynikają z ciągle wysokiego deficytu budżetowego i rosnącego długu publicznego, jednak mimo nowelizacji budżetu i zawieszenia progu </w:t>
      </w:r>
      <w:proofErr w:type="spellStart"/>
      <w:r>
        <w:rPr>
          <w:b w:val="0"/>
          <w:bCs w:val="0"/>
          <w:sz w:val="22"/>
        </w:rPr>
        <w:t>ostrożnościowego</w:t>
      </w:r>
      <w:proofErr w:type="spellEnd"/>
      <w:r>
        <w:rPr>
          <w:b w:val="0"/>
          <w:bCs w:val="0"/>
          <w:sz w:val="22"/>
        </w:rPr>
        <w:t xml:space="preserve"> nie mamy ich istotnych spadków, czyli nie wydają się one istotnie zagrażać stabilności makroekonomicznej gospodarki. Również wprowadzana reforma OFE daje możliwość pewnego poluzowania gorsetu fiskalnego. Indeks obciąża jednak ciągle wysokie bezrobocie z niewielką szansą na szybką poprawę, chociaż wydaje się, że wraz z ożywieniem koniunktury dalszy wzrost bezrobocia ulegnie zahamowaniu. Wiarygodność makroekonomiczną podnosi natomiast niska inflacja oraz nadwyżka w obrotach  towarowych z zagranicą. </w:t>
      </w:r>
    </w:p>
    <w:p w:rsidR="006A25D9" w:rsidRDefault="006A25D9" w:rsidP="006A25D9">
      <w:pPr>
        <w:pStyle w:val="Tekstpodstawowy"/>
        <w:spacing w:before="220"/>
        <w:jc w:val="both"/>
        <w:rPr>
          <w:b/>
          <w:bCs/>
        </w:rPr>
      </w:pPr>
      <w:r>
        <w:rPr>
          <w:b/>
          <w:bCs/>
        </w:rPr>
        <w:t>Indeks polityczny (ocenia wpływ czynników politycznych).</w:t>
      </w:r>
    </w:p>
    <w:p w:rsidR="006A25D9" w:rsidRDefault="006A25D9" w:rsidP="006A25D9">
      <w:pPr>
        <w:pStyle w:val="Tekstpodstawowy"/>
        <w:spacing w:before="220"/>
        <w:jc w:val="both"/>
      </w:pPr>
      <w:r>
        <w:lastRenderedPageBreak/>
        <w:t xml:space="preserve">Indeks kwartalny wpływu czynników politycznych spadł o kolejny punkt do 25 pkt., ale indeks roczny poprawił się o trzy punkty do 27 pkt. Oba indeksy po silnych spadkach od kilku miesięcy pozostają w paśmie minimalnych dotąd notowań.   </w:t>
      </w:r>
    </w:p>
    <w:p w:rsidR="006A25D9" w:rsidRDefault="006A25D9" w:rsidP="006A25D9">
      <w:pPr>
        <w:pStyle w:val="Tekstpodstawowy"/>
        <w:spacing w:before="220"/>
        <w:jc w:val="both"/>
      </w:pPr>
    </w:p>
    <w:p w:rsidR="006A25D9" w:rsidRDefault="006A25D9" w:rsidP="006A25D9">
      <w:pPr>
        <w:pStyle w:val="Tekstpodstawowy"/>
        <w:spacing w:before="220"/>
        <w:jc w:val="both"/>
      </w:pPr>
      <w:r>
        <w:rPr>
          <w:noProof/>
          <w:sz w:val="20"/>
        </w:rPr>
        <w:drawing>
          <wp:anchor distT="0" distB="0" distL="114300" distR="114300" simplePos="0" relativeHeight="251664384" behindDoc="0" locked="0" layoutInCell="1" allowOverlap="1">
            <wp:simplePos x="0" y="0"/>
            <wp:positionH relativeFrom="column">
              <wp:posOffset>-457200</wp:posOffset>
            </wp:positionH>
            <wp:positionV relativeFrom="paragraph">
              <wp:posOffset>-457200</wp:posOffset>
            </wp:positionV>
            <wp:extent cx="6400800" cy="467233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6400800" cy="4672330"/>
                    </a:xfrm>
                    <a:prstGeom prst="rect">
                      <a:avLst/>
                    </a:prstGeom>
                    <a:noFill/>
                  </pic:spPr>
                </pic:pic>
              </a:graphicData>
            </a:graphic>
          </wp:anchor>
        </w:drawing>
      </w:r>
    </w:p>
    <w:p w:rsidR="006A25D9" w:rsidRDefault="006A25D9" w:rsidP="006A25D9">
      <w:pPr>
        <w:pStyle w:val="Tekstpodstawowy"/>
        <w:spacing w:before="220"/>
        <w:jc w:val="both"/>
      </w:pPr>
    </w:p>
    <w:p w:rsidR="006A25D9" w:rsidRDefault="006A25D9" w:rsidP="006A25D9">
      <w:pPr>
        <w:pStyle w:val="Tekstpodstawowy"/>
        <w:spacing w:before="220"/>
        <w:jc w:val="both"/>
      </w:pPr>
    </w:p>
    <w:p w:rsidR="006A25D9" w:rsidRDefault="006A25D9" w:rsidP="006A25D9">
      <w:pPr>
        <w:pStyle w:val="Tekstpodstawowy"/>
        <w:spacing w:before="220"/>
        <w:jc w:val="both"/>
      </w:pPr>
    </w:p>
    <w:p w:rsidR="006A25D9" w:rsidRDefault="006A25D9" w:rsidP="006A25D9">
      <w:pPr>
        <w:pStyle w:val="Tekstpodstawowy"/>
        <w:spacing w:before="220"/>
        <w:jc w:val="both"/>
      </w:pPr>
    </w:p>
    <w:p w:rsidR="006A25D9" w:rsidRDefault="006A25D9" w:rsidP="006A25D9">
      <w:pPr>
        <w:pStyle w:val="Tekstpodstawowy"/>
        <w:spacing w:before="220"/>
        <w:jc w:val="both"/>
      </w:pPr>
    </w:p>
    <w:p w:rsidR="006A25D9" w:rsidRDefault="006A25D9" w:rsidP="006A25D9">
      <w:pPr>
        <w:pStyle w:val="Tekstpodstawowy"/>
        <w:spacing w:before="220"/>
        <w:jc w:val="both"/>
      </w:pPr>
      <w:r>
        <w:t xml:space="preserve"> </w:t>
      </w:r>
    </w:p>
    <w:p w:rsidR="006A25D9" w:rsidRDefault="006A25D9" w:rsidP="006A25D9">
      <w:pPr>
        <w:pStyle w:val="Tekstpodstawowy"/>
        <w:spacing w:before="220"/>
        <w:jc w:val="both"/>
      </w:pPr>
    </w:p>
    <w:p w:rsidR="006A25D9" w:rsidRDefault="006A25D9" w:rsidP="006A25D9">
      <w:pPr>
        <w:pStyle w:val="Tekstpodstawowy"/>
        <w:spacing w:before="220"/>
        <w:jc w:val="both"/>
      </w:pPr>
    </w:p>
    <w:p w:rsidR="006A25D9" w:rsidRDefault="006A25D9" w:rsidP="006A25D9">
      <w:pPr>
        <w:pStyle w:val="Tekstpodstawowy"/>
        <w:spacing w:before="220"/>
        <w:jc w:val="both"/>
      </w:pPr>
    </w:p>
    <w:p w:rsidR="006A25D9" w:rsidRDefault="006A25D9" w:rsidP="006A25D9">
      <w:pPr>
        <w:pStyle w:val="Tekstpodstawowy"/>
        <w:spacing w:before="220"/>
        <w:jc w:val="both"/>
      </w:pPr>
    </w:p>
    <w:p w:rsidR="006A25D9" w:rsidRDefault="006A25D9" w:rsidP="006A25D9">
      <w:pPr>
        <w:pStyle w:val="Tekstpodstawowy"/>
        <w:spacing w:before="220"/>
        <w:jc w:val="both"/>
      </w:pPr>
    </w:p>
    <w:p w:rsidR="006A25D9" w:rsidRDefault="006A25D9" w:rsidP="006A25D9">
      <w:pPr>
        <w:pStyle w:val="Tekstpodstawowy"/>
        <w:spacing w:before="220"/>
        <w:jc w:val="both"/>
      </w:pPr>
    </w:p>
    <w:p w:rsidR="006A25D9" w:rsidRDefault="006A25D9" w:rsidP="006A25D9">
      <w:pPr>
        <w:pStyle w:val="Tekstpodstawowy"/>
        <w:spacing w:before="220"/>
        <w:jc w:val="both"/>
      </w:pPr>
    </w:p>
    <w:p w:rsidR="006A25D9" w:rsidRDefault="006A25D9" w:rsidP="006A25D9">
      <w:pPr>
        <w:pStyle w:val="Tekstpodstawowy"/>
        <w:spacing w:before="220"/>
        <w:jc w:val="both"/>
      </w:pPr>
    </w:p>
    <w:p w:rsidR="006A25D9" w:rsidRDefault="006A25D9" w:rsidP="006A25D9">
      <w:pPr>
        <w:pStyle w:val="Tekstpodstawowy"/>
        <w:spacing w:before="220"/>
        <w:jc w:val="both"/>
      </w:pPr>
      <w:r>
        <w:rPr>
          <w:noProof/>
          <w:sz w:val="20"/>
        </w:rPr>
        <w:drawing>
          <wp:anchor distT="0" distB="0" distL="114300" distR="114300" simplePos="0" relativeHeight="251665408" behindDoc="0" locked="0" layoutInCell="1" allowOverlap="1">
            <wp:simplePos x="0" y="0"/>
            <wp:positionH relativeFrom="column">
              <wp:posOffset>-457200</wp:posOffset>
            </wp:positionH>
            <wp:positionV relativeFrom="paragraph">
              <wp:posOffset>20320</wp:posOffset>
            </wp:positionV>
            <wp:extent cx="6400800" cy="44577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6400800" cy="4457700"/>
                    </a:xfrm>
                    <a:prstGeom prst="rect">
                      <a:avLst/>
                    </a:prstGeom>
                    <a:noFill/>
                  </pic:spPr>
                </pic:pic>
              </a:graphicData>
            </a:graphic>
          </wp:anchor>
        </w:drawing>
      </w:r>
    </w:p>
    <w:p w:rsidR="006A25D9" w:rsidRDefault="006A25D9" w:rsidP="006A25D9">
      <w:pPr>
        <w:pStyle w:val="Tekstpodstawowy"/>
        <w:spacing w:before="220"/>
        <w:jc w:val="both"/>
      </w:pPr>
    </w:p>
    <w:p w:rsidR="006A25D9" w:rsidRDefault="006A25D9" w:rsidP="006A25D9">
      <w:pPr>
        <w:pStyle w:val="Tekstpodstawowy"/>
        <w:spacing w:before="220"/>
        <w:jc w:val="both"/>
      </w:pPr>
    </w:p>
    <w:p w:rsidR="006A25D9" w:rsidRDefault="006A25D9" w:rsidP="006A25D9">
      <w:pPr>
        <w:pStyle w:val="Tekstpodstawowy"/>
        <w:spacing w:before="220"/>
        <w:jc w:val="both"/>
      </w:pPr>
    </w:p>
    <w:p w:rsidR="006A25D9" w:rsidRDefault="006A25D9" w:rsidP="006A25D9">
      <w:pPr>
        <w:pStyle w:val="Tekstpodstawowy"/>
        <w:spacing w:before="220"/>
        <w:jc w:val="both"/>
      </w:pPr>
    </w:p>
    <w:p w:rsidR="006A25D9" w:rsidRDefault="006A25D9" w:rsidP="006A25D9">
      <w:pPr>
        <w:pStyle w:val="Tekstpodstawowy"/>
        <w:spacing w:before="220"/>
        <w:jc w:val="both"/>
      </w:pPr>
    </w:p>
    <w:p w:rsidR="006A25D9" w:rsidRDefault="006A25D9" w:rsidP="006A25D9">
      <w:pPr>
        <w:pStyle w:val="Tekstpodstawowy"/>
        <w:spacing w:before="220"/>
        <w:jc w:val="both"/>
      </w:pPr>
    </w:p>
    <w:p w:rsidR="006A25D9" w:rsidRDefault="006A25D9" w:rsidP="006A25D9">
      <w:pPr>
        <w:pStyle w:val="Tekstpodstawowy"/>
        <w:spacing w:before="220"/>
        <w:jc w:val="both"/>
      </w:pPr>
    </w:p>
    <w:p w:rsidR="006A25D9" w:rsidRDefault="006A25D9" w:rsidP="006A25D9">
      <w:pPr>
        <w:pStyle w:val="Tekstpodstawowy"/>
        <w:spacing w:before="220"/>
        <w:jc w:val="both"/>
      </w:pPr>
    </w:p>
    <w:p w:rsidR="006A25D9" w:rsidRDefault="006A25D9" w:rsidP="006A25D9">
      <w:pPr>
        <w:pStyle w:val="Tekstpodstawowy"/>
        <w:spacing w:before="220"/>
        <w:jc w:val="both"/>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r>
        <w:rPr>
          <w:b/>
          <w:bCs/>
          <w:noProof/>
          <w:sz w:val="20"/>
        </w:rPr>
        <w:drawing>
          <wp:anchor distT="0" distB="0" distL="114300" distR="114300" simplePos="0" relativeHeight="251660288" behindDoc="0" locked="0" layoutInCell="1" allowOverlap="1">
            <wp:simplePos x="0" y="0"/>
            <wp:positionH relativeFrom="column">
              <wp:posOffset>1714500</wp:posOffset>
            </wp:positionH>
            <wp:positionV relativeFrom="paragraph">
              <wp:posOffset>-342900</wp:posOffset>
            </wp:positionV>
            <wp:extent cx="3886200" cy="45720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886200" cy="4572000"/>
                    </a:xfrm>
                    <a:prstGeom prst="rect">
                      <a:avLst/>
                    </a:prstGeom>
                    <a:noFill/>
                  </pic:spPr>
                </pic:pic>
              </a:graphicData>
            </a:graphic>
          </wp:anchor>
        </w:drawing>
      </w:r>
      <w:r>
        <w:rPr>
          <w:b/>
          <w:bCs/>
        </w:rPr>
        <w:t>Listopad 2013 r.</w:t>
      </w: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r>
        <w:rPr>
          <w:b/>
          <w:bCs/>
          <w:noProof/>
          <w:sz w:val="20"/>
        </w:rPr>
        <w:drawing>
          <wp:anchor distT="0" distB="0" distL="114300" distR="114300" simplePos="0" relativeHeight="251663360" behindDoc="0" locked="0" layoutInCell="1" allowOverlap="1">
            <wp:simplePos x="0" y="0"/>
            <wp:positionH relativeFrom="column">
              <wp:posOffset>1714500</wp:posOffset>
            </wp:positionH>
            <wp:positionV relativeFrom="paragraph">
              <wp:posOffset>92075</wp:posOffset>
            </wp:positionV>
            <wp:extent cx="3886200" cy="446849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886200" cy="4468495"/>
                    </a:xfrm>
                    <a:prstGeom prst="rect">
                      <a:avLst/>
                    </a:prstGeom>
                    <a:noFill/>
                  </pic:spPr>
                </pic:pic>
              </a:graphicData>
            </a:graphic>
          </wp:anchor>
        </w:drawing>
      </w:r>
    </w:p>
    <w:p w:rsidR="006A25D9" w:rsidRDefault="006A25D9" w:rsidP="006A25D9">
      <w:pPr>
        <w:pStyle w:val="Tekstpodstawowy"/>
        <w:tabs>
          <w:tab w:val="left" w:pos="4320"/>
          <w:tab w:val="left" w:pos="8640"/>
        </w:tabs>
        <w:spacing w:before="220"/>
        <w:jc w:val="both"/>
        <w:rPr>
          <w:b/>
          <w:bCs/>
        </w:rPr>
      </w:pPr>
      <w:r>
        <w:rPr>
          <w:b/>
          <w:bCs/>
        </w:rPr>
        <w:t>Grudzień 2013 r.</w:t>
      </w: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rPr>
          <w:b/>
          <w:bCs/>
        </w:rPr>
      </w:pPr>
    </w:p>
    <w:p w:rsidR="006A25D9" w:rsidRDefault="006A25D9" w:rsidP="006A25D9">
      <w:pPr>
        <w:pStyle w:val="Tekstpodstawowy"/>
        <w:tabs>
          <w:tab w:val="left" w:pos="4320"/>
          <w:tab w:val="left" w:pos="8640"/>
        </w:tabs>
        <w:spacing w:before="220"/>
        <w:jc w:val="both"/>
      </w:pPr>
      <w:r>
        <w:t>EKSPERCI, których prognoz</w:t>
      </w:r>
      <w:r w:rsidR="00721A6E">
        <w:t>y uwzględnia Indeks Konfederacji Lewiatan</w:t>
      </w:r>
      <w:r>
        <w:t xml:space="preserve">: Tadeusz </w:t>
      </w:r>
      <w:proofErr w:type="spellStart"/>
      <w:r>
        <w:t>Chrościcki</w:t>
      </w:r>
      <w:proofErr w:type="spellEnd"/>
      <w:r>
        <w:t xml:space="preserve">, Maja </w:t>
      </w:r>
      <w:proofErr w:type="spellStart"/>
      <w:r>
        <w:t>Goettig</w:t>
      </w:r>
      <w:proofErr w:type="spellEnd"/>
      <w:r>
        <w:t xml:space="preserve">, Ryszard </w:t>
      </w:r>
      <w:proofErr w:type="spellStart"/>
      <w:r>
        <w:t>Kokoszczyński</w:t>
      </w:r>
      <w:proofErr w:type="spellEnd"/>
      <w:r>
        <w:t xml:space="preserve">, Maciej Krzak, Stanisław </w:t>
      </w:r>
      <w:proofErr w:type="spellStart"/>
      <w:r>
        <w:t>Kubielas</w:t>
      </w:r>
      <w:proofErr w:type="spellEnd"/>
      <w:r>
        <w:t xml:space="preserve">, Małgorzata Starczewska-Krzysztoszek, Bohdan </w:t>
      </w:r>
      <w:proofErr w:type="spellStart"/>
      <w:r>
        <w:t>Wyżnikiewicz</w:t>
      </w:r>
      <w:proofErr w:type="spellEnd"/>
      <w:r>
        <w:t>.</w:t>
      </w:r>
    </w:p>
    <w:p w:rsidR="006A25D9" w:rsidRDefault="006A25D9" w:rsidP="006A25D9">
      <w:pPr>
        <w:pStyle w:val="Nagwek1"/>
        <w:spacing w:before="120"/>
        <w:jc w:val="left"/>
        <w:rPr>
          <w:rFonts w:ascii="Arial" w:hAnsi="Arial" w:cs="Arial"/>
          <w:sz w:val="22"/>
        </w:rPr>
      </w:pPr>
      <w:r>
        <w:rPr>
          <w:rFonts w:ascii="Arial" w:hAnsi="Arial" w:cs="Arial"/>
          <w:sz w:val="22"/>
        </w:rPr>
        <w:t>Konfederacja Lewiatan</w:t>
      </w:r>
    </w:p>
    <w:p w:rsidR="006A25D9" w:rsidRDefault="006A25D9" w:rsidP="006A25D9">
      <w:pPr>
        <w:spacing w:before="120"/>
        <w:jc w:val="both"/>
        <w:rPr>
          <w:sz w:val="22"/>
          <w:szCs w:val="28"/>
        </w:rPr>
      </w:pPr>
    </w:p>
    <w:p w:rsidR="006A25D9" w:rsidRDefault="006A25D9" w:rsidP="006A25D9">
      <w:pPr>
        <w:spacing w:before="120"/>
        <w:jc w:val="both"/>
        <w:rPr>
          <w:sz w:val="22"/>
          <w:szCs w:val="28"/>
        </w:rPr>
      </w:pPr>
    </w:p>
    <w:p w:rsidR="00BC1124" w:rsidRDefault="00BC1124"/>
    <w:sectPr w:rsidR="00BC1124" w:rsidSect="00BC11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compat/>
  <w:rsids>
    <w:rsidRoot w:val="006A25D9"/>
    <w:rsid w:val="00307FC3"/>
    <w:rsid w:val="00561A6B"/>
    <w:rsid w:val="006A25D9"/>
    <w:rsid w:val="00721A6E"/>
    <w:rsid w:val="00BC1124"/>
    <w:rsid w:val="00DF55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25D9"/>
    <w:pPr>
      <w:spacing w:after="0" w:line="240" w:lineRule="auto"/>
    </w:pPr>
    <w:rPr>
      <w:rFonts w:ascii="Arial" w:eastAsia="Times New Roman" w:hAnsi="Arial" w:cs="Arial"/>
      <w:color w:val="000000"/>
      <w:sz w:val="24"/>
      <w:szCs w:val="24"/>
      <w:lang w:eastAsia="pl-PL"/>
    </w:rPr>
  </w:style>
  <w:style w:type="paragraph" w:styleId="Nagwek1">
    <w:name w:val="heading 1"/>
    <w:basedOn w:val="Normalny"/>
    <w:next w:val="Normalny"/>
    <w:link w:val="Nagwek1Znak"/>
    <w:qFormat/>
    <w:rsid w:val="006A25D9"/>
    <w:pPr>
      <w:keepNext/>
      <w:jc w:val="center"/>
      <w:outlineLvl w:val="0"/>
    </w:pPr>
    <w:rPr>
      <w:rFonts w:ascii="Garamond" w:hAnsi="Garamond" w:cs="Times New Roman"/>
      <w:b/>
      <w:color w:val="auto"/>
      <w:sz w:val="28"/>
      <w:szCs w:val="20"/>
    </w:rPr>
  </w:style>
  <w:style w:type="paragraph" w:styleId="Nagwek3">
    <w:name w:val="heading 3"/>
    <w:basedOn w:val="Normalny"/>
    <w:next w:val="Normalny"/>
    <w:link w:val="Nagwek3Znak"/>
    <w:qFormat/>
    <w:rsid w:val="006A25D9"/>
    <w:pPr>
      <w:keepNext/>
      <w:spacing w:before="240" w:after="60"/>
      <w:outlineLvl w:val="2"/>
    </w:pPr>
    <w:rPr>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A25D9"/>
    <w:rPr>
      <w:rFonts w:ascii="Garamond" w:eastAsia="Times New Roman" w:hAnsi="Garamond" w:cs="Times New Roman"/>
      <w:b/>
      <w:sz w:val="28"/>
      <w:szCs w:val="20"/>
      <w:lang w:eastAsia="pl-PL"/>
    </w:rPr>
  </w:style>
  <w:style w:type="character" w:customStyle="1" w:styleId="Nagwek3Znak">
    <w:name w:val="Nagłówek 3 Znak"/>
    <w:basedOn w:val="Domylnaczcionkaakapitu"/>
    <w:link w:val="Nagwek3"/>
    <w:rsid w:val="006A25D9"/>
    <w:rPr>
      <w:rFonts w:ascii="Arial" w:eastAsia="Times New Roman" w:hAnsi="Arial" w:cs="Arial"/>
      <w:b/>
      <w:bCs/>
      <w:color w:val="000000"/>
      <w:sz w:val="26"/>
      <w:szCs w:val="26"/>
      <w:lang w:eastAsia="pl-PL"/>
    </w:rPr>
  </w:style>
  <w:style w:type="paragraph" w:styleId="Tekstpodstawowy">
    <w:name w:val="Body Text"/>
    <w:basedOn w:val="Normalny"/>
    <w:link w:val="TekstpodstawowyZnak"/>
    <w:semiHidden/>
    <w:rsid w:val="006A25D9"/>
    <w:rPr>
      <w:sz w:val="22"/>
    </w:rPr>
  </w:style>
  <w:style w:type="character" w:customStyle="1" w:styleId="TekstpodstawowyZnak">
    <w:name w:val="Tekst podstawowy Znak"/>
    <w:basedOn w:val="Domylnaczcionkaakapitu"/>
    <w:link w:val="Tekstpodstawowy"/>
    <w:semiHidden/>
    <w:rsid w:val="006A25D9"/>
    <w:rPr>
      <w:rFonts w:ascii="Arial" w:eastAsia="Times New Roman" w:hAnsi="Arial" w:cs="Arial"/>
      <w:color w:val="000000"/>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1002</Words>
  <Characters>6018</Characters>
  <Application>Microsoft Office Word</Application>
  <DocSecurity>0</DocSecurity>
  <Lines>50</Lines>
  <Paragraphs>14</Paragraphs>
  <ScaleCrop>false</ScaleCrop>
  <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zmaciag</dc:creator>
  <cp:lastModifiedBy>zmaciag</cp:lastModifiedBy>
  <cp:revision>2</cp:revision>
  <dcterms:created xsi:type="dcterms:W3CDTF">2014-01-07T13:48:00Z</dcterms:created>
  <dcterms:modified xsi:type="dcterms:W3CDTF">2014-01-07T13:48:00Z</dcterms:modified>
</cp:coreProperties>
</file>