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F3" w:rsidRPr="008729E4" w:rsidRDefault="00BD04F3" w:rsidP="00BD04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BARIERY W WYKORZYSTANIU</w:t>
      </w:r>
      <w:r w:rsidRPr="008729E4">
        <w:rPr>
          <w:rFonts w:ascii="Arial" w:hAnsi="Arial" w:cs="Arial"/>
          <w:b/>
          <w:sz w:val="20"/>
          <w:szCs w:val="20"/>
        </w:rPr>
        <w:t xml:space="preserve"> FUNDUSZY STRUKTURALNYCH</w:t>
      </w:r>
    </w:p>
    <w:p w:rsidR="00BD04F3" w:rsidRPr="008729E4" w:rsidRDefault="00BD04F3" w:rsidP="00BD04F3">
      <w:pPr>
        <w:spacing w:before="120"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16161" w:type="dxa"/>
        <w:tblInd w:w="-923" w:type="dxa"/>
        <w:tblCellMar>
          <w:left w:w="70" w:type="dxa"/>
          <w:right w:w="70" w:type="dxa"/>
        </w:tblCellMar>
        <w:tblLook w:val="0000"/>
      </w:tblPr>
      <w:tblGrid>
        <w:gridCol w:w="3403"/>
        <w:gridCol w:w="4111"/>
        <w:gridCol w:w="4819"/>
        <w:gridCol w:w="3828"/>
      </w:tblGrid>
      <w:tr w:rsidR="00BD04F3" w:rsidRPr="008729E4" w:rsidTr="0056387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b/>
                <w:sz w:val="20"/>
                <w:szCs w:val="20"/>
              </w:rPr>
              <w:t>Bariera – opis problemu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eastAsia="Arial Unicode MS" w:hAnsi="Arial" w:cs="Arial"/>
                <w:b/>
                <w:sz w:val="20"/>
                <w:szCs w:val="20"/>
                <w:lang w:eastAsia="ar-SA"/>
              </w:rPr>
            </w:pPr>
            <w:r w:rsidRPr="008729E4">
              <w:rPr>
                <w:rFonts w:ascii="Arial" w:eastAsia="Arial Unicode MS" w:hAnsi="Arial" w:cs="Arial"/>
                <w:b/>
                <w:sz w:val="20"/>
                <w:szCs w:val="20"/>
              </w:rPr>
              <w:t>Przyczyna prawna lub faktyczna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eastAsia="Arial Unicode MS" w:hAnsi="Arial" w:cs="Arial"/>
                <w:b/>
                <w:sz w:val="20"/>
                <w:szCs w:val="20"/>
                <w:lang w:eastAsia="ar-SA"/>
              </w:rPr>
            </w:pPr>
            <w:r w:rsidRPr="008729E4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Rekomendacja – </w:t>
            </w:r>
            <w:proofErr w:type="spellStart"/>
            <w:r w:rsidRPr="008729E4">
              <w:rPr>
                <w:rFonts w:ascii="Arial" w:eastAsia="Arial Unicode MS" w:hAnsi="Arial" w:cs="Arial"/>
                <w:b/>
                <w:sz w:val="20"/>
                <w:szCs w:val="20"/>
              </w:rPr>
              <w:t>co</w:t>
            </w:r>
            <w:proofErr w:type="spellEnd"/>
            <w:r w:rsidRPr="008729E4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należy zrobić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1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04F3" w:rsidRPr="008729E4" w:rsidRDefault="00BD04F3" w:rsidP="00250D28">
            <w:pPr>
              <w:suppressAutoHyphens/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b/>
                <w:sz w:val="20"/>
                <w:szCs w:val="20"/>
              </w:rPr>
              <w:t>FINANSOWANIE PROJEKTÓW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BD04F3" w:rsidRDefault="00BD04F3" w:rsidP="00BD04F3">
            <w:pPr>
              <w:suppressAutoHyphens/>
              <w:spacing w:before="120" w:after="120" w:line="264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D04F3">
              <w:rPr>
                <w:rFonts w:ascii="Arial" w:hAnsi="Arial" w:cs="Arial"/>
                <w:b/>
                <w:color w:val="FF0000"/>
                <w:sz w:val="20"/>
                <w:szCs w:val="20"/>
              </w:rPr>
              <w:t>UWAGI</w:t>
            </w: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ind w:left="11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  <w:r w:rsidRPr="008729E4">
              <w:rPr>
                <w:rFonts w:ascii="Arial" w:hAnsi="Arial" w:cs="Arial"/>
                <w:sz w:val="20"/>
                <w:szCs w:val="20"/>
              </w:rPr>
              <w:t>. Długi okres weryfikacji wniosków o płatność (wybrane RPO, PO IG).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ind w:left="11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Naliczanie od początku biegu terminów w przypadku ponownej oceny wniosku o płatność, po stwierdzeniu nieprawidłowości w pierwotnej wersji wniosku.  </w:t>
            </w:r>
          </w:p>
          <w:p w:rsidR="00BD04F3" w:rsidRPr="008729E4" w:rsidRDefault="00BD04F3" w:rsidP="00250D28">
            <w:pPr>
              <w:spacing w:line="264" w:lineRule="auto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Sformalizowany proces oceny wniosku: zgłaszanie uwag do wniosku o płatność w formie pisemnej, w ostatnim zgodnym z umową terminie.</w:t>
            </w:r>
          </w:p>
          <w:p w:rsidR="00BD04F3" w:rsidRPr="008729E4" w:rsidRDefault="00BD04F3" w:rsidP="00250D28">
            <w:pPr>
              <w:spacing w:line="264" w:lineRule="auto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Nadmierna restrykcyjność i uznaniowość oceny wniosków o płatność przedłużająca czas ich  weryfikacji: 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650"/>
              </w:tabs>
              <w:suppressAutoHyphens/>
              <w:spacing w:line="264" w:lineRule="auto"/>
              <w:ind w:left="65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rozbudowany obowiązek dokumentacyjny, także w przypadku drobnych kwot lub wydatków stałych;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650"/>
              </w:tabs>
              <w:suppressAutoHyphens/>
              <w:spacing w:line="264" w:lineRule="auto"/>
              <w:ind w:left="65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zwracanie wniosków do poprawy także w przypadku drobnych błędów, które osoba sprawdzająca wniosek ma prawo poprawić samodzielnie; 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650"/>
              </w:tabs>
              <w:suppressAutoHyphens/>
              <w:spacing w:line="264" w:lineRule="auto"/>
              <w:ind w:left="65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kwestionowanie wydatków bez wskazania merytorycznego uzasadnienia lub z uzasadnieniem wskazującym na uchybienia czysto biurokratyczne (np. takich, które w pełni realizują założony cel projektu, ale odbiegają od pierwotnych założeń, np. jeśli chodzi o szczegółowe parametry zakupionego </w:t>
            </w: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>sprzętu);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650"/>
              </w:tabs>
              <w:suppressAutoHyphens/>
              <w:spacing w:line="264" w:lineRule="auto"/>
              <w:ind w:left="65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brak jasnych wytycznych dotyczących przygotowywania rozliczeń, np. w postaci przewodników, FAQ (RPO/ PO IG).</w:t>
            </w:r>
          </w:p>
          <w:p w:rsidR="00BD04F3" w:rsidRPr="008729E4" w:rsidRDefault="00BD04F3" w:rsidP="00250D28">
            <w:pPr>
              <w:suppressAutoHyphens/>
              <w:spacing w:line="264" w:lineRule="auto"/>
              <w:ind w:left="11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>Przyjęcie zasady, iż pierwsza ocena wniosku o płatność trwa maksymalnie 21 dni kalendarzowych, a każda kolejna - w przypadku nanoszenia poprawek przez beneficjenta - dodatkowe 7 dni, a polecenie płatności przekazywane jest do banku w ciągu kolejnych 5 dni kalendarzowych.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Upowszechnienie możliwości wprowadzania drobnych korekt do wniosku o płatność przez osobę sprawdzającą.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Upowszechnienie zasady wyjaśniania wątpliwości do poszczególnych pozycji wniosku o płatność w kontaktach roboczych z beneficjentem.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Upowszechnienie rozliczeń ryczałtowych w przypadku kosztów pośrednich/ ogólnych oraz wprowadzenie  możliwości rozliczania ryczałtem określonej kwoty w budżecie, do której można byłoby zaliczać drobne wydatki (np. bilety autobusowe, opłaty parkingowe, itp.).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Upowszechnienie  wniosku o płatność w formie zestawienia wydatków, przy jednoczesnym informowaniu beneficjentów o zasadach  prawidłowej archiwizacji dokumentów potwierdzających wydatki. Zestawianie powinno być stosowane zwłaszcza w przypadku wydatków powtarzających się lub o stosunkowo niewielkiej wartości.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Publikowanie informacji o zasadach </w:t>
            </w: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 xml:space="preserve">prawidłowego dokumentowania wydatków w postaci przewodników, list najczęściej zadawanych pytań i odpowiedzi, list najczęściej popełnianych błędów oraz systematyczna organizacja szkoleń dla projektodawców nt. rozliczeń.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tabs>
                <w:tab w:val="num" w:pos="155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ind w:left="11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138</w:t>
            </w:r>
            <w:r w:rsidRPr="008729E4">
              <w:rPr>
                <w:rFonts w:ascii="Arial" w:hAnsi="Arial" w:cs="Arial"/>
                <w:sz w:val="20"/>
                <w:szCs w:val="20"/>
              </w:rPr>
              <w:t>. Opóźnienia w płatnościach na rzecz beneficjentów (RPO, PO IG, PO KL)</w:t>
            </w:r>
          </w:p>
          <w:p w:rsidR="00BD04F3" w:rsidRPr="008729E4" w:rsidRDefault="00BD04F3" w:rsidP="00250D28">
            <w:pPr>
              <w:spacing w:line="264" w:lineRule="auto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uppressAutoHyphens/>
              <w:spacing w:line="264" w:lineRule="auto"/>
              <w:ind w:left="11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W przypadku opóźnień, brak informacji ze strony instytucji odpowiedzialnych za dokonywanie płatności na rzecz beneficjentów o planowanym terminie dokonania płatności.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ind w:left="11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Brak monitoringu terminów płatności przez Instytucje Zarządzające poszczególnymi programami/ schematami wsparcia.</w:t>
            </w:r>
          </w:p>
          <w:p w:rsidR="00BD04F3" w:rsidRPr="008729E4" w:rsidRDefault="00BD04F3" w:rsidP="00250D28">
            <w:pPr>
              <w:spacing w:line="264" w:lineRule="auto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Brak sankcji dla instytucji odpowiedzialnych za dokonywanie płatności na rzecz beneficjentów za przekroczenie terminów określonych w umowie z beneficjentem.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Wprowadzenie systemu elektronicznego monitorującego komunikację pomiędzy instytucją dokonującą  płatności a beneficjentem, w tym uwzględniająca czas przekazania beneficjentom poprawek do wszystkich złożonych wersji wniosku o płatność, czas od złożenia przez beneficjenta ostatniej wersji wniosku o płatność, do których nie zgłoszono poprawek, do dokonania płatności na jego rzecz.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Systematyczna publikacja statystyk czasu oceny wniosków o płatność i realizacji płatności na rzecz beneficjentów, w podziale na instytucje i działania lub schematy wsparcia (np. 1 raz na kwartał, w formacie: </w:t>
            </w:r>
          </w:p>
          <w:p w:rsidR="00BD04F3" w:rsidRPr="008729E4" w:rsidRDefault="00BD04F3" w:rsidP="00BD04F3">
            <w:pPr>
              <w:numPr>
                <w:ilvl w:val="0"/>
                <w:numId w:val="2"/>
              </w:numPr>
              <w:tabs>
                <w:tab w:val="num" w:pos="650"/>
              </w:tabs>
              <w:suppressAutoHyphens/>
              <w:spacing w:line="264" w:lineRule="auto"/>
              <w:ind w:left="65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liczba wniosków o płatność,  których ocena trwała:</w:t>
            </w:r>
          </w:p>
          <w:p w:rsidR="00BD04F3" w:rsidRPr="008729E4" w:rsidRDefault="00BD04F3" w:rsidP="00BD04F3">
            <w:pPr>
              <w:numPr>
                <w:ilvl w:val="0"/>
                <w:numId w:val="3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do 30 dni, </w:t>
            </w:r>
          </w:p>
          <w:p w:rsidR="00BD04F3" w:rsidRPr="008729E4" w:rsidRDefault="00BD04F3" w:rsidP="00BD04F3">
            <w:pPr>
              <w:numPr>
                <w:ilvl w:val="0"/>
                <w:numId w:val="3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31-60 dni, </w:t>
            </w:r>
          </w:p>
          <w:p w:rsidR="00BD04F3" w:rsidRPr="008729E4" w:rsidRDefault="00BD04F3" w:rsidP="00BD04F3">
            <w:pPr>
              <w:numPr>
                <w:ilvl w:val="0"/>
                <w:numId w:val="3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61-90 dni, </w:t>
            </w:r>
          </w:p>
          <w:p w:rsidR="00BD04F3" w:rsidRPr="008729E4" w:rsidRDefault="00BD04F3" w:rsidP="00BD04F3">
            <w:pPr>
              <w:numPr>
                <w:ilvl w:val="0"/>
                <w:numId w:val="3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91-120 dni</w:t>
            </w:r>
          </w:p>
          <w:p w:rsidR="00BD04F3" w:rsidRPr="008729E4" w:rsidRDefault="00BD04F3" w:rsidP="00BD04F3">
            <w:pPr>
              <w:numPr>
                <w:ilvl w:val="0"/>
                <w:numId w:val="3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powyżej 120 dni   </w:t>
            </w:r>
          </w:p>
          <w:p w:rsidR="00BD04F3" w:rsidRPr="008729E4" w:rsidRDefault="00BD04F3" w:rsidP="00250D28">
            <w:pPr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b) liczba wniosków o płatność, w przypadku których płatności na konto beneficjenta dokonano</w:t>
            </w:r>
          </w:p>
          <w:p w:rsidR="00BD04F3" w:rsidRPr="008729E4" w:rsidRDefault="00BD04F3" w:rsidP="00BD04F3">
            <w:pPr>
              <w:numPr>
                <w:ilvl w:val="0"/>
                <w:numId w:val="3"/>
              </w:numPr>
              <w:tabs>
                <w:tab w:val="num" w:pos="650"/>
              </w:tabs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po 5 dniach od zatwierdzenia wniosku o płatność </w:t>
            </w:r>
          </w:p>
          <w:p w:rsidR="00BD04F3" w:rsidRPr="008729E4" w:rsidRDefault="00BD04F3" w:rsidP="00BD04F3">
            <w:pPr>
              <w:numPr>
                <w:ilvl w:val="0"/>
                <w:numId w:val="3"/>
              </w:numPr>
              <w:tabs>
                <w:tab w:val="num" w:pos="650"/>
              </w:tabs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po 10 dniach od zatwierdzenia wniosku o płatność</w:t>
            </w:r>
          </w:p>
          <w:p w:rsidR="00BD04F3" w:rsidRPr="008729E4" w:rsidRDefault="00BD04F3" w:rsidP="00BD04F3">
            <w:pPr>
              <w:numPr>
                <w:ilvl w:val="0"/>
                <w:numId w:val="3"/>
              </w:numPr>
              <w:tabs>
                <w:tab w:val="num" w:pos="650"/>
              </w:tabs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po 15 dniach od zatwierdzenia wniosku o płatność</w:t>
            </w:r>
          </w:p>
          <w:p w:rsidR="00BD04F3" w:rsidRPr="008729E4" w:rsidRDefault="00BD04F3" w:rsidP="00BD04F3">
            <w:pPr>
              <w:numPr>
                <w:ilvl w:val="0"/>
                <w:numId w:val="3"/>
              </w:numPr>
              <w:tabs>
                <w:tab w:val="num" w:pos="650"/>
              </w:tabs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>po 20 dniach od zatwierdzenia wniosku o płatność)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Monitorowanie oraz prezentacja w okresowych sprawozdaniach Instytucji Zarządzających przypadków, w których beneficjenci utracili płynność finansową w związku z opóźnieniami w realizacji płatności na ich rzecz.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139</w:t>
            </w:r>
            <w:r w:rsidRPr="008729E4">
              <w:rPr>
                <w:rFonts w:ascii="Arial" w:hAnsi="Arial" w:cs="Arial"/>
                <w:sz w:val="20"/>
                <w:szCs w:val="20"/>
              </w:rPr>
              <w:t xml:space="preserve">. Biurokratyczny system rozliczeń w programach finansowanych z Europejskiego Funduszu Rozwoju Regionalnego (RPO, PO IG).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ind w:left="11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Konieczność przedkładania i weryfikacja wszystkich dokumentów finansowych oraz innych dokumentów potwierdzających wydatek we wniosku o płatność.</w:t>
            </w:r>
          </w:p>
          <w:p w:rsidR="00BD04F3" w:rsidRPr="008729E4" w:rsidRDefault="00BD04F3" w:rsidP="00250D28">
            <w:pPr>
              <w:spacing w:line="264" w:lineRule="auto"/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uppressAutoHyphens/>
              <w:spacing w:line="264" w:lineRule="auto"/>
              <w:ind w:left="11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Kwestionowanie wydatków w przypadku odstępstw od procedur administracyjnych ustalonych przez instytucję oceniającą wniosek o płatność, które są uzasadnione charakterem lub celem projektu i jednocześnie nie mają wpływu na realizację tego celu oraz są zgodne z obowiązującymi przepisami prawa.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Upowszechnienie rozliczeń ryczałtowych, zwłaszcza dla kosztów pośrednich, oraz wprowadzenie  możliwości rozliczania ryczałtem określonej kwoty w budżecie, do której można byłoby zaliczać drobne wydatki (np. bilety autobusowe, opłaty parkingowe, itp.).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Upowszechnienie  wniosku o płatność w formie zestawienia wydatków, przy jednoczesnym informowaniu beneficjentów o zasadach  prawidłowej archiwizacji dokumentów potwierdzających wydatki. Zestawianie powinno być stosowane zwłaszcza w przypadku wydatków powtarzających się lub o stosunkowo niewielkiej wartości.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Rozstrzyganie na korzyść beneficjenta wątpliwości dotyczących wydatków, jeśli przyczyniają się do realizacji cel projektu i są zgodne z przepisami obowiązującego prawa. 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highlight w:val="cyan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8729E4">
              <w:rPr>
                <w:rFonts w:ascii="Arial" w:hAnsi="Arial" w:cs="Arial"/>
                <w:sz w:val="20"/>
                <w:szCs w:val="20"/>
              </w:rPr>
              <w:t xml:space="preserve">. Mała elastyczność budżetów projektów (RPO, PO IG, PO KL).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line="264" w:lineRule="auto"/>
              <w:ind w:left="11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Zbyt duża szczegółowość harmonogramów finansowo-rzeczowych, powodująca,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 utrudnia dostosowanie projektu do aktualnej sytuacji i powoduje konieczność wielokrotnego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aneksowania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 umowy o dofinansowanie.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Wprowadzenie oraz stosowanie zasady rozliczania projektów w oparciu o budżet zadaniowy - rezygnacja lub zmiana kategorii lub specyfikacji określonych wydatków w ramach zadania nie podlega uzgodnieniu z instytucją wdrażającą, jeśli wydatki pozostają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 do zasady kwalifikowane, a zadanie oraz cele projektu są realizowane zgodnie z założeniami.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Upowszechnienie i stosowanie zasady, iż </w:t>
            </w: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 xml:space="preserve">przesunięcie pomiędzy poszczególnymi kategoriami wydatków lub zadaniami, nie przekraczające 15% wartości projektu, nie wymagają zgody instytucji wdrażającej.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141</w:t>
            </w:r>
            <w:r w:rsidRPr="008729E4">
              <w:rPr>
                <w:rFonts w:ascii="Arial" w:hAnsi="Arial" w:cs="Arial"/>
                <w:sz w:val="20"/>
                <w:szCs w:val="20"/>
              </w:rPr>
              <w:t>. Brak jednoznacznej definicji „zasady konkurencyjności” stosowanej przy wyborze wykonawców/dostawców robót budowlanych, towarów i usług, w projektach realizowanych przez podmioty, które nie są zobowiązane do stosowania przepisów ustawy z dnia 29 stycznia 2004 r. – Prawo zamówień publicznych. Zwiększa to swobodę interpretacyjną podmiotów kontrolujących projekty, a tym samym ryzyko uznania za niekwalifikowane wydatków, które są racjonalne i zgodne z celami projektu.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Zwolnienie ze stosowania przepisów PZP nie przynosi zamierzonych efektów, ponieważ skomplikowane przepisy ustawowe zastępują równie niejednoznaczne zasady o innej randze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ind w:left="11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„Zasada konkurencyjności” nie jest pojęciem prawnym - tworzą ją w dużej mierze precedensy i obowiązuje w różnym zakresie na poziomie poszczególnych programów a nawet działań. </w:t>
            </w:r>
          </w:p>
          <w:p w:rsidR="00BD04F3" w:rsidRPr="008729E4" w:rsidRDefault="00BD04F3" w:rsidP="00250D28">
            <w:pPr>
              <w:spacing w:line="264" w:lineRule="auto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Jednocześnie w tych programach wypracowywane są różne, często odmienne interpretacje oraz dodawane kolejne wymogi lub uzupełnienia. Część wymogów przenoszona jest z UPZP (np. sumowanie zamówień/ zakupów w ramach projektu),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 - wobec braku jednoznacznych wykładni - zwiększa możliwość popełnienia błędu przez beneficjenta. </w:t>
            </w:r>
          </w:p>
          <w:p w:rsidR="00BD04F3" w:rsidRPr="008729E4" w:rsidRDefault="00BD04F3" w:rsidP="00250D28">
            <w:pPr>
              <w:suppressAutoHyphens/>
              <w:spacing w:line="264" w:lineRule="auto"/>
              <w:ind w:left="11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Sformułowanie i uzgodnienie przez MRR, przy współpracy z KE i IZ RPO, minimalnych  (tzn. stanowiących faktyczne ułatwienie w stosunku do przepisów PZP) i jednoznacznych wymogów dotyczących wyboru wykonawców/dostawców robót budowlanych, towarów i usług, w projektach realizowanych przez podmioty, które nie są zobowiązane do stosowania przepisów ustawy z dnia 29 stycznia 2004 r. – Prawo zamówień publicznych.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Ograniczenie kontroli zasady konkurencyjności wyłącznie do kwestii w niej wskazanych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W przypadku wątpliwości - ocena racjonalności wydatku zamiast restrykcyjnej oceny zgodności z niedookreślonymi i dynamicznie zmieniającymi się zasadami.   </w:t>
            </w:r>
          </w:p>
          <w:p w:rsidR="00BD04F3" w:rsidRPr="008729E4" w:rsidRDefault="00BD04F3" w:rsidP="00250D28">
            <w:pPr>
              <w:suppressAutoHyphens/>
              <w:spacing w:line="264" w:lineRule="auto"/>
              <w:ind w:left="11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1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F3" w:rsidRPr="008729E4" w:rsidRDefault="00BD04F3" w:rsidP="00250D28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b/>
                <w:sz w:val="20"/>
                <w:szCs w:val="20"/>
              </w:rPr>
              <w:t>SPRAWNOŚĆ INSTYTUCJONALNA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143</w:t>
            </w: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. Niewystarczające przygotowanie części kadr instytucji publicznych do realizacji celów Programów Operacyjnych. 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Brak przejrzystych ścieżek kariery i awansu, m.in. w wyniku upolitycznienia stanowisk średniego i wyższego szczebla.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Brak kompetencji menadżerskich osób zarządzających kapitałem ludzkim w </w:t>
            </w:r>
            <w:r w:rsidRPr="008729E4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administracji.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Brak systemów skutecznie zapobiegających konfliktowi interesów pracowników szczebla operacyjnego (uczestniczących w tworzeniu zasad wyboru projektów i ocenie projektów).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>Wprowadzenie zasad zarządzania w sektorze publicznym oraz spójnego programu budowy kompetencji kadr (reforma administracji publicznej).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Przygotowanie kompleksowych rozwiązań zarówno na szczeblu centralnym, jak i regionów </w:t>
            </w: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>dotyczących systemów rekrutacyjnych, promocyjnych i motywacyjnych, także w odniesieniu do profilu pożądanych kompetencji oraz narzędzi ich nabywania.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Opracowanie publicznego rankingu jakości pracy instytucji zarządzających, pośredniczących i wdrażających, według określonych kryteriów, w tym przede wszystkim terminów realizowanych operacji.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144</w:t>
            </w:r>
            <w:r w:rsidRPr="008729E4">
              <w:rPr>
                <w:rFonts w:ascii="Arial" w:hAnsi="Arial" w:cs="Arial"/>
                <w:sz w:val="20"/>
                <w:szCs w:val="20"/>
              </w:rPr>
              <w:t>. Niska jakość obsługi wnioskodawców i beneficjentów, niewystarczająca orientacja na klienta:</w:t>
            </w:r>
          </w:p>
          <w:p w:rsidR="00BD04F3" w:rsidRPr="008729E4" w:rsidRDefault="00BD04F3" w:rsidP="00BD04F3">
            <w:pPr>
              <w:numPr>
                <w:ilvl w:val="0"/>
                <w:numId w:val="4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stawianie projektodawcom/ beneficjentom nieuzasadnionych wymogów wykraczających poza obowiązujące przepisy prawa</w:t>
            </w:r>
          </w:p>
          <w:p w:rsidR="00BD04F3" w:rsidRPr="008729E4" w:rsidRDefault="00BD04F3" w:rsidP="00BD04F3">
            <w:pPr>
              <w:numPr>
                <w:ilvl w:val="0"/>
                <w:numId w:val="4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sformalizowana komunikacja z osobami obsługującymi wnioskodawców/ beneficjentów, niechęć do udzielania odpowiedzi na pytania w korespondencji mailowej lub telefonicznej</w:t>
            </w:r>
          </w:p>
          <w:p w:rsidR="00BD04F3" w:rsidRPr="008729E4" w:rsidRDefault="00BD04F3" w:rsidP="00BD04F3">
            <w:pPr>
              <w:numPr>
                <w:ilvl w:val="0"/>
                <w:numId w:val="4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niemożność lub znaczące opóźnienia w uzyskiwaniu odpowiedzi na szczegółowe pytania związane z realizowanymi projektami, skutkujące m.in.: błędami we wnioskach o płatność.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>Brak merytorycznego przygotowania osób obsługujących wnioskodawców i beneficjentów oraz brak systemu wsparcia/ rozbudowy i aktualizacji kompetencji tych osób (np. poprzez możliwość wymiany informacji pomiędzy pracownikami rożnych instytucji, dostęp do ekspertyz, opinii prawnych, wypracowanych w systemie interpretacji danych kwestii).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Ograniczona samodzielność urzędników niższego szczebla, powodująca niechęć do brania odpowiedzialności i podejmowania decyzji oraz pryncypialne trzymanie się procedur (np. przestrzeganie maksymalnego terminu weryfikacji wniosku o płatność, niezależnie od czasu faktycznej weryfikacji).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Brak programów poprawiających jakość obsługi klienta (np. weryfikujących przygotowanie merytoryczne, oceniających skuteczność narzędzi komunikacyjnych).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Weryfikacja (przed faktycznym rozpoczęciem współpracy z beneficjentem) i bieżąca aktualizacja kompetencji osób współpracujących z projektodawcami / beneficjentami. 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Stworzenie bazy wiedzy dla administracji centralnej i regionalnej zaangażowanej we wdrażanie programów operacyjnych (dobra praktyka – PO KL), zawierającej interpretacje typowych kwestii zgłaszanych przez wnioskodawców, odpowiedzi na najczęściej zadawane pytanie, obsługiwanej przez zespół ekspertów, których zadaniem byłoby m.in.: wyjaśnianie wątpliwych kwestii, zabieganie o interpretacje właściwych organów.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Bieżąca komunikacja opiekunów projektów z projektodawcami i beneficjentami – udzielanie szczegółowych odpowiedzi na zadawane pytania, informowanie o aktualnym stanie projektu/ wniosku płatniczego.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Opracowanie kryteriów oceny i systematyczna weryfikacja poziomu satysfakcji klienta (wnioskodawcy, beneficjenta) z jakości obsługi.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145</w:t>
            </w: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. Zbiurokratyzowanie procesu ubiegania się o dotację w wynikające z: </w:t>
            </w:r>
          </w:p>
          <w:p w:rsidR="00BD04F3" w:rsidRPr="008729E4" w:rsidRDefault="00BD04F3" w:rsidP="00BD04F3">
            <w:pPr>
              <w:numPr>
                <w:ilvl w:val="0"/>
                <w:numId w:val="5"/>
              </w:numPr>
              <w:suppressAutoHyphens/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dużego skomplikowania i nadmiernej szczegółowości regulaminów konkursowych (RPO) </w:t>
            </w:r>
          </w:p>
          <w:p w:rsidR="00BD04F3" w:rsidRPr="008729E4" w:rsidRDefault="00BD04F3" w:rsidP="00BD04F3">
            <w:pPr>
              <w:numPr>
                <w:ilvl w:val="0"/>
                <w:numId w:val="5"/>
              </w:numPr>
              <w:suppressAutoHyphens/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rozbudowanych list załączników (RPO)</w:t>
            </w:r>
          </w:p>
          <w:p w:rsidR="00BD04F3" w:rsidRPr="008729E4" w:rsidRDefault="00BD04F3" w:rsidP="00BD04F3">
            <w:pPr>
              <w:numPr>
                <w:ilvl w:val="0"/>
                <w:numId w:val="5"/>
              </w:numPr>
              <w:suppressAutoHyphens/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rozbudowanych wymagań dotyczących treści wniosku, które nie mają związku z opisywanym przedsięwzięciem i pozostają bez wpływu na jakość przedsięwzięcia (RPO, PO KL).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Regulaminy konkursów tworzą dodatkowe wymogi, nie ujęte bezpośrednio w kryteriach wyboru projektów, które stanowią realne obciążenie dla beneficjenta i mogą być przyczyną uznania dokumentacji za niezgodną z wymogami.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W większości regionów na etapie składania wniosku o płatność wymagane są zaświadczenia, dokumenty potwierdzane notarialnie, tłumaczenia przysięgłe, itp., które są zbędne z punktu widzenia oceny wniosku. Jednocześnie projektodawca musi składać do kilkunastu oświadczeń, również nie mających związku z oceną projektu (np. oświadczenie o znajomości zasad pomocy publicznej i nieprzekraczaniu maksymalnej intensywności wsparcia).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Wypełnienie wniosków o dofinansowanie (zwłaszcza RPO) wymaga teoretycznej lub specjalistycznej wiedzy, która jest całkowicie zbędna z punktu widzenia projektodawcy, np.: </w:t>
            </w:r>
          </w:p>
          <w:p w:rsidR="00BD04F3" w:rsidRPr="008729E4" w:rsidRDefault="00BD04F3" w:rsidP="00BD04F3">
            <w:pPr>
              <w:numPr>
                <w:ilvl w:val="0"/>
                <w:numId w:val="6"/>
              </w:numPr>
              <w:tabs>
                <w:tab w:val="num" w:pos="290"/>
              </w:tabs>
              <w:suppressAutoHyphens/>
              <w:spacing w:line="264" w:lineRule="auto"/>
              <w:ind w:left="290" w:hanging="180"/>
              <w:rPr>
                <w:rFonts w:ascii="Arial" w:eastAsia="Arial Unicode MS" w:hAnsi="Arial" w:cs="Arial"/>
                <w:sz w:val="20"/>
                <w:szCs w:val="20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przyporządkowywanie konkretnych wydatków do tytułów rozporządzeń regulujących dany rodzaj pomocy</w:t>
            </w:r>
          </w:p>
          <w:p w:rsidR="00BD04F3" w:rsidRPr="008729E4" w:rsidRDefault="00BD04F3" w:rsidP="00BD04F3">
            <w:pPr>
              <w:numPr>
                <w:ilvl w:val="0"/>
                <w:numId w:val="6"/>
              </w:numPr>
              <w:tabs>
                <w:tab w:val="num" w:pos="290"/>
              </w:tabs>
              <w:suppressAutoHyphens/>
              <w:spacing w:line="264" w:lineRule="auto"/>
              <w:ind w:left="290" w:hanging="180"/>
              <w:rPr>
                <w:rFonts w:ascii="Arial" w:eastAsia="Arial Unicode MS" w:hAnsi="Arial" w:cs="Arial"/>
                <w:sz w:val="20"/>
                <w:szCs w:val="20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konieczność wskazywania źródeł finansowania wkładu publicznego</w:t>
            </w:r>
          </w:p>
          <w:p w:rsidR="00BD04F3" w:rsidRPr="008729E4" w:rsidRDefault="00BD04F3" w:rsidP="00BD04F3">
            <w:pPr>
              <w:numPr>
                <w:ilvl w:val="0"/>
                <w:numId w:val="6"/>
              </w:numPr>
              <w:tabs>
                <w:tab w:val="num" w:pos="290"/>
              </w:tabs>
              <w:suppressAutoHyphens/>
              <w:spacing w:line="264" w:lineRule="auto"/>
              <w:ind w:left="290" w:hanging="180"/>
              <w:rPr>
                <w:rFonts w:ascii="Arial" w:eastAsia="Arial Unicode MS" w:hAnsi="Arial" w:cs="Arial"/>
                <w:sz w:val="20"/>
                <w:szCs w:val="20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konieczność wskazywania stron dokumentów strategicznych (regionalnych, lokalnych), z którymi zgodny jest projekt.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 xml:space="preserve">Rezygnacja z niezasadnych wymogów proceduralnych określanych w regulaminach konkursów, które komplikują przygotowanie wniosku i zwiększają prawdopodobieństwo popełnienia technicznego błędu podczas jego składania. 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Wprowadzenie uniwersalnego standardu obsługi wnioskodawcy i beneficjenta wraz z katalogiem maksymalnych wymogów, które muszą zostać spełnione w procesie aplikacyjnym i w trakcie realizacji projektów, np.:</w:t>
            </w:r>
          </w:p>
          <w:p w:rsidR="00BD04F3" w:rsidRPr="008729E4" w:rsidRDefault="00BD04F3" w:rsidP="00BD04F3">
            <w:pPr>
              <w:numPr>
                <w:ilvl w:val="0"/>
                <w:numId w:val="3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zasada elektronicznej wymiany dokumentów (aplikacja, sprawozdania, wniosek płatniczy) i komunikacji z beneficjentem za pomocą systemu informatycznego/ poczty elektronicznej, </w:t>
            </w:r>
          </w:p>
          <w:p w:rsidR="00BD04F3" w:rsidRPr="008729E4" w:rsidRDefault="00BD04F3" w:rsidP="00BD04F3">
            <w:pPr>
              <w:numPr>
                <w:ilvl w:val="0"/>
                <w:numId w:val="3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proste wnioski aplikacyjne (informacje niezbędne do oceny wniosków, którymi dysponuje wyłącznie wnioskodawca, koncentracja na opisie przedsięwzięcia).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Rezygnacja z konieczności przedkładania, na etapie ubiegania się o wsparcie, zaświadczeń/ pełnomocnictw, kopii potwierdzonych notarialnie, itp., które nie są konieczne do merytorycznej oceny projektu.</w:t>
            </w:r>
          </w:p>
          <w:p w:rsidR="00BD04F3" w:rsidRPr="008729E4" w:rsidRDefault="00BD04F3" w:rsidP="00250D28">
            <w:pPr>
              <w:suppressAutoHyphens/>
              <w:spacing w:line="264" w:lineRule="auto"/>
              <w:ind w:left="11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146</w:t>
            </w:r>
            <w:r w:rsidRPr="008729E4">
              <w:rPr>
                <w:rFonts w:ascii="Arial" w:hAnsi="Arial" w:cs="Arial"/>
                <w:sz w:val="20"/>
                <w:szCs w:val="20"/>
              </w:rPr>
              <w:t>. Nadmiernie rozbudowane kryteria formalne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Na poziomie regionalnym, ocena formalna wniosków składanych przez przedsiębiorców w konkursach na dotacje inwestycyjne wynosiła od 44  do ponad 132 dni (2011). W większości przypadków na ocenę formalną poświęcano więcej czasu, niż na ocenę merytoryczną. 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Kryteria formalne na poziomie regionalnym są zbyt rozbudowane i skoncentrowane wokół wymogów o charakterze biurokratycznym. 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Pomimo tego, iż akty wykonawcze UE delegują uprawnienia w zakresie konstruowania kryteriów oceny do Komitetów Monitorujących, Instytucje Zarządzające RPO rozszerzają listy kryteriów przyjętych przez KM - dokumenty, opracowane na potrzeby oceny formalnej, zawierają dodatkowe kryteria albo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podkryteria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, których waga w rzeczywistości jest równa wadze kryteriów formalnych. Ich niespełnienie może spowodować odrzucenie wniosku o dofinansowanie. 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Stosowanie podczas oceny formalnej wyłącznie kryteriów zatwierdzonych przez Komitet Monitorujący. 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Stopniowe upraszczanie i standaryzowanie kryteriów formalnych we wszystkich konkursach organizowanych w ramach NSRO 2007-2013. PKPP Lewiatan zaproponował standard oceny formalnej, który może być punktem wyjścia do zbudowania zasad ogólnie obowiązujących. Swoje propozycje w tym zakresie zgłosiła również Grupa ds. przedsiębiorców działająca w ramach Zespołu ds. uproszczeń przy Ministerstwie Rozwoju Regionalnego. 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Upowszechnienie możliwości poprawiania przez projektodawcę prostych błędów formalnych nie mających wpływu na zakres merytoryczny wniosku.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147. </w:t>
            </w:r>
            <w:r w:rsidRPr="008729E4">
              <w:rPr>
                <w:rFonts w:ascii="Arial" w:hAnsi="Arial" w:cs="Arial"/>
                <w:sz w:val="20"/>
                <w:szCs w:val="20"/>
              </w:rPr>
              <w:t xml:space="preserve">Kryteria merytoryczne, które nie odpowiadają realiom prowadzenia biznesu oraz nie są możliwe do rzetelnej  weryfikacji podczas oceny wniosku.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Kryteria obowiązujące przedsiębiorców powinny być dostosowane do specyfiki firm.  oraz umożliwiać skuteczną ocenę przedsięwzięcia. Pozornie ambitne kryteria, które są praktycznie niemożliwe do oceny – np. wymóg innowacyjności na poziomie kraju lub świata w regionalnym konkursie dla firm mikro – nie przyczyniają się do wyboru </w:t>
            </w: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>lepszych projektów, także dlatego że w instytucjach organizujących konkursu brakuje ekspertów, którzy mogą kompetentnie te kryteria ocenić.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Przyczyną formułowania takich kryteriów jest z jednej strony niewystarczająca znajomość specyfiki procesów inwestycyjnych, z drugiej zazwyczaj krótki czas na ich przygotowanie, w tym konsultacje i ocenę ich skutków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>Projekty kryteriów powinny być poprzedzone analizą możliwości i skutków ich stosowania opracowaną przez specjalistów – w uzasadnionych przypadkach analityków biznesowych.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Propozycje kryteriów powinny być poddawane konsultacjami z przedsiębiorcami i organizacjami ich reprezentującymi, w terminach </w:t>
            </w: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 xml:space="preserve">umożliwiających rzetelne odniesienie się do propozycji.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148</w:t>
            </w:r>
            <w:r w:rsidRPr="008729E4">
              <w:rPr>
                <w:rFonts w:ascii="Arial" w:hAnsi="Arial" w:cs="Arial"/>
                <w:sz w:val="20"/>
                <w:szCs w:val="20"/>
              </w:rPr>
              <w:t xml:space="preserve">. Nieprzygotowanie instytucji organizujących konkurs do ich prowadzenia: </w:t>
            </w:r>
          </w:p>
          <w:p w:rsidR="00BD04F3" w:rsidRPr="008729E4" w:rsidRDefault="00BD04F3" w:rsidP="00BD04F3">
            <w:pPr>
              <w:numPr>
                <w:ilvl w:val="0"/>
                <w:numId w:val="7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zmiany wytycznych konkursowych/ interpretacji kryteriów w trakcie konkursu</w:t>
            </w:r>
          </w:p>
          <w:p w:rsidR="00BD04F3" w:rsidRPr="008729E4" w:rsidRDefault="00BD04F3" w:rsidP="00BD04F3">
            <w:pPr>
              <w:numPr>
                <w:ilvl w:val="0"/>
                <w:numId w:val="7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udostępnienie dodatkowych, istotnych dla projektodawców informacji nt. kryteriów, zasad konkursu, w trakcie trwania naboru.</w:t>
            </w:r>
          </w:p>
          <w:p w:rsidR="00BD04F3" w:rsidRPr="008729E4" w:rsidRDefault="00BD04F3" w:rsidP="00BD04F3">
            <w:pPr>
              <w:numPr>
                <w:ilvl w:val="0"/>
                <w:numId w:val="7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udostępnianie istotnych informacji nt. zasad konkursu (np. kwalifikowanych beneficjentów) w krótkim czasie przed rozpoczęciem naboru.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Brak minimalnych standardów dotyczących terminów udostępniania beneficjentom informacji niezbędnych do przygotowania dokumentacji aplikacyjnej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Zamykanie prac nad dokumentacją konkursową (w tym dokumentami wspierającymi, takimi jak przewodniki po kryteriach) w określonym czasie przed ogłoszeniem terminu naboru wniosków (1 miesiąc) i nie wprowadzanie zmian dotyczących reguł ubiegania się o wsparcie w trakcie konkursu, przy minimalnym czasie trwania samego naboru od 50 do 60 dni.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149. </w:t>
            </w:r>
            <w:r w:rsidRPr="008729E4">
              <w:rPr>
                <w:rFonts w:ascii="Arial" w:hAnsi="Arial" w:cs="Arial"/>
                <w:sz w:val="20"/>
                <w:szCs w:val="20"/>
              </w:rPr>
              <w:t xml:space="preserve">Niestabilność systemu pozyskania środków i realizacji projektów, zmiany zasad realizacji projektów - usztywnianie i komplikowanie systemu (najczęściej w odpowiedzi na pojedyncze nieprawidłowości stwierdzone w </w:t>
            </w: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 xml:space="preserve">konkretnych projektach) </w:t>
            </w:r>
          </w:p>
          <w:p w:rsidR="00BD04F3" w:rsidRPr="008729E4" w:rsidRDefault="00BD04F3" w:rsidP="00BD04F3">
            <w:pPr>
              <w:numPr>
                <w:ilvl w:val="0"/>
                <w:numId w:val="7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częste zmiany dokumentów związanych z pozyskaniem i wydatkowaniem dotacji (np. Wytyczne w zakresie kwalifikowania wydatków, Zasady finansowania PO KL, Zasady dokonywania wyboru projektów, Zasady dokonywania kontroli)</w:t>
            </w:r>
          </w:p>
          <w:p w:rsidR="00BD04F3" w:rsidRPr="008729E4" w:rsidRDefault="00BD04F3" w:rsidP="00BD04F3">
            <w:pPr>
              <w:numPr>
                <w:ilvl w:val="0"/>
                <w:numId w:val="7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krótkie terminy konsultacji zmian w dokumentach,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 ogranicza możliwość merytorycznej dyskusji i utrudnia ich ocenę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 xml:space="preserve">Od 2008 r. najistotniejsze dokumenty związane z pozyskaniem i rozliczeniem dotacji w PO KL były zmieniane częściej niż raz w roku (przykład: Zasady finansowania PO KL oraz Wytyczne w zakresie kwalifikowania wydatków zmiany obowiązujących dokumentów: marzec 2008, </w:t>
            </w: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>wrzesień 2008, listopad 2008 (errata), kwiecień 2009, styczeń 2010, marzec 2010 (errata), styczeń 2011, luty 2011 (errata), styczeń 2012).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Istotne zmiany zasad w trakcie projektów zwiększają ryzyko ich realizacji. W przypadku projektów długoletnich, kolejne etapy realizowane są według różnych zasad (np. zasady zatrudniania personelu),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 zwiększa liczbę błędów popełnianych przez  beneficjentów. Powoduje to także niejasności podczas kontroli - kontrolujący odwołują się do najnowszej wersji dokumentu, zaś na beneficjencie spoczywa obowiązek wykazania jakie zasady obowiązywały w momencie realizacji danego działania. Co więcej beneficjenci podpisując umowę nie mają jasności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 do zasad realizacji projektów,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 mogłoby mieć wpływ na decyzje odnośnie wykorzystania takiego źródła finansowania.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>Organizacja konsultacji w sposób zapewniający większą możliwość włączenia się w nie beneficjentów/ organizacji przedstawicielskich:</w:t>
            </w:r>
          </w:p>
          <w:p w:rsidR="00BD04F3" w:rsidRPr="008729E4" w:rsidRDefault="00BD04F3" w:rsidP="00BD04F3">
            <w:pPr>
              <w:numPr>
                <w:ilvl w:val="0"/>
                <w:numId w:val="3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wydłużenie terminu na zgłaszanie uwag do 30 dni od upublicznienia konsultowanego dokumentu</w:t>
            </w:r>
          </w:p>
          <w:p w:rsidR="00BD04F3" w:rsidRPr="008729E4" w:rsidRDefault="00BD04F3" w:rsidP="00BD04F3">
            <w:pPr>
              <w:numPr>
                <w:ilvl w:val="0"/>
                <w:numId w:val="3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organizowanie przynajmniej jednego </w:t>
            </w: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>spotkania konsultacyjnego z beneficjentami i instytucjami zaangażowanymi we wdrażanie PO KL w celu wyjaśnienia stanowisk</w:t>
            </w:r>
          </w:p>
          <w:p w:rsidR="00BD04F3" w:rsidRPr="008729E4" w:rsidRDefault="00BD04F3" w:rsidP="00BD04F3">
            <w:pPr>
              <w:numPr>
                <w:ilvl w:val="0"/>
                <w:numId w:val="3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Bezpośrednie informowanie beneficjentów realizujących projekty o trwających konsultacjach np. poprzez e-mail od opiekunów projektów i ich wynikach. 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Bezpośrednie informowanie beneficjentów o wprowadzonych zmianach i konsekwencjach wynikających z nich dla realizowanych projektów.  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150. </w:t>
            </w:r>
            <w:r w:rsidRPr="008729E4">
              <w:rPr>
                <w:rFonts w:ascii="Arial" w:hAnsi="Arial" w:cs="Arial"/>
                <w:sz w:val="20"/>
                <w:szCs w:val="20"/>
              </w:rPr>
              <w:t>Nakładanie na beneficjentów obowiązków sprzecznych z przepisami ogólnie obowiązującego prawa np. w zakresie zatrudniania pracowników (POKL)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Wytyczne w zakresie kwalifikowania wydatków w PO KL oraz Zasady finansowania PO KL nakładają na beneficjenta obowiązek gromadzenia danych o wszystkich zajęciach zarobkowych (finansowanych ze w ramach NSRO) osób zatrudnionych w projektach PO KL oraz weryfikację godzinową zaangażowania we wszystkie zajęcia (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. 240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godz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,/m-c) Są to przepisy niezgodne z Ustawą o ochronie danych osobowych oraz kodeksem pracy (art. 22 (1)).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Przegląd wytycznych i zasad finansowania obowiązujących w PO KL pod kątem ich zgodności z ogólnie obowiązującym prawem i usunięcie przepisów z nimi niezgodnych.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151</w:t>
            </w:r>
            <w:r w:rsidRPr="008729E4">
              <w:rPr>
                <w:rFonts w:ascii="Arial" w:hAnsi="Arial" w:cs="Arial"/>
                <w:sz w:val="20"/>
                <w:szCs w:val="20"/>
              </w:rPr>
              <w:t>. Wymóg przedkładania i archiwizowania papierowej dokumentacji związanej z ubieganiem się o dotację (oryginały i kopie) oraz realizacją projektów.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Brak sprawnych narzędzi informatycznych umożliwiających elektroniczną obsługę procesu aplikacyjnego.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Brak przygotowania kadr instytucji publicznych do komunikacji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on-line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Nawyki biurokratyczne, np. wymóg wielokrotnego kopiowania dokumentacji.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Digitalizacja procesu aplikacyjnego i zarządzania projektem (wnioski konkursowe, ocena projektów, sprawozdawczość i archiwa w wersji elektronicznej).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  <w:r w:rsidRPr="008729E4">
              <w:rPr>
                <w:rFonts w:ascii="Arial" w:hAnsi="Arial" w:cs="Arial"/>
                <w:sz w:val="20"/>
                <w:szCs w:val="20"/>
              </w:rPr>
              <w:t>. System kontroli zorientowany na penalizację nieprawidłowości:</w:t>
            </w:r>
          </w:p>
          <w:p w:rsidR="00BD04F3" w:rsidRPr="008729E4" w:rsidRDefault="00BD04F3" w:rsidP="00BD04F3">
            <w:pPr>
              <w:numPr>
                <w:ilvl w:val="0"/>
                <w:numId w:val="8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biurokratyczny charakter kontroli kładący nacisk na spełnienie wymogów administracyjnych, bez odniesienia do realizowanych działań czy osiąganych rezultatów</w:t>
            </w:r>
          </w:p>
          <w:p w:rsidR="00BD04F3" w:rsidRPr="008729E4" w:rsidRDefault="00BD04F3" w:rsidP="00BD04F3">
            <w:pPr>
              <w:numPr>
                <w:ilvl w:val="0"/>
                <w:numId w:val="8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duża liczba kontroli przeprowadzanych w jednym projekcie (przez rożne instytucje kontrolne) oraz różne formułowanie wymagań, w zależności od instytucji prowadzącej kontrolę.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Kontrolerzy nie mają doświadczenia w realizacji projektów współfinansowanych z funduszy europejskich, nie znają ich specyfiki,  koncentrują się na kwestiach stricte formalnych (sposób opisania faktury) a nie merytorycznych (zasadność wydatku).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Przyjęcie zasady, że projekt nie powinien być kontrolowany nie więcej niż jeden raz/ rok przez krajowe instytucje kontrolne (poza kontrolami doraźnymi).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Wypracowywanie i upowszechnianie jednolitych interpretacji kwestii problemowych pośród członków zespołów kontrolnych reprezentujących różne instytucje.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Wzmocnienie funkcji prewencyjnej kontroli (wsparcie zapobiegania nieprawidłowościom).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  <w:r w:rsidRPr="008729E4">
              <w:rPr>
                <w:rFonts w:ascii="Arial" w:hAnsi="Arial" w:cs="Arial"/>
                <w:sz w:val="20"/>
                <w:szCs w:val="20"/>
              </w:rPr>
              <w:t xml:space="preserve">. Mała wiarygodność środków odwoławczych, w przypadku dokonywania ponownej oceny wniosków przez te same instytucje, od których oceny projektodawca składał protest lub odwołanie, a które to instytucje nie mają obowiązku uwzględnienia wniosków rozpatrzenia środka odwoławczego, w tym opinii powołanych w tym celu </w:t>
            </w: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>ekspertów. W efekcie nawet w przypadku pozytywnego rozpatrzenia protestu i uznania oceny za nieprawidłową, instytucja oceniająca może ponownie odrzucić wniosek z dokładnie tych samych powodów.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 xml:space="preserve">Brak w obowiązujących wytycznych dotyczących procedury odwoławczej, tj.: </w:t>
            </w:r>
            <w:r w:rsidRPr="008729E4">
              <w:rPr>
                <w:rFonts w:ascii="Arial" w:hAnsi="Arial" w:cs="Arial"/>
                <w:i/>
                <w:sz w:val="20"/>
                <w:szCs w:val="20"/>
              </w:rPr>
              <w:t>Wytycznych w zakresie wymogów, jakie powinny uwzględniać procedury odwoławcze ustalone dla programów operacyjnych dla konkursów ogłaszanych od dnia 20 grudnia 2008</w:t>
            </w:r>
            <w:r w:rsidRPr="008729E4">
              <w:rPr>
                <w:rFonts w:ascii="Arial" w:hAnsi="Arial" w:cs="Arial"/>
                <w:sz w:val="20"/>
                <w:szCs w:val="20"/>
              </w:rPr>
              <w:t xml:space="preserve">  precyzyjnych zasad przeprowadzenia ponownej oceny wniosków w przypadku pozytywnego rozpatrzenia środka odwoławczego.</w:t>
            </w:r>
          </w:p>
          <w:p w:rsidR="00BD04F3" w:rsidRPr="008729E4" w:rsidRDefault="00BD04F3" w:rsidP="00250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 xml:space="preserve">Możliwość dokonywania ponownej oceny w tej samej instytucji, która oceniała wniosek o dofinansowanie,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 zaburza obiektywizm oceny.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 xml:space="preserve">Sprecyzowanie zasad przeprowadzenia ponownej oceny wniosków w przypadku pozytywnego rozpatrzenia środka odwoławczego, w tym m.in. określenie rangi opinii eksperta powołanego na etapie rozpatrywania środka odwoławczego. 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Instytucjonalne rozdzielenie kolejnych etapów procedury odwoławczej, w tym zwłaszcza oceny wniosku o dofinansowanie i ponownej oceny </w:t>
            </w: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>przypadku pozytywnego rozpatrzenia środka odwoławczego lub wprowadzenie zasady, iż  rozpatrzenie środka odwoławczego przez instytucję inną niż ta, które dokonała oceny wniosku o dofinansowanie  jest równoznaczne z jego ponowną oceną.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154</w:t>
            </w:r>
            <w:r w:rsidRPr="008729E4">
              <w:rPr>
                <w:rFonts w:ascii="Arial" w:hAnsi="Arial" w:cs="Arial"/>
                <w:sz w:val="20"/>
                <w:szCs w:val="20"/>
              </w:rPr>
              <w:t>. Brak pełnego opisu procedury odwoławczej, w tym zasad postępowania i terminów w przypadku pozytywnego rozpatrzenie skargi projektodawcy przez wojewódzki sąd administracyjny (na etapie postępowania przed sądami administracyjnymi),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Obowiązujące wytyczne dotyczących procedury odwoławczej nie precyzują obowiązków instytucji organizujących konkursy na etapie postępowania przed sądami administracyjnymi, zwłaszcza terminów ponownego rozpatrzenia sprawy, w przypadku uwzględnienia skargi projektodawcy i stwierdzenia przez sąd, że ocena projektu została przeprowadzona w sposób naruszający prawo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Doprecyzowanie w </w:t>
            </w:r>
            <w:r w:rsidRPr="008729E4">
              <w:rPr>
                <w:rFonts w:ascii="Arial" w:hAnsi="Arial" w:cs="Arial"/>
                <w:i/>
                <w:sz w:val="20"/>
                <w:szCs w:val="20"/>
              </w:rPr>
              <w:t>Wytycznych w zakresie wymogów, jakie powinny uwzględniać procedury odwoławcze ustalone dla programów operacyjnych, dla konkursów ogłaszanych od dnia 20 grudnia 2008</w:t>
            </w:r>
            <w:r w:rsidRPr="008729E4">
              <w:rPr>
                <w:rFonts w:ascii="Arial" w:hAnsi="Arial" w:cs="Arial"/>
                <w:sz w:val="20"/>
                <w:szCs w:val="20"/>
              </w:rPr>
              <w:t xml:space="preserve"> terminów ponownego rozpatrzenia sprawy, w przypadku uwzględnienia skargi projektodawcy i stwierdzenia przez sąd, że ocena projektu została przeprowadzona w sposób naruszający prawo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155. </w:t>
            </w:r>
            <w:r w:rsidRPr="008729E4">
              <w:rPr>
                <w:rFonts w:ascii="Arial" w:hAnsi="Arial" w:cs="Arial"/>
                <w:sz w:val="20"/>
                <w:szCs w:val="20"/>
              </w:rPr>
              <w:t>Brak spójnej informacji dotyczącej dostępnych instrumentów finansowania zwrotnego – przedsiębiorcy nie mają świadomości korzyści wynikających z zastosowania instrumentów finansowania zwrotnego ani pełnej informacji na temat dostępnej oferty.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Brak systemu koordynacji wdrażania instrumentów inżynierii finansowej,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 przy rosnącej liczbie instytucji, które udostępniają tego typu wsparcie powoduje chaos informacyjny. Dodatkowo to „żywiołowe” podejście do instrumentów zwrotnych może powodować tworzenie oferty nie odpowiadającej potrzebom klientów.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Stworzenie portalu informacyjnego dla przedsiębiorców zawierającego przegląd ofert finansowania zwrotnego, udostępnianych dzięki wsparciu z funduszy europejskich, prezentowanych wg określonego katalogu kryteriów.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156. </w:t>
            </w:r>
            <w:r w:rsidRPr="008729E4">
              <w:rPr>
                <w:rFonts w:ascii="Arial" w:hAnsi="Arial" w:cs="Arial"/>
                <w:sz w:val="20"/>
                <w:szCs w:val="20"/>
              </w:rPr>
              <w:t>Brak spójnej polityki informacyjnej obejmującej całokształt zagadnień związanych z realizacją projektów współfinansowanych z funduszy europejskich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smartTag w:uri="urn:schemas-microsoft-com:office:smarttags" w:element="PersonName">
              <w:r w:rsidRPr="008729E4">
                <w:rPr>
                  <w:rFonts w:ascii="Arial" w:hAnsi="Arial" w:cs="Arial"/>
                  <w:sz w:val="20"/>
                  <w:szCs w:val="20"/>
                </w:rPr>
                <w:t>Polityka</w:t>
              </w:r>
            </w:smartTag>
            <w:r w:rsidRPr="008729E4">
              <w:rPr>
                <w:rFonts w:ascii="Arial" w:hAnsi="Arial" w:cs="Arial"/>
                <w:sz w:val="20"/>
                <w:szCs w:val="20"/>
              </w:rPr>
              <w:t xml:space="preserve"> informacyjna ogranicza się najczęściej do zagadnień bezpośrednio związanych z funduszami europejskimi. W efekcie przedsiębiorcy na etapie ubiegania się o dotację lub podpisania umowy dowiadują się, że np. wykorzystali już limit pomocy de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 (np. ze względu na regularne stosowanie jednorazowej amortyzacji) czy nie dopełnili obowiązku poniesienia opłat związanych z korzystaniem ze środowiska –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 nie wynika bezpośrednio z przepisów dla programów operacyjnych ale warunkuje możliwość </w:t>
            </w: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 xml:space="preserve">otrzymania wsparcia.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>Uzupełnienie poradników / zakresu prowadzonych szkoleń o wszelkie obowiązki, w tym takie, które wynikają z odrębnych przepisów i są warunkiem otrzymania i rozliczenia wsparcia.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1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b/>
                <w:sz w:val="20"/>
                <w:szCs w:val="20"/>
              </w:rPr>
              <w:lastRenderedPageBreak/>
              <w:t>SYSTEM INFORMACYJNY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4F3" w:rsidRPr="008729E4" w:rsidTr="0056387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  <w:r w:rsidRPr="008729E4">
              <w:rPr>
                <w:rFonts w:ascii="Arial" w:hAnsi="Arial" w:cs="Arial"/>
                <w:sz w:val="20"/>
                <w:szCs w:val="20"/>
              </w:rPr>
              <w:t>. Trudności w prawidłowej ocenie dynamiki wykorzystania środków na lata 2007-2013 i identyfikacji obszarów problemowych.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Nieprzejrzysta polityka MRR w zakresie informowania o realizowanym oraz planowanym poziomie wydatkowania, w szczególności brak informacji nt. poszczególnych programów w podziale na działania oraz efektywności instytucji zaangażowanych w proces absorpcji (zwłaszcza poziom realizacji prognoz).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Powrót do dobrej praktyki z lat 2006-2007, kiedy MRR publikowało szczegółowe informacje dotyczące miesięcznego wykorzystania środków unijnych przez poszczególne instytucje, w podziale na wdrażane przez nie działania, w odniesieniu do wartości planowanych (%  realizacji prognozy).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D04F3" w:rsidRPr="008729E4" w:rsidTr="0056387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  <w:r w:rsidRPr="008729E4">
              <w:rPr>
                <w:rFonts w:ascii="Arial" w:hAnsi="Arial" w:cs="Arial"/>
                <w:sz w:val="20"/>
                <w:szCs w:val="20"/>
              </w:rPr>
              <w:t>. Ograniczona możliwość racjonalnego planowania harmonogramu projektów:</w:t>
            </w:r>
          </w:p>
          <w:p w:rsidR="00BD04F3" w:rsidRPr="008729E4" w:rsidRDefault="00BD04F3" w:rsidP="00BD04F3">
            <w:pPr>
              <w:numPr>
                <w:ilvl w:val="0"/>
                <w:numId w:val="9"/>
              </w:numPr>
              <w:suppressAutoHyphens/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br</w:t>
            </w: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ak lub nieprzestrzeganie harmonogramu konkursów (terminów ogłoszenia naboru wniosków), </w:t>
            </w:r>
            <w:proofErr w:type="spellStart"/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co</w:t>
            </w:r>
            <w:proofErr w:type="spellEnd"/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 uniemożliwia projektodawcom  zaplanowanie swoich projektów z właściwym wyprzedzeniem czasowym oraz ich przygotowanie i złożenie w najdogodniejszym momencie.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Niechęć instytucji do wyznaczania wiążących terminów nie ma podstaw formalnych. Wynika raczej z braku umiejętności precyzyjnego planowania działań i związanej z tym potrzeby pozostawiania sobie jak największego pola manewru, przy czym nawet bardzo ogólne wskazania (np. II kwartał) ulegają przesunięciom.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Ogłaszanie planu konkursów na miesiąc przed rozpoczęciem każdego kolejnego roku. Informacja o planowanej dacie ogłoszenia konkursu oraz przeznaczonej na konkurs alokacji musi być podawana z dokładnością przynajmniej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 do miesiąca i stanowić formalne zobowiązanie instytucji. 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56387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  <w:r w:rsidRPr="008729E4">
              <w:rPr>
                <w:rFonts w:ascii="Arial" w:hAnsi="Arial" w:cs="Arial"/>
                <w:sz w:val="20"/>
                <w:szCs w:val="20"/>
              </w:rPr>
              <w:t xml:space="preserve">. Ograniczona możliwość racjonalnego planowania harmonogramu projektów: </w:t>
            </w:r>
          </w:p>
          <w:p w:rsidR="00BD04F3" w:rsidRPr="008729E4" w:rsidRDefault="00BD04F3" w:rsidP="00BD04F3">
            <w:pPr>
              <w:numPr>
                <w:ilvl w:val="0"/>
                <w:numId w:val="10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brak precyzyjnych informacji nt. czasu trwania poszczególnych etapów konkursów (oceny wniosków, otrzymania </w:t>
            </w: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>informacji nt. wyników tej oceny, podpisywania umów): RPO</w:t>
            </w:r>
          </w:p>
          <w:p w:rsidR="00BD04F3" w:rsidRPr="008729E4" w:rsidRDefault="00BD04F3" w:rsidP="00BD04F3">
            <w:pPr>
              <w:numPr>
                <w:ilvl w:val="0"/>
                <w:numId w:val="10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przekraczanie zapowiedzianych terminów,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 wynika z dowolności ustalania zasad i terminów przebiegu procesu aplikacyjnego przez instytucje wdrażające poszczególne schematy wsparcia (wszystkie programy). 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 xml:space="preserve">MRR uchyliło „Wytyczne w zakresie wyboru projektów w trybie konkursowym”, </w:t>
            </w:r>
            <w:proofErr w:type="spellStart"/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co</w:t>
            </w:r>
            <w:proofErr w:type="spellEnd"/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 skutkuje dowolnością, jeśli chodzi o terminy poszczególnych etapów naboru i przedłużającym się oczekiwaniem projektodawców na wyniki konkursów. Jednocześnie informacja o planowanym harmonogramie oceny przekazywana jest w </w:t>
            </w:r>
            <w:r w:rsidRPr="008729E4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bardzo różny - najczęściej w Regulaminie konkursu, często nieprzejrzysty sposób (np. brakuje wskazania czy podawany czas oceny uwzględnia terminy dotyczące uzupełnień).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Pomimo zaleceń Instytucji Zarządzających (np. PO KL), część instytucji organizujących konkursy przedłuża terminy oceny wniosków i podpisywania umów, bez jednoczesnego  informowania beneficjentów o planowanym zakończeniu procedur. Duża dowolność w tym zakresie wynika z braku jakiegokolwiek monitoringu przyjętych terminów przez Instytucje Zarządzające, jak również </w:t>
            </w:r>
            <w:r w:rsidRPr="008729E4">
              <w:rPr>
                <w:rFonts w:ascii="Arial" w:hAnsi="Arial" w:cs="Arial"/>
                <w:sz w:val="20"/>
                <w:szCs w:val="20"/>
              </w:rPr>
              <w:t>sankcji w przypadku przekraczania przez instytucje terminów ustalonych w systemie realizacji danego programu.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 xml:space="preserve">Określenie szczegółowego haromonogramu  przebiegu procesu aplikacyjnego obowiązującego w konkursie, uwzględniającego wszystkie istotne z punktu widzenia projektodawcy informacje, w tym terminy przekazania informacji o ocenie formalnej lub  merytorycznej wniosku o dofinansowanie (dobra praktyka: PO KL). 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Stworzenie n</w:t>
            </w:r>
            <w:r w:rsidRPr="008729E4">
              <w:rPr>
                <w:rFonts w:ascii="Arial" w:hAnsi="Arial" w:cs="Arial"/>
                <w:sz w:val="20"/>
                <w:szCs w:val="20"/>
              </w:rPr>
              <w:t>arzędzi weryfikacji skuteczności pracy administracji</w:t>
            </w: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, zwłaszcza w odniesieniu do terminów na przeprowadzenie i zakończenie poszczególnych etapów oceny projektów i ich realizacji, przy czym:  </w:t>
            </w:r>
          </w:p>
          <w:p w:rsidR="00BD04F3" w:rsidRPr="008729E4" w:rsidRDefault="00BD04F3" w:rsidP="00BD04F3">
            <w:pPr>
              <w:numPr>
                <w:ilvl w:val="0"/>
                <w:numId w:val="11"/>
              </w:numPr>
              <w:tabs>
                <w:tab w:val="num" w:pos="290"/>
              </w:tabs>
              <w:suppressAutoHyphens/>
              <w:spacing w:line="264" w:lineRule="auto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ocena formalna powinna trwać maksymalnie 14 dni kalendarzowych. Docelowo powinna być dokonywana w momencie złożenia wniosku</w:t>
            </w:r>
          </w:p>
          <w:p w:rsidR="00BD04F3" w:rsidRPr="008729E4" w:rsidRDefault="00BD04F3" w:rsidP="00BD04F3">
            <w:pPr>
              <w:numPr>
                <w:ilvl w:val="0"/>
                <w:numId w:val="11"/>
              </w:numPr>
              <w:tabs>
                <w:tab w:val="num" w:pos="290"/>
              </w:tabs>
              <w:suppressAutoHyphens/>
              <w:spacing w:line="264" w:lineRule="auto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ocena merytoryczna powinna trwać maksymalnie 60 dni kalendarzowych. Oceny powinno dokonywać 2 ekspertów: zewnętrzny oraz reprezentujący daną instytucję</w:t>
            </w:r>
          </w:p>
          <w:p w:rsidR="00BD04F3" w:rsidRPr="008729E4" w:rsidRDefault="00BD04F3" w:rsidP="00BD04F3">
            <w:pPr>
              <w:numPr>
                <w:ilvl w:val="0"/>
                <w:numId w:val="11"/>
              </w:numPr>
              <w:tabs>
                <w:tab w:val="num" w:pos="290"/>
              </w:tabs>
              <w:suppressAutoHyphens/>
              <w:spacing w:line="264" w:lineRule="auto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ocena powinna być możliwa do przeprowadzenia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on-line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>, bez potrzeby zwoływania komisji oceny projektów</w:t>
            </w:r>
          </w:p>
          <w:p w:rsidR="00BD04F3" w:rsidRPr="008729E4" w:rsidRDefault="00BD04F3" w:rsidP="00BD04F3">
            <w:pPr>
              <w:numPr>
                <w:ilvl w:val="0"/>
                <w:numId w:val="11"/>
              </w:numPr>
              <w:tabs>
                <w:tab w:val="num" w:pos="290"/>
              </w:tabs>
              <w:suppressAutoHyphens/>
              <w:spacing w:line="264" w:lineRule="auto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podpisanie umowy powinno nastąpić do 14 dni kalendarzowych od momentu ogłoszenia wyników konkursu. W przypadku negocjacji termin ten mógłby ulegać wydłużeniu do 30 dni </w:t>
            </w:r>
          </w:p>
          <w:p w:rsidR="00BD04F3" w:rsidRPr="008729E4" w:rsidRDefault="00BD04F3" w:rsidP="00BD04F3">
            <w:pPr>
              <w:numPr>
                <w:ilvl w:val="0"/>
                <w:numId w:val="11"/>
              </w:numPr>
              <w:tabs>
                <w:tab w:val="num" w:pos="290"/>
              </w:tabs>
              <w:suppressAutoHyphens/>
              <w:spacing w:line="264" w:lineRule="auto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wyniki oceny powinny być każdorazowo publikowane na stronach internetowych odpowiednich instytucji. 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Prowadzenie na poziomie MRR bieżącej analizy oraz publikowanie na stronach internetowych informacji nt. </w:t>
            </w:r>
            <w:r w:rsidRPr="008729E4">
              <w:rPr>
                <w:rFonts w:ascii="Arial" w:hAnsi="Arial" w:cs="Arial"/>
                <w:sz w:val="20"/>
                <w:szCs w:val="20"/>
              </w:rPr>
              <w:t xml:space="preserve">czasu trwania poszczególnych etapów wyboru projektów, we wszystkich instytucjach zaangażowanych w proces absorpcji, w szczególności: naboru, oceny formalnej, oceny merytorycznej, zatwierdzania list, ogłaszania wyników, podpisywania umów, oceny wniosku o płatność, wypłaty zaliczki, pierwszej transzy itd.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D04F3" w:rsidRPr="008729E4" w:rsidTr="0056387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160</w:t>
            </w:r>
            <w:r w:rsidRPr="008729E4">
              <w:rPr>
                <w:rFonts w:ascii="Arial" w:hAnsi="Arial" w:cs="Arial"/>
                <w:sz w:val="20"/>
                <w:szCs w:val="20"/>
              </w:rPr>
              <w:t xml:space="preserve">. Rozproszona informacja o dostępnych instrumentach wsparcia dla przedsiębiorców (POIG, POKL, RPO,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POIiŚ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>, PORPW).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Tworzenie odrębnych struktur informacyjnych przez każdą z instytucji organizujących konkursy współfinansowane z FS - brak wspólnych punktów informacyjnych obsługujących daną grupę beneficjentów,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, poza trudnością z dostępem do profesjonalnej i rzetelnej informacji, znacząco zwiększa koszty informowania o funduszach europejskich.  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Niski poziom sprofilowania informacji nt. funduszy europejskich – działania informacyjne posługują się najczęściej ogólnymi hasłami i nie są ukierunkowane na potrzeby konkretnych grup docelowych lub promocję określonych schematów wsparcia.   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Konsolidacja sieci punktów obsługujących przedsiębiorców, w tym udzielających usług informacyjnych nt. oferty RPO, PO IG, PO KL oraz zagwarantowanie im pełnego wsparcia (przede wszystkim aktualizacji danych/ dokumentów/ wytycznych) ze strony instytucji organizujących konkursy.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eastAsia="Arial Unicode MS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Prowadzenie kampanii informacyjnych zaprojektowanych pod potrzeby konkretnych odbiorców (z uwzględnieniem</w:t>
            </w: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 właściwych kanałów komunikacji), które promują: </w:t>
            </w:r>
          </w:p>
          <w:p w:rsidR="00BD04F3" w:rsidRPr="008729E4" w:rsidRDefault="00BD04F3" w:rsidP="00BD04F3">
            <w:pPr>
              <w:numPr>
                <w:ilvl w:val="0"/>
                <w:numId w:val="12"/>
              </w:numPr>
              <w:suppressAutoHyphens/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udział w konkursach uznanych za priorytetowe bądź, takich które cieszą się małym zainteresowaniem  (np. działania ukierunkowane na rozwój </w:t>
            </w:r>
            <w:proofErr w:type="spellStart"/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klastrów</w:t>
            </w:r>
            <w:proofErr w:type="spellEnd"/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  <w:p w:rsidR="00BD04F3" w:rsidRPr="008729E4" w:rsidRDefault="00BD04F3" w:rsidP="00BD04F3">
            <w:pPr>
              <w:numPr>
                <w:ilvl w:val="0"/>
                <w:numId w:val="12"/>
              </w:numPr>
              <w:suppressAutoHyphens/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ofertę stworzoną dla konkretnych grup docelowych, dostępną dzięki współfinansowaniu europejskiemu (np. fundusze pożyczkowe/ </w:t>
            </w:r>
            <w:proofErr w:type="spellStart"/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poręczeniowe</w:t>
            </w:r>
            <w:proofErr w:type="spellEnd"/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, parki technologiczne).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4F3" w:rsidRPr="008729E4" w:rsidTr="0056387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  <w:r w:rsidRPr="008729E4">
              <w:rPr>
                <w:rFonts w:ascii="Arial" w:hAnsi="Arial" w:cs="Arial"/>
                <w:sz w:val="20"/>
                <w:szCs w:val="20"/>
              </w:rPr>
              <w:t xml:space="preserve">. Zła jakość informacji udzielanej przedsiębiorcom nt.  Regionalnych Programów Operacyjnych, PO Kapitał Ludzki: </w:t>
            </w:r>
          </w:p>
          <w:p w:rsidR="00BD04F3" w:rsidRPr="008729E4" w:rsidRDefault="00BD04F3" w:rsidP="00BD04F3">
            <w:pPr>
              <w:numPr>
                <w:ilvl w:val="0"/>
                <w:numId w:val="13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nieprzejrzysta struktura stron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 (np. brak archiwów tematycznych, dotyczących poszczególnych działań czy etapów oceny projektów)</w:t>
            </w:r>
          </w:p>
          <w:p w:rsidR="00BD04F3" w:rsidRPr="008729E4" w:rsidRDefault="00BD04F3" w:rsidP="00BD04F3">
            <w:pPr>
              <w:numPr>
                <w:ilvl w:val="0"/>
                <w:numId w:val="13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brak aktualizacji informacji na stronach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</w:p>
          <w:p w:rsidR="00BD04F3" w:rsidRPr="008729E4" w:rsidRDefault="00BD04F3" w:rsidP="00BD04F3">
            <w:pPr>
              <w:numPr>
                <w:ilvl w:val="0"/>
                <w:numId w:val="13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przekazywanie informacji niepełnych lub ograniczonych do </w:t>
            </w: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>wskazania dokumentów formalnych (np. Szczegółowy Opis Priorytetów)</w:t>
            </w:r>
          </w:p>
          <w:p w:rsidR="00BD04F3" w:rsidRPr="008729E4" w:rsidRDefault="00BD04F3" w:rsidP="00BD04F3">
            <w:pPr>
              <w:numPr>
                <w:ilvl w:val="0"/>
                <w:numId w:val="13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brak narzędzi praktycznych, np. w postaci FAQ;</w:t>
            </w:r>
          </w:p>
          <w:p w:rsidR="00BD04F3" w:rsidRPr="008729E4" w:rsidRDefault="00BD04F3" w:rsidP="00BD04F3">
            <w:pPr>
              <w:numPr>
                <w:ilvl w:val="0"/>
                <w:numId w:val="13"/>
              </w:num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brak terminowych odpowiedzi na zadawane pytania</w:t>
            </w:r>
          </w:p>
          <w:p w:rsidR="00BD04F3" w:rsidRPr="008729E4" w:rsidRDefault="00BD04F3" w:rsidP="00BD04F3">
            <w:pPr>
              <w:numPr>
                <w:ilvl w:val="0"/>
                <w:numId w:val="13"/>
              </w:numPr>
              <w:suppressAutoHyphens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brak profesjonalnej oferty szkoleniowej dla beneficjentów RPO na poziomie instytucji</w:t>
            </w:r>
            <w:r w:rsidRPr="008729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729E4">
              <w:rPr>
                <w:rFonts w:ascii="Arial" w:hAnsi="Arial" w:cs="Arial"/>
                <w:sz w:val="20"/>
                <w:szCs w:val="20"/>
              </w:rPr>
              <w:t>wdrażających.</w:t>
            </w:r>
            <w:r w:rsidRPr="008729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D04F3" w:rsidRPr="008729E4" w:rsidRDefault="00BD04F3" w:rsidP="00250D28">
            <w:pPr>
              <w:suppressAutoHyphens/>
              <w:spacing w:line="264" w:lineRule="auto"/>
              <w:ind w:left="360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lastRenderedPageBreak/>
              <w:t>Nieprzygotowanie pracowników wybranych instytucji organizujących konkursy do świadczenia usług informacyjnych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Brak uzgodnionych i weryfikowanych narzędzi oceny jakości obsługi klienta. 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Podniesienie jakości działań informacyjnych na poziomie regionalnym poprzez:</w:t>
            </w:r>
          </w:p>
          <w:p w:rsidR="00BD04F3" w:rsidRPr="008729E4" w:rsidRDefault="00BD04F3" w:rsidP="00BD04F3">
            <w:pPr>
              <w:numPr>
                <w:ilvl w:val="0"/>
                <w:numId w:val="14"/>
              </w:numPr>
              <w:tabs>
                <w:tab w:val="num" w:pos="290"/>
              </w:tabs>
              <w:suppressAutoHyphens/>
              <w:spacing w:line="264" w:lineRule="auto"/>
              <w:ind w:left="290" w:hanging="180"/>
              <w:rPr>
                <w:rFonts w:ascii="Arial" w:eastAsia="Arial Unicode MS" w:hAnsi="Arial" w:cs="Arial"/>
                <w:sz w:val="20"/>
                <w:szCs w:val="20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specjalistyczne szkolenia pracowników instytucji organizujących konkursy</w:t>
            </w:r>
          </w:p>
          <w:p w:rsidR="00BD04F3" w:rsidRPr="008729E4" w:rsidRDefault="00BD04F3" w:rsidP="00BD04F3">
            <w:pPr>
              <w:numPr>
                <w:ilvl w:val="0"/>
                <w:numId w:val="14"/>
              </w:numPr>
              <w:tabs>
                <w:tab w:val="num" w:pos="290"/>
              </w:tabs>
              <w:suppressAutoHyphens/>
              <w:spacing w:line="264" w:lineRule="auto"/>
              <w:ind w:left="290" w:hanging="180"/>
              <w:rPr>
                <w:rFonts w:ascii="Arial" w:eastAsia="Arial Unicode MS" w:hAnsi="Arial" w:cs="Arial"/>
                <w:sz w:val="20"/>
                <w:szCs w:val="20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korzystanie z zewnętrznych podwykonawców lub wyspecjalizowanych pracowników w zakresie usług informacyjnych (np. audyty stron </w:t>
            </w:r>
            <w:proofErr w:type="spellStart"/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www</w:t>
            </w:r>
            <w:proofErr w:type="spellEnd"/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, budowanie komunikatów)</w:t>
            </w:r>
          </w:p>
          <w:p w:rsidR="00BD04F3" w:rsidRPr="008729E4" w:rsidRDefault="00BD04F3" w:rsidP="00BD04F3">
            <w:pPr>
              <w:numPr>
                <w:ilvl w:val="0"/>
                <w:numId w:val="14"/>
              </w:numPr>
              <w:tabs>
                <w:tab w:val="num" w:pos="290"/>
              </w:tabs>
              <w:suppressAutoHyphens/>
              <w:spacing w:line="264" w:lineRule="auto"/>
              <w:ind w:left="290" w:hanging="180"/>
              <w:rPr>
                <w:rFonts w:ascii="Arial" w:eastAsia="Arial Unicode MS" w:hAnsi="Arial" w:cs="Arial"/>
                <w:sz w:val="20"/>
                <w:szCs w:val="20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badanie poziomu satysfakcji użytkowników narzędzi informacyjnych</w:t>
            </w:r>
          </w:p>
          <w:p w:rsidR="00BD04F3" w:rsidRPr="008729E4" w:rsidRDefault="00BD04F3" w:rsidP="00BD04F3">
            <w:pPr>
              <w:numPr>
                <w:ilvl w:val="0"/>
                <w:numId w:val="14"/>
              </w:numPr>
              <w:tabs>
                <w:tab w:val="num" w:pos="290"/>
              </w:tabs>
              <w:suppressAutoHyphens/>
              <w:spacing w:line="264" w:lineRule="auto"/>
              <w:ind w:left="290" w:hanging="180"/>
              <w:rPr>
                <w:rFonts w:ascii="Arial" w:eastAsia="Arial Unicode MS" w:hAnsi="Arial" w:cs="Arial"/>
                <w:sz w:val="20"/>
                <w:szCs w:val="20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>uruchamianie specjalnych serwisów informacyjnych w trakcie ogłoszonych naborów (najczęściej zadawane pytania)</w:t>
            </w:r>
          </w:p>
          <w:p w:rsidR="00BD04F3" w:rsidRPr="008729E4" w:rsidRDefault="00BD04F3" w:rsidP="00BD04F3">
            <w:pPr>
              <w:numPr>
                <w:ilvl w:val="0"/>
                <w:numId w:val="14"/>
              </w:numPr>
              <w:tabs>
                <w:tab w:val="num" w:pos="290"/>
              </w:tabs>
              <w:suppressAutoHyphens/>
              <w:spacing w:line="264" w:lineRule="auto"/>
              <w:ind w:left="290" w:hanging="180"/>
              <w:rPr>
                <w:rFonts w:ascii="Arial" w:eastAsia="Arial Unicode MS" w:hAnsi="Arial" w:cs="Arial"/>
                <w:sz w:val="20"/>
                <w:szCs w:val="20"/>
              </w:rPr>
            </w:pPr>
            <w:r w:rsidRPr="008729E4">
              <w:rPr>
                <w:rFonts w:ascii="Arial" w:eastAsia="Arial Unicode MS" w:hAnsi="Arial" w:cs="Arial"/>
                <w:sz w:val="20"/>
                <w:szCs w:val="20"/>
              </w:rPr>
              <w:t xml:space="preserve">opracowanie standardowych narzędzi informacyjnych takich jak: przewodniki po </w:t>
            </w:r>
            <w:r w:rsidRPr="008729E4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kryteriach wyboru projektów czy zasady wdrażania projektów (dobra praktyka PO IG, PO KL).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D04F3" w:rsidRPr="008729E4" w:rsidTr="00BD04F3">
        <w:tc>
          <w:tcPr>
            <w:tcW w:w="1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before="120" w:after="120" w:line="264" w:lineRule="auto"/>
              <w:rPr>
                <w:rFonts w:ascii="Arial" w:eastAsia="Arial Unicode MS" w:hAnsi="Arial" w:cs="Arial"/>
                <w:b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b/>
                <w:sz w:val="20"/>
                <w:szCs w:val="20"/>
              </w:rPr>
              <w:lastRenderedPageBreak/>
              <w:t>PARTNERSTWO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uppressAutoHyphens/>
              <w:spacing w:before="120" w:after="12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4F3" w:rsidRPr="008729E4" w:rsidTr="0056387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  <w:r w:rsidRPr="008729E4">
              <w:rPr>
                <w:rFonts w:ascii="Arial" w:hAnsi="Arial" w:cs="Arial"/>
                <w:sz w:val="20"/>
                <w:szCs w:val="20"/>
              </w:rPr>
              <w:t xml:space="preserve">. Niska jakość partnerstwa na poziomie programowania i wdrażania. 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Ograniczony wpływ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interesariuszy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 na kształt programów i zasady ich wdrażania.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Ograniczanie liczby miejsc strony pozarządowej w Komitetach Monitorujących (np. KM PO </w:t>
            </w:r>
            <w:proofErr w:type="spellStart"/>
            <w:r w:rsidRPr="008729E4">
              <w:rPr>
                <w:rFonts w:ascii="Arial" w:hAnsi="Arial" w:cs="Arial"/>
                <w:sz w:val="20"/>
                <w:szCs w:val="20"/>
              </w:rPr>
              <w:t>IiŚ</w:t>
            </w:r>
            <w:proofErr w:type="spellEnd"/>
            <w:r w:rsidRPr="008729E4">
              <w:rPr>
                <w:rFonts w:ascii="Arial" w:hAnsi="Arial" w:cs="Arial"/>
                <w:sz w:val="20"/>
                <w:szCs w:val="20"/>
              </w:rPr>
              <w:t xml:space="preserve">, KM RPO). 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Brak równowagi pomiędzy przedstawicielami administracji i sektora pozarządowego w Komitetach Monitorujących.</w:t>
            </w:r>
          </w:p>
          <w:p w:rsidR="00BD04F3" w:rsidRPr="008729E4" w:rsidRDefault="00BD04F3" w:rsidP="00250D28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Zrutynizowane konsultacje społeczne, traktowane jako konieczność, wynikającą z przepisów unijnych, a nie element, który może podnieść jakość zarządzania programami.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Zrównoważenie składu Komitetów Monitorujących, tak aby strona instytucjonalna, której praca podlega monitoringowi, nie miała automatycznej większości. 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>Włączenie beneficjentów/ przedstawicieli beneficjentów w proces zarządzania programami operacyjnymi (dobra praktyka: Zespół ds. uproszczeń MRR).</w:t>
            </w:r>
          </w:p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8729E4">
              <w:rPr>
                <w:rFonts w:ascii="Arial" w:hAnsi="Arial" w:cs="Arial"/>
                <w:sz w:val="20"/>
                <w:szCs w:val="20"/>
              </w:rPr>
              <w:t xml:space="preserve">Szkolenia dla urzędników z zakresu dialogu społecznego i obywatelskiego, zasad dobrego rządzenia i kompetencji komunikacyjnych. </w:t>
            </w:r>
          </w:p>
          <w:p w:rsidR="00BD04F3" w:rsidRPr="008729E4" w:rsidRDefault="00BD04F3" w:rsidP="00250D28">
            <w:pPr>
              <w:suppressAutoHyphens/>
              <w:spacing w:line="264" w:lineRule="auto"/>
              <w:rPr>
                <w:rFonts w:ascii="Arial" w:eastAsia="Arial Unicode MS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F3" w:rsidRPr="008729E4" w:rsidRDefault="00BD04F3" w:rsidP="00BD04F3">
            <w:pPr>
              <w:numPr>
                <w:ilvl w:val="1"/>
                <w:numId w:val="1"/>
              </w:numPr>
              <w:tabs>
                <w:tab w:val="num" w:pos="290"/>
              </w:tabs>
              <w:suppressAutoHyphens/>
              <w:spacing w:line="264" w:lineRule="auto"/>
              <w:ind w:left="2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04F3" w:rsidRPr="008729E4" w:rsidRDefault="00BD04F3" w:rsidP="00BD04F3">
      <w:pPr>
        <w:rPr>
          <w:rFonts w:ascii="Arial" w:hAnsi="Arial" w:cs="Arial"/>
          <w:sz w:val="20"/>
          <w:szCs w:val="20"/>
          <w:lang w:eastAsia="ar-SA"/>
        </w:rPr>
      </w:pPr>
    </w:p>
    <w:p w:rsidR="0050137B" w:rsidRDefault="0050137B"/>
    <w:sectPr w:rsidR="0050137B" w:rsidSect="00BD04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EGMFGB+Arial,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832"/>
    <w:multiLevelType w:val="hybridMultilevel"/>
    <w:tmpl w:val="18C215F4"/>
    <w:lvl w:ilvl="0" w:tplc="F74A74A0">
      <w:start w:val="1"/>
      <w:numFmt w:val="bullet"/>
      <w:lvlText w:val="-"/>
      <w:lvlJc w:val="left"/>
      <w:pPr>
        <w:tabs>
          <w:tab w:val="num" w:pos="-70"/>
        </w:tabs>
        <w:ind w:left="65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097BED"/>
    <w:multiLevelType w:val="hybridMultilevel"/>
    <w:tmpl w:val="177AF17C"/>
    <w:lvl w:ilvl="0" w:tplc="05B4481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GMFGB+Arial,BoldItalic" w:eastAsia="Consolas" w:hAnsi="EGMFGB+Arial,BoldItalic" w:cs="Consolas" w:hint="default"/>
        <w:color w:val="auto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975C9"/>
    <w:multiLevelType w:val="hybridMultilevel"/>
    <w:tmpl w:val="CBEA5B1C"/>
    <w:lvl w:ilvl="0" w:tplc="05B4481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GMFGB+Arial,BoldItalic" w:eastAsia="Times New Roman" w:hAnsi="EGMFGB+Arial,BoldItalic" w:cs="Times New Roman" w:hint="default"/>
        <w:color w:val="auto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76B2D"/>
    <w:multiLevelType w:val="hybridMultilevel"/>
    <w:tmpl w:val="A02EB478"/>
    <w:lvl w:ilvl="0" w:tplc="05B4481E">
      <w:start w:val="14"/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EGMFGB+Arial,BoldItalic" w:eastAsia="Consolas" w:hAnsi="EGMFGB+Arial,BoldItalic" w:cs="Consolas" w:hint="default"/>
      </w:rPr>
    </w:lvl>
    <w:lvl w:ilvl="1" w:tplc="60CA7FD8">
      <w:start w:val="1"/>
      <w:numFmt w:val="bullet"/>
      <w:lvlText w:val="•"/>
      <w:lvlJc w:val="left"/>
      <w:pPr>
        <w:tabs>
          <w:tab w:val="num" w:pos="1550"/>
        </w:tabs>
        <w:ind w:left="1550" w:hanging="360"/>
      </w:pPr>
      <w:rPr>
        <w:rFonts w:ascii="Trebuchet MS" w:hAnsi="Trebuchet M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D2A5D"/>
    <w:multiLevelType w:val="hybridMultilevel"/>
    <w:tmpl w:val="B4F6D958"/>
    <w:lvl w:ilvl="0" w:tplc="05B4481E">
      <w:start w:val="1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EGMFGB+Arial,BoldItalic" w:eastAsia="Consolas" w:hAnsi="EGMFGB+Arial,BoldItalic" w:cs="Consola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9F70B5"/>
    <w:multiLevelType w:val="hybridMultilevel"/>
    <w:tmpl w:val="4AC4B574"/>
    <w:lvl w:ilvl="0" w:tplc="05B4481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GMFGB+Arial,BoldItalic" w:eastAsia="Consolas" w:hAnsi="EGMFGB+Arial,BoldItalic" w:cs="Consola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13E5F"/>
    <w:multiLevelType w:val="hybridMultilevel"/>
    <w:tmpl w:val="F404034C"/>
    <w:lvl w:ilvl="0" w:tplc="05B4481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GMFGB+Arial,BoldItalic" w:eastAsia="Consolas" w:hAnsi="EGMFGB+Arial,BoldItalic" w:cs="Consola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C5C36"/>
    <w:multiLevelType w:val="hybridMultilevel"/>
    <w:tmpl w:val="AD286912"/>
    <w:lvl w:ilvl="0" w:tplc="05B4481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GMFGB+Arial,BoldItalic" w:eastAsia="Times New Roman" w:hAnsi="EGMFGB+Arial,BoldItalic" w:cs="Times New Roman" w:hint="default"/>
        <w:color w:val="auto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208AF"/>
    <w:multiLevelType w:val="hybridMultilevel"/>
    <w:tmpl w:val="CA129F18"/>
    <w:lvl w:ilvl="0" w:tplc="05B4481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GMFGB+Arial,BoldItalic" w:eastAsia="Consolas" w:hAnsi="EGMFGB+Arial,BoldItalic" w:cs="Consola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273C13"/>
    <w:multiLevelType w:val="hybridMultilevel"/>
    <w:tmpl w:val="ECE4844A"/>
    <w:lvl w:ilvl="0" w:tplc="779AE3E0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E61A1D"/>
    <w:multiLevelType w:val="hybridMultilevel"/>
    <w:tmpl w:val="FE36FF50"/>
    <w:lvl w:ilvl="0" w:tplc="05B4481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GMFGB+Arial,BoldItalic" w:eastAsia="Consolas" w:hAnsi="EGMFGB+Arial,BoldItalic" w:cs="Consola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292E44"/>
    <w:multiLevelType w:val="hybridMultilevel"/>
    <w:tmpl w:val="64FCA5C4"/>
    <w:lvl w:ilvl="0" w:tplc="05B4481E">
      <w:start w:val="1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EGMFGB+Arial,BoldItalic" w:eastAsia="Consolas" w:hAnsi="EGMFGB+Arial,BoldItalic" w:cs="Consola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6395E"/>
    <w:multiLevelType w:val="hybridMultilevel"/>
    <w:tmpl w:val="FFAC307C"/>
    <w:lvl w:ilvl="0" w:tplc="05B4481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GMFGB+Arial,BoldItalic" w:eastAsia="Consolas" w:hAnsi="EGMFGB+Arial,BoldItalic" w:cs="Consola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F568D0"/>
    <w:multiLevelType w:val="hybridMultilevel"/>
    <w:tmpl w:val="661E1C50"/>
    <w:lvl w:ilvl="0" w:tplc="05B4481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GMFGB+Arial,BoldItalic" w:eastAsia="Times New Roman" w:hAnsi="EGMFGB+Arial,BoldItalic" w:cs="Times New Roman" w:hint="default"/>
        <w:color w:val="auto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compat/>
  <w:rsids>
    <w:rsidRoot w:val="00BD04F3"/>
    <w:rsid w:val="00267014"/>
    <w:rsid w:val="003E05AD"/>
    <w:rsid w:val="0050137B"/>
    <w:rsid w:val="00563878"/>
    <w:rsid w:val="00A33496"/>
    <w:rsid w:val="00A845FB"/>
    <w:rsid w:val="00BD04F3"/>
    <w:rsid w:val="00EE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15</Pages>
  <Words>4972</Words>
  <Characters>29835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ldyba</dc:creator>
  <cp:keywords/>
  <dc:description/>
  <cp:lastModifiedBy>ldyba</cp:lastModifiedBy>
  <cp:revision>4</cp:revision>
  <dcterms:created xsi:type="dcterms:W3CDTF">2013-01-17T15:24:00Z</dcterms:created>
  <dcterms:modified xsi:type="dcterms:W3CDTF">2013-01-22T10:23:00Z</dcterms:modified>
</cp:coreProperties>
</file>