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20" w:rsidRPr="00CB29E8" w:rsidRDefault="00EB2120" w:rsidP="00B84B3D">
      <w:pPr>
        <w:pStyle w:val="STANDARDOWY"/>
        <w:jc w:val="center"/>
        <w:rPr>
          <w:b/>
          <w:sz w:val="24"/>
        </w:rPr>
      </w:pPr>
      <w:r w:rsidRPr="00CB29E8">
        <w:rPr>
          <w:b/>
          <w:sz w:val="24"/>
        </w:rPr>
        <w:t>Uzasadnienie</w:t>
      </w:r>
    </w:p>
    <w:p w:rsidR="00EB2120" w:rsidRPr="00CB29E8" w:rsidRDefault="00EB2120" w:rsidP="00B84B3D">
      <w:pPr>
        <w:pStyle w:val="STANDARDOWY"/>
        <w:rPr>
          <w:sz w:val="24"/>
        </w:rPr>
      </w:pPr>
    </w:p>
    <w:p w:rsidR="00EB2120" w:rsidRDefault="00EB2120" w:rsidP="00B84B3D">
      <w:pPr>
        <w:pStyle w:val="STANDARDOWY"/>
        <w:rPr>
          <w:sz w:val="24"/>
        </w:rPr>
      </w:pPr>
      <w:r w:rsidRPr="00CB29E8">
        <w:rPr>
          <w:sz w:val="24"/>
        </w:rPr>
        <w:t xml:space="preserve">W związku z istniejącym światowym kryzysem gospodarczym, którego skutki zaczęła odczuwać również gospodarka polska, Premier w swoim expose zwrócił uwagę na konieczność szukania oszczędności oraz zwiększenie dyscypliny finansowej. Jako jedno ze źródeł rosnącego zadłużenia państwa wskazał deficytowy fundusz rentowy. Źródłem powiększającego się deficytu w tym obszarze jest dokonane w 2007 r. zmniejszenie składki na ubezpieczenie rentowe z 13 % do 6 %, które spowodowało </w:t>
      </w:r>
      <w:r>
        <w:rPr>
          <w:sz w:val="24"/>
        </w:rPr>
        <w:t xml:space="preserve">niedobór </w:t>
      </w:r>
      <w:r w:rsidRPr="00CB29E8">
        <w:rPr>
          <w:sz w:val="24"/>
        </w:rPr>
        <w:t xml:space="preserve">w systemie rentowym. </w:t>
      </w:r>
    </w:p>
    <w:p w:rsidR="00EB2120" w:rsidRDefault="00EB2120" w:rsidP="00B84B3D">
      <w:pPr>
        <w:pStyle w:val="STANDARDOWY"/>
        <w:rPr>
          <w:sz w:val="24"/>
        </w:rPr>
      </w:pPr>
      <w:r w:rsidRPr="00CB29E8">
        <w:rPr>
          <w:sz w:val="24"/>
        </w:rPr>
        <w:t xml:space="preserve">Zgodnie z szacunkami wynikającymi z </w:t>
      </w:r>
      <w:r>
        <w:rPr>
          <w:sz w:val="24"/>
        </w:rPr>
        <w:t xml:space="preserve">projektu </w:t>
      </w:r>
      <w:r w:rsidRPr="00CB29E8">
        <w:rPr>
          <w:sz w:val="24"/>
        </w:rPr>
        <w:t>ustawy budżetowej na 2012 r. kwota deficytu w tym funduszu</w:t>
      </w:r>
      <w:r>
        <w:rPr>
          <w:sz w:val="24"/>
        </w:rPr>
        <w:t xml:space="preserve">, w przypadku pozostawienia składki na dotychczasowym poziomie, </w:t>
      </w:r>
      <w:r w:rsidRPr="00CB29E8">
        <w:rPr>
          <w:sz w:val="24"/>
        </w:rPr>
        <w:t>oscylowała</w:t>
      </w:r>
      <w:r>
        <w:rPr>
          <w:sz w:val="24"/>
        </w:rPr>
        <w:t>by</w:t>
      </w:r>
      <w:r w:rsidRPr="00CB29E8">
        <w:rPr>
          <w:sz w:val="24"/>
        </w:rPr>
        <w:t xml:space="preserve"> w granicach 16 mld zł. To spowodowało, że w pierwszej kolejności rząd postanowił szukać możliwości zmniejszenia deficytu i oszczędności właśnie w tym obszarze. </w:t>
      </w:r>
      <w:r>
        <w:rPr>
          <w:sz w:val="24"/>
        </w:rPr>
        <w:t>Realizując powyższe zamierzenie, przygotowano</w:t>
      </w:r>
      <w:r w:rsidRPr="00CB29E8">
        <w:rPr>
          <w:sz w:val="24"/>
        </w:rPr>
        <w:t xml:space="preserve"> projekt zawiera</w:t>
      </w:r>
      <w:r>
        <w:rPr>
          <w:sz w:val="24"/>
        </w:rPr>
        <w:t>jący</w:t>
      </w:r>
      <w:r w:rsidRPr="00CB29E8">
        <w:rPr>
          <w:sz w:val="24"/>
        </w:rPr>
        <w:t xml:space="preserve"> propozycję podniesienia składki rentowej o 2 punkty procentowe po stronie pracodawców. Na skutek tej zmiany składka na ubezpieczenie rentowe wzrośnie z 6% do 8% i będzie kształtowała się na poziomie 1,5 % po stronie ubezpieczonego i 6,5 % po stronie płatnika składek. W przypadku pracodawców oznacza to powrót do wcześniejszych uregulowań. </w:t>
      </w:r>
    </w:p>
    <w:p w:rsidR="00EB2120" w:rsidRPr="00CB29E8" w:rsidRDefault="00EB2120" w:rsidP="00B84B3D">
      <w:pPr>
        <w:pStyle w:val="STANDARDOWY"/>
        <w:rPr>
          <w:sz w:val="24"/>
        </w:rPr>
      </w:pPr>
      <w:r w:rsidRPr="00CB29E8">
        <w:rPr>
          <w:sz w:val="24"/>
        </w:rPr>
        <w:t xml:space="preserve">Ta zmiana pozwoli ograniczyć deficyt Funduszu Ubezpieczeń Społecznych </w:t>
      </w:r>
      <w:r>
        <w:rPr>
          <w:sz w:val="24"/>
        </w:rPr>
        <w:t>w zakresie funduszu rentowego o około 6,5 mld w skali roku oraz zwiększyć pokrycie wydatków funduszu rentowego wpływami ze składek z niewiele ponad 60 % do blisko 80 % w 2012 r., a w perspektywie wieloletniej powinno doprowadzić do zbilansowania się wpływów i wydatków funduszu rentowego.</w:t>
      </w:r>
    </w:p>
    <w:p w:rsidR="00EB2120" w:rsidRDefault="00EB2120" w:rsidP="00B84B3D"/>
    <w:p w:rsidR="00EB2120" w:rsidRDefault="00EB2120" w:rsidP="0071595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957">
        <w:rPr>
          <w:rFonts w:ascii="Times New Roman" w:hAnsi="Times New Roman"/>
          <w:sz w:val="24"/>
          <w:szCs w:val="24"/>
        </w:rPr>
        <w:t xml:space="preserve">W ocenie projektodawcy </w:t>
      </w:r>
      <w:r>
        <w:rPr>
          <w:rFonts w:ascii="Times New Roman" w:hAnsi="Times New Roman"/>
          <w:sz w:val="24"/>
          <w:szCs w:val="24"/>
        </w:rPr>
        <w:t xml:space="preserve">przedmiot projektowanej regulacji </w:t>
      </w:r>
      <w:r w:rsidRPr="00715957">
        <w:rPr>
          <w:rFonts w:ascii="Times New Roman" w:hAnsi="Times New Roman"/>
          <w:sz w:val="24"/>
          <w:szCs w:val="24"/>
        </w:rPr>
        <w:t>nie jest objęt</w:t>
      </w:r>
      <w:r>
        <w:rPr>
          <w:rFonts w:ascii="Times New Roman" w:hAnsi="Times New Roman"/>
          <w:sz w:val="24"/>
          <w:szCs w:val="24"/>
        </w:rPr>
        <w:t>y</w:t>
      </w:r>
      <w:r w:rsidRPr="00715957">
        <w:rPr>
          <w:rFonts w:ascii="Times New Roman" w:hAnsi="Times New Roman"/>
          <w:sz w:val="24"/>
          <w:szCs w:val="24"/>
        </w:rPr>
        <w:t xml:space="preserve"> zakresem prawa Unii Europejskiej </w:t>
      </w:r>
      <w:r>
        <w:rPr>
          <w:rFonts w:ascii="Times New Roman" w:hAnsi="Times New Roman"/>
          <w:sz w:val="24"/>
          <w:szCs w:val="24"/>
        </w:rPr>
        <w:t>i nie podlega procedurze notyfikacji w rozumieniu przepisów dotyczących notyfikacji norm i aktów prawnych.</w:t>
      </w:r>
    </w:p>
    <w:p w:rsidR="00EB2120" w:rsidRDefault="00EB2120" w:rsidP="00715957">
      <w:pPr>
        <w:pStyle w:val="BodyText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2120" w:rsidRPr="00715957" w:rsidRDefault="00EB2120" w:rsidP="00715957">
      <w:pPr>
        <w:pStyle w:val="BodyText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957">
        <w:rPr>
          <w:rFonts w:ascii="Times New Roman" w:hAnsi="Times New Roman"/>
          <w:sz w:val="24"/>
          <w:szCs w:val="24"/>
        </w:rPr>
        <w:t>Zgodnie z art. 5 ustawy z dnia 7 lipca 2005 r. o działalności lobbingowej w procesie stanowienia prawa (Dz. U. Nr 169, poz. 1414</w:t>
      </w:r>
      <w:r>
        <w:rPr>
          <w:rFonts w:ascii="Times New Roman" w:hAnsi="Times New Roman"/>
          <w:sz w:val="24"/>
          <w:szCs w:val="24"/>
        </w:rPr>
        <w:t>,</w:t>
      </w:r>
      <w:r w:rsidRPr="00715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późn. zm.</w:t>
      </w:r>
      <w:r w:rsidRPr="00715957">
        <w:rPr>
          <w:rFonts w:ascii="Times New Roman" w:hAnsi="Times New Roman"/>
          <w:sz w:val="24"/>
          <w:szCs w:val="24"/>
        </w:rPr>
        <w:t>) projekt zosta</w:t>
      </w:r>
      <w:r>
        <w:rPr>
          <w:rFonts w:ascii="Times New Roman" w:hAnsi="Times New Roman"/>
          <w:sz w:val="24"/>
          <w:szCs w:val="24"/>
        </w:rPr>
        <w:t>ł</w:t>
      </w:r>
      <w:r w:rsidRPr="00715957">
        <w:rPr>
          <w:rFonts w:ascii="Times New Roman" w:hAnsi="Times New Roman"/>
          <w:sz w:val="24"/>
          <w:szCs w:val="24"/>
        </w:rPr>
        <w:t xml:space="preserve"> zamieszczony w Biuletynie Informacji Publicznej Ministerstwa Pracy i Polityki Społecznej.</w:t>
      </w:r>
    </w:p>
    <w:p w:rsidR="00EB2120" w:rsidRDefault="00EB2120" w:rsidP="00B84B3D"/>
    <w:p w:rsidR="00EB2120" w:rsidRDefault="00EB2120" w:rsidP="00B84B3D"/>
    <w:p w:rsidR="00EB2120" w:rsidRPr="00CC7A7B" w:rsidRDefault="00EB2120" w:rsidP="00CC7A7B">
      <w:pPr>
        <w:spacing w:after="0" w:line="360" w:lineRule="auto"/>
        <w:ind w:left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7A7B">
        <w:rPr>
          <w:rFonts w:ascii="Times New Roman" w:hAnsi="Times New Roman"/>
          <w:b/>
          <w:bCs/>
          <w:sz w:val="24"/>
          <w:szCs w:val="24"/>
        </w:rPr>
        <w:t>OCENA SKUTKÓW REGULACJI</w:t>
      </w:r>
    </w:p>
    <w:p w:rsidR="00EB2120" w:rsidRPr="00CC7A7B" w:rsidRDefault="00EB2120" w:rsidP="00CC7A7B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2120" w:rsidRPr="00CC7A7B" w:rsidRDefault="00EB2120" w:rsidP="00F23096">
      <w:pPr>
        <w:pStyle w:val="BodyTextInden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C7A7B">
        <w:rPr>
          <w:rFonts w:ascii="Times New Roman" w:hAnsi="Times New Roman"/>
          <w:b/>
          <w:sz w:val="24"/>
          <w:szCs w:val="24"/>
        </w:rPr>
        <w:t xml:space="preserve">1. </w:t>
      </w:r>
      <w:r w:rsidRPr="00CC7A7B">
        <w:rPr>
          <w:rFonts w:ascii="Times New Roman" w:hAnsi="Times New Roman"/>
          <w:b/>
          <w:sz w:val="24"/>
          <w:szCs w:val="24"/>
        </w:rPr>
        <w:tab/>
        <w:t>Podmioty, na które oddziałuje projektowana ustawa</w:t>
      </w:r>
    </w:p>
    <w:p w:rsidR="00EB2120" w:rsidRPr="00CC7A7B" w:rsidRDefault="00EB2120" w:rsidP="00CC7A7B">
      <w:pPr>
        <w:pStyle w:val="BodyTextIndent"/>
        <w:spacing w:after="0" w:line="360" w:lineRule="auto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>Rozwiązania przedstawione w ustawie będą miały wpływ na:</w:t>
      </w:r>
    </w:p>
    <w:p w:rsidR="00EB2120" w:rsidRPr="00CC7A7B" w:rsidRDefault="00EB2120" w:rsidP="00CC7A7B">
      <w:pPr>
        <w:pStyle w:val="BodyTextInden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budżet państwa,</w:t>
      </w:r>
    </w:p>
    <w:p w:rsidR="00EB2120" w:rsidRDefault="00EB2120" w:rsidP="00CC7A7B">
      <w:pPr>
        <w:pStyle w:val="BodyTextInden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undusz </w:t>
      </w:r>
      <w:r w:rsidRPr="00CC7A7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bezpieczeń </w:t>
      </w:r>
      <w:r w:rsidRPr="00CC7A7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połecznych,</w:t>
      </w:r>
    </w:p>
    <w:p w:rsidR="00EB2120" w:rsidRPr="00CC7A7B" w:rsidRDefault="00EB2120" w:rsidP="00CC7A7B">
      <w:pPr>
        <w:pStyle w:val="BodyTextInden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Ubezpieczeń Społecznych,</w:t>
      </w:r>
    </w:p>
    <w:p w:rsidR="00EB2120" w:rsidRPr="00CC7A7B" w:rsidRDefault="00EB2120" w:rsidP="00CC7A7B">
      <w:pPr>
        <w:pStyle w:val="BodyTextInden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płatników składek - </w:t>
      </w:r>
      <w:r w:rsidRPr="00CC7A7B">
        <w:rPr>
          <w:rFonts w:ascii="Times New Roman" w:hAnsi="Times New Roman"/>
          <w:sz w:val="24"/>
          <w:szCs w:val="24"/>
        </w:rPr>
        <w:t>podmioty gospodarcze zatrudniające pracowników oraz na osoby prowadzące działalność gospodarczą.</w:t>
      </w:r>
    </w:p>
    <w:p w:rsidR="00EB2120" w:rsidRDefault="00EB2120" w:rsidP="00CC7A7B">
      <w:pPr>
        <w:pStyle w:val="BodyTextIndent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B2120" w:rsidRPr="002822BC" w:rsidRDefault="00EB2120" w:rsidP="0024065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2BC">
        <w:rPr>
          <w:rFonts w:ascii="Times New Roman" w:hAnsi="Times New Roman"/>
          <w:b/>
          <w:sz w:val="24"/>
          <w:szCs w:val="24"/>
        </w:rPr>
        <w:t>2. Zakres konsultacji społecznych: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>Lista partnerów społecznych, którym projekt aktu prawnego zosta</w:t>
      </w:r>
      <w:r>
        <w:rPr>
          <w:bCs/>
        </w:rPr>
        <w:t>ł</w:t>
      </w:r>
      <w:r w:rsidRPr="002822BC">
        <w:rPr>
          <w:bCs/>
        </w:rPr>
        <w:t xml:space="preserve"> przesłany do zaopiniowania: </w:t>
      </w:r>
    </w:p>
    <w:p w:rsidR="00EB2120" w:rsidRPr="002822BC" w:rsidRDefault="00EB2120" w:rsidP="0024065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2120" w:rsidRPr="002822BC" w:rsidRDefault="00EB2120" w:rsidP="00240659">
      <w:pPr>
        <w:pStyle w:val="BodyText"/>
        <w:spacing w:line="360" w:lineRule="auto"/>
        <w:jc w:val="both"/>
        <w:rPr>
          <w:i/>
          <w:iCs/>
        </w:rPr>
      </w:pPr>
      <w:r w:rsidRPr="002822BC">
        <w:rPr>
          <w:bCs/>
          <w:i/>
          <w:iCs/>
        </w:rPr>
        <w:t>Organizacje  związkowe: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>1) NSZZ „Solidarność”, ul. Wały Piastowskie 24, 80-855 Gdańsk;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 xml:space="preserve">2) Ogólnopolskie Porozumienie Związków Zawodowych, ul. Kopernika 36/40, </w:t>
      </w:r>
    </w:p>
    <w:p w:rsidR="00EB2120" w:rsidRPr="002822BC" w:rsidRDefault="00EB2120" w:rsidP="00240659">
      <w:pPr>
        <w:pStyle w:val="BodyText"/>
        <w:spacing w:line="360" w:lineRule="auto"/>
        <w:ind w:firstLine="360"/>
        <w:jc w:val="both"/>
        <w:rPr>
          <w:b/>
          <w:bCs/>
        </w:rPr>
      </w:pPr>
      <w:r w:rsidRPr="002822BC">
        <w:rPr>
          <w:bCs/>
        </w:rPr>
        <w:t>00-924 Warszawa;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>3) Forum Związków Zawodowych, ul. Pl. Teatralny 4, 85-049 Bydgoszcz.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  <w:i/>
          <w:iCs/>
        </w:rPr>
      </w:pPr>
      <w:r w:rsidRPr="002822BC">
        <w:rPr>
          <w:bCs/>
          <w:i/>
          <w:iCs/>
        </w:rPr>
        <w:t>Organizacje pracodawców: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>1) Pracodawcy Rzeczypospolitej Polskiej, ul. Brukselska 7, 03-973 Warszawa;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>2) Polska Konfederacja Pracodawców Prywatnych Lewiatan, ul. Klonowa 6,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 xml:space="preserve">    00-591 Warszawa;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>3) Związek Rzemiosła Polskiego, ul. Miodowa 14, 00-246 Warszawa;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>4) Krajowa Izba Gospodarcza, ul. Trębacka  4, 00-074 Warszawa;</w:t>
      </w:r>
    </w:p>
    <w:p w:rsidR="00EB2120" w:rsidRPr="002822BC" w:rsidRDefault="00EB2120" w:rsidP="00240659">
      <w:pPr>
        <w:pStyle w:val="BodyText"/>
        <w:spacing w:line="360" w:lineRule="auto"/>
        <w:jc w:val="both"/>
        <w:rPr>
          <w:b/>
          <w:bCs/>
        </w:rPr>
      </w:pPr>
      <w:r w:rsidRPr="002822BC">
        <w:rPr>
          <w:bCs/>
        </w:rPr>
        <w:t xml:space="preserve">5) BCC – Związek Pracodawców, Plac Żelaznej Bramy 2, 00-136 Warszawa. </w:t>
      </w:r>
    </w:p>
    <w:p w:rsidR="00EB2120" w:rsidRDefault="00EB2120" w:rsidP="00F23096">
      <w:pPr>
        <w:pStyle w:val="BodyTextIndent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120" w:rsidRDefault="00EB2120" w:rsidP="00F23096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7A7B">
        <w:rPr>
          <w:rFonts w:ascii="Times New Roman" w:hAnsi="Times New Roman"/>
          <w:b/>
          <w:sz w:val="24"/>
          <w:szCs w:val="24"/>
        </w:rPr>
        <w:t xml:space="preserve">. </w:t>
      </w:r>
      <w:r w:rsidRPr="00CC7A7B">
        <w:rPr>
          <w:rFonts w:ascii="Times New Roman" w:hAnsi="Times New Roman"/>
          <w:b/>
          <w:sz w:val="24"/>
          <w:szCs w:val="24"/>
        </w:rPr>
        <w:tab/>
        <w:t>Wpływ na sektor finansów publicznych, w tym budżet państwa i budżety jednostek samorządu terytorialnego</w:t>
      </w:r>
      <w:r w:rsidRPr="00732514">
        <w:rPr>
          <w:rFonts w:ascii="Times New Roman" w:hAnsi="Times New Roman"/>
          <w:b/>
          <w:sz w:val="24"/>
          <w:szCs w:val="24"/>
        </w:rPr>
        <w:t xml:space="preserve">, rynek pracy, konkurencyjność gospodarki </w:t>
      </w:r>
      <w:r w:rsidRPr="00732514">
        <w:rPr>
          <w:rFonts w:ascii="Times New Roman" w:hAnsi="Times New Roman"/>
          <w:b/>
          <w:sz w:val="24"/>
          <w:szCs w:val="24"/>
        </w:rPr>
        <w:br/>
        <w:t>i przedsiębiorczość, w tym na funkcjonowanie przedsiębiorstw:</w:t>
      </w:r>
    </w:p>
    <w:p w:rsidR="00EB2120" w:rsidRPr="00CC7A7B" w:rsidRDefault="00EB2120" w:rsidP="00732514">
      <w:pPr>
        <w:pStyle w:val="BodyTextInden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B2120" w:rsidRPr="00CC7A7B" w:rsidRDefault="00EB2120" w:rsidP="00F23096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 xml:space="preserve">Zwiększeniu ulegną dochody </w:t>
      </w:r>
      <w:r>
        <w:rPr>
          <w:rFonts w:ascii="Times New Roman" w:hAnsi="Times New Roman"/>
          <w:sz w:val="24"/>
          <w:szCs w:val="24"/>
        </w:rPr>
        <w:t>f</w:t>
      </w:r>
      <w:r w:rsidRPr="00CC7A7B">
        <w:rPr>
          <w:rFonts w:ascii="Times New Roman" w:hAnsi="Times New Roman"/>
          <w:sz w:val="24"/>
          <w:szCs w:val="24"/>
        </w:rPr>
        <w:t xml:space="preserve">unduszu </w:t>
      </w:r>
      <w:r>
        <w:rPr>
          <w:rFonts w:ascii="Times New Roman" w:hAnsi="Times New Roman"/>
          <w:sz w:val="24"/>
          <w:szCs w:val="24"/>
        </w:rPr>
        <w:t>r</w:t>
      </w:r>
      <w:r w:rsidRPr="00CC7A7B">
        <w:rPr>
          <w:rFonts w:ascii="Times New Roman" w:hAnsi="Times New Roman"/>
          <w:sz w:val="24"/>
          <w:szCs w:val="24"/>
        </w:rPr>
        <w:t>entowego F</w:t>
      </w:r>
      <w:r>
        <w:rPr>
          <w:rFonts w:ascii="Times New Roman" w:hAnsi="Times New Roman"/>
          <w:sz w:val="24"/>
          <w:szCs w:val="24"/>
        </w:rPr>
        <w:t xml:space="preserve">unduszu </w:t>
      </w:r>
      <w:r w:rsidRPr="00CC7A7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bezpieczeń </w:t>
      </w:r>
      <w:r w:rsidRPr="00CC7A7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połecznych</w:t>
      </w:r>
      <w:r w:rsidRPr="00CC7A7B">
        <w:rPr>
          <w:rFonts w:ascii="Times New Roman" w:hAnsi="Times New Roman"/>
          <w:sz w:val="24"/>
          <w:szCs w:val="24"/>
        </w:rPr>
        <w:t xml:space="preserve">. Wpływy ze składek do </w:t>
      </w:r>
      <w:r>
        <w:rPr>
          <w:rFonts w:ascii="Times New Roman" w:hAnsi="Times New Roman"/>
          <w:sz w:val="24"/>
          <w:szCs w:val="24"/>
        </w:rPr>
        <w:t>f</w:t>
      </w:r>
      <w:r w:rsidRPr="00CC7A7B">
        <w:rPr>
          <w:rFonts w:ascii="Times New Roman" w:hAnsi="Times New Roman"/>
          <w:sz w:val="24"/>
          <w:szCs w:val="24"/>
        </w:rPr>
        <w:t xml:space="preserve">unduszu rentowego wg projektu ustawy budżetowej na 2012 r. wyniosą 26,18 mld zł, przy składce rentowej 6% (1,5 pracownik, 4,5% pracodawca). Podniesienie składki rentowej o 2 </w:t>
      </w:r>
      <w:r w:rsidRPr="002C77D4">
        <w:rPr>
          <w:rFonts w:ascii="Times New Roman" w:hAnsi="Times New Roman"/>
          <w:bCs/>
          <w:sz w:val="24"/>
          <w:szCs w:val="24"/>
        </w:rPr>
        <w:t>punkty procentowe</w:t>
      </w:r>
      <w:r w:rsidRPr="00CC7A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C7A7B">
        <w:rPr>
          <w:rFonts w:ascii="Times New Roman" w:hAnsi="Times New Roman"/>
          <w:sz w:val="24"/>
          <w:szCs w:val="24"/>
        </w:rPr>
        <w:t xml:space="preserve">d 1 marca 2012 r. oznacza wzrost dochodów ze składek o ok. </w:t>
      </w:r>
      <w:r>
        <w:rPr>
          <w:rFonts w:ascii="Times New Roman" w:hAnsi="Times New Roman"/>
          <w:sz w:val="24"/>
          <w:szCs w:val="24"/>
        </w:rPr>
        <w:t>6,5</w:t>
      </w:r>
      <w:r w:rsidRPr="00CC7A7B">
        <w:rPr>
          <w:rFonts w:ascii="Times New Roman" w:hAnsi="Times New Roman"/>
          <w:sz w:val="24"/>
          <w:szCs w:val="24"/>
        </w:rPr>
        <w:t xml:space="preserve"> mld zł, a łączne dochody ze składek w 2012 r. – ok. </w:t>
      </w:r>
      <w:r>
        <w:rPr>
          <w:rFonts w:ascii="Times New Roman" w:hAnsi="Times New Roman"/>
          <w:sz w:val="24"/>
          <w:szCs w:val="24"/>
        </w:rPr>
        <w:t xml:space="preserve">32,7 </w:t>
      </w:r>
      <w:r w:rsidRPr="00CC7A7B">
        <w:rPr>
          <w:rFonts w:ascii="Times New Roman" w:hAnsi="Times New Roman"/>
          <w:sz w:val="24"/>
          <w:szCs w:val="24"/>
        </w:rPr>
        <w:t>mld zł, przy planowanych wydatkach funduszu rentowego 42,07 mld zł. Oznacza to wzrost pokrycia wydatków funduszu rentowego wpływami ze składek z 62% do ok. 7</w:t>
      </w:r>
      <w:r>
        <w:rPr>
          <w:rFonts w:ascii="Times New Roman" w:hAnsi="Times New Roman"/>
          <w:sz w:val="24"/>
          <w:szCs w:val="24"/>
        </w:rPr>
        <w:t>8</w:t>
      </w:r>
      <w:r w:rsidRPr="00CC7A7B">
        <w:rPr>
          <w:rFonts w:ascii="Times New Roman" w:hAnsi="Times New Roman"/>
          <w:sz w:val="24"/>
          <w:szCs w:val="24"/>
        </w:rPr>
        <w:t>%.</w:t>
      </w:r>
    </w:p>
    <w:p w:rsidR="00EB2120" w:rsidRPr="00CC7A7B" w:rsidRDefault="00EB2120" w:rsidP="00CC7A7B">
      <w:pPr>
        <w:pStyle w:val="BodyTextInden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 xml:space="preserve">Kształtowanie się prognozowanych przychodów </w:t>
      </w:r>
      <w:r>
        <w:rPr>
          <w:rFonts w:ascii="Times New Roman" w:hAnsi="Times New Roman"/>
          <w:sz w:val="24"/>
          <w:szCs w:val="24"/>
        </w:rPr>
        <w:t>f</w:t>
      </w:r>
      <w:r w:rsidRPr="00CC7A7B">
        <w:rPr>
          <w:rFonts w:ascii="Times New Roman" w:hAnsi="Times New Roman"/>
          <w:sz w:val="24"/>
          <w:szCs w:val="24"/>
        </w:rPr>
        <w:t xml:space="preserve">unduszu </w:t>
      </w:r>
      <w:r>
        <w:rPr>
          <w:rFonts w:ascii="Times New Roman" w:hAnsi="Times New Roman"/>
          <w:sz w:val="24"/>
          <w:szCs w:val="24"/>
        </w:rPr>
        <w:t>r</w:t>
      </w:r>
      <w:r w:rsidRPr="00CC7A7B">
        <w:rPr>
          <w:rFonts w:ascii="Times New Roman" w:hAnsi="Times New Roman"/>
          <w:sz w:val="24"/>
          <w:szCs w:val="24"/>
        </w:rPr>
        <w:t>entowego F</w:t>
      </w:r>
      <w:r>
        <w:rPr>
          <w:rFonts w:ascii="Times New Roman" w:hAnsi="Times New Roman"/>
          <w:sz w:val="24"/>
          <w:szCs w:val="24"/>
        </w:rPr>
        <w:t xml:space="preserve">unduszu </w:t>
      </w:r>
      <w:r w:rsidRPr="00CC7A7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bezpieczeń </w:t>
      </w:r>
      <w:r w:rsidRPr="00CC7A7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połecznych</w:t>
      </w:r>
      <w:r w:rsidRPr="00CC7A7B">
        <w:rPr>
          <w:rFonts w:ascii="Times New Roman" w:hAnsi="Times New Roman"/>
          <w:sz w:val="24"/>
          <w:szCs w:val="24"/>
        </w:rPr>
        <w:t xml:space="preserve"> w następnych latach przedstawiają poniższe tablice:</w:t>
      </w:r>
    </w:p>
    <w:p w:rsidR="00EB2120" w:rsidRPr="00CC7A7B" w:rsidRDefault="00EB2120" w:rsidP="00CC7A7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7986" w:type="dxa"/>
        <w:tblInd w:w="294" w:type="dxa"/>
        <w:tblCellMar>
          <w:left w:w="0" w:type="dxa"/>
          <w:right w:w="0" w:type="dxa"/>
        </w:tblCellMar>
        <w:tblLook w:val="0000"/>
      </w:tblPr>
      <w:tblGrid>
        <w:gridCol w:w="2889"/>
        <w:gridCol w:w="1024"/>
        <w:gridCol w:w="1024"/>
        <w:gridCol w:w="1024"/>
        <w:gridCol w:w="1025"/>
        <w:gridCol w:w="1000"/>
      </w:tblGrid>
      <w:tr w:rsidR="00EB2120" w:rsidRPr="008A1086" w:rsidTr="00CC7A7B">
        <w:trPr>
          <w:trHeight w:val="270"/>
        </w:trPr>
        <w:tc>
          <w:tcPr>
            <w:tcW w:w="69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CC7A7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b/>
                <w:bCs/>
                <w:sz w:val="24"/>
                <w:szCs w:val="24"/>
              </w:rPr>
              <w:t>Fundusz rentowy wg prognozy ZUS przed podniesieniem składki rentowej o 2 punkty procentowe (w mln zł)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EB2120" w:rsidRPr="008A1086" w:rsidTr="00CC7A7B">
        <w:trPr>
          <w:trHeight w:val="270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B2120" w:rsidRPr="008A1086" w:rsidTr="00CC7A7B">
        <w:trPr>
          <w:trHeight w:val="255"/>
        </w:trPr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Saldo roczne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-16861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-16634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-16165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-15708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-15281</w:t>
            </w:r>
          </w:p>
        </w:tc>
      </w:tr>
      <w:tr w:rsidR="00EB2120" w:rsidRPr="008A1086" w:rsidTr="00CC7A7B">
        <w:trPr>
          <w:trHeight w:val="255"/>
        </w:trPr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wpływy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30594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32707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34836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36996</w:t>
            </w:r>
          </w:p>
        </w:tc>
      </w:tr>
      <w:tr w:rsidR="00EB2120" w:rsidRPr="008A1086" w:rsidTr="00CC7A7B">
        <w:trPr>
          <w:trHeight w:val="255"/>
        </w:trPr>
        <w:tc>
          <w:tcPr>
            <w:tcW w:w="1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wydatki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45398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47228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48872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50544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52277</w:t>
            </w:r>
          </w:p>
        </w:tc>
      </w:tr>
      <w:tr w:rsidR="00EB2120" w:rsidRPr="008A1086" w:rsidTr="00CC7A7B">
        <w:trPr>
          <w:trHeight w:val="27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wydolność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</w:tbl>
    <w:p w:rsidR="00EB2120" w:rsidRDefault="00EB2120" w:rsidP="00CB29E8">
      <w:pPr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CB29E8">
      <w:pPr>
        <w:rPr>
          <w:rFonts w:ascii="Times New Roman" w:hAnsi="Times New Roman"/>
          <w:sz w:val="24"/>
          <w:szCs w:val="24"/>
        </w:rPr>
      </w:pPr>
    </w:p>
    <w:tbl>
      <w:tblPr>
        <w:tblW w:w="7988" w:type="dxa"/>
        <w:tblInd w:w="294" w:type="dxa"/>
        <w:tblCellMar>
          <w:left w:w="0" w:type="dxa"/>
          <w:right w:w="0" w:type="dxa"/>
        </w:tblCellMar>
        <w:tblLook w:val="0000"/>
      </w:tblPr>
      <w:tblGrid>
        <w:gridCol w:w="3259"/>
        <w:gridCol w:w="932"/>
        <w:gridCol w:w="932"/>
        <w:gridCol w:w="932"/>
        <w:gridCol w:w="933"/>
        <w:gridCol w:w="1000"/>
      </w:tblGrid>
      <w:tr w:rsidR="00EB2120" w:rsidRPr="008A1086" w:rsidTr="00CC7A7B">
        <w:trPr>
          <w:trHeight w:val="270"/>
        </w:trPr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2C77D4">
            <w:pP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8A1086">
              <w:rPr>
                <w:rFonts w:ascii="Times New Roman" w:hAnsi="Times New Roman"/>
                <w:b/>
                <w:bCs/>
                <w:sz w:val="24"/>
                <w:szCs w:val="24"/>
              </w:rPr>
              <w:t>Fundusz rentowy wg prognozy ZUS po podniesieniu składki rentowej o 2 punkty procentowe (w mln zł)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EB2120" w:rsidRPr="008A1086" w:rsidTr="00CC7A7B">
        <w:trPr>
          <w:trHeight w:val="270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B2120" w:rsidRPr="008A1086" w:rsidTr="00CC7A7B">
        <w:trPr>
          <w:trHeight w:val="255"/>
        </w:trPr>
        <w:tc>
          <w:tcPr>
            <w:tcW w:w="21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Saldo roczne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-7349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-6436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-5263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-4096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-2949</w:t>
            </w:r>
          </w:p>
        </w:tc>
      </w:tr>
      <w:tr w:rsidR="00EB2120" w:rsidRPr="008A1086" w:rsidTr="00CC7A7B">
        <w:trPr>
          <w:trHeight w:val="255"/>
        </w:trPr>
        <w:tc>
          <w:tcPr>
            <w:tcW w:w="21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wpływy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38049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43609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46448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49328</w:t>
            </w:r>
          </w:p>
        </w:tc>
      </w:tr>
      <w:tr w:rsidR="00EB2120" w:rsidRPr="008A1086" w:rsidTr="00CC7A7B">
        <w:trPr>
          <w:trHeight w:val="255"/>
        </w:trPr>
        <w:tc>
          <w:tcPr>
            <w:tcW w:w="21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wydatki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45398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47228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48872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50544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52277</w:t>
            </w:r>
          </w:p>
        </w:tc>
      </w:tr>
      <w:tr w:rsidR="00EB2120" w:rsidRPr="008A1086" w:rsidTr="00CC7A7B">
        <w:trPr>
          <w:trHeight w:val="27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wydolność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B2120" w:rsidRPr="00CC7A7B" w:rsidRDefault="00EB2120" w:rsidP="008E1782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A1086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</w:tbl>
    <w:p w:rsidR="00EB2120" w:rsidRPr="00CC7A7B" w:rsidRDefault="00EB2120" w:rsidP="00CB29E8">
      <w:pPr>
        <w:pStyle w:val="BodyTextIndent"/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CC7A7B">
      <w:pPr>
        <w:pStyle w:val="BodyTextInden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>Projektowane rozwiązania wpłyną na wzrost wydatków związanych z zatrudnieniem (z tytułu ubezpieczeń społecznych) w sektorze publicznym – szacunkowo o ok.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A7B">
        <w:rPr>
          <w:rFonts w:ascii="Times New Roman" w:hAnsi="Times New Roman"/>
          <w:sz w:val="24"/>
          <w:szCs w:val="24"/>
        </w:rPr>
        <w:t>0,44 mld zł w państwowych jednostkach budżetowych w 2012 r.</w:t>
      </w:r>
    </w:p>
    <w:p w:rsidR="00EB2120" w:rsidRDefault="00EB2120" w:rsidP="00732514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CC7A7B">
      <w:pPr>
        <w:pStyle w:val="BodyTextInden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 xml:space="preserve">Brak wpływu </w:t>
      </w:r>
      <w:r>
        <w:rPr>
          <w:rFonts w:ascii="Times New Roman" w:hAnsi="Times New Roman"/>
          <w:sz w:val="24"/>
          <w:szCs w:val="24"/>
        </w:rPr>
        <w:t xml:space="preserve">projektowanej regulacji </w:t>
      </w:r>
      <w:r w:rsidRPr="00CC7A7B">
        <w:rPr>
          <w:rFonts w:ascii="Times New Roman" w:hAnsi="Times New Roman"/>
          <w:sz w:val="24"/>
          <w:szCs w:val="24"/>
        </w:rPr>
        <w:t>na sektor gospodarstw domowych, poza gospodarstwami domowymi prowadzących działalność gospodarczą. Podniesienie składki rentowej o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77D4">
        <w:rPr>
          <w:rFonts w:ascii="Times New Roman" w:hAnsi="Times New Roman"/>
          <w:bCs/>
          <w:sz w:val="24"/>
          <w:szCs w:val="24"/>
        </w:rPr>
        <w:t>punkty procentowe</w:t>
      </w:r>
      <w:r w:rsidRPr="002C77D4">
        <w:rPr>
          <w:rFonts w:ascii="Times New Roman" w:hAnsi="Times New Roman"/>
          <w:sz w:val="24"/>
          <w:szCs w:val="24"/>
        </w:rPr>
        <w:t xml:space="preserve"> dotyczyć</w:t>
      </w:r>
      <w:r w:rsidRPr="00CC7A7B">
        <w:rPr>
          <w:rFonts w:ascii="Times New Roman" w:hAnsi="Times New Roman"/>
          <w:sz w:val="24"/>
          <w:szCs w:val="24"/>
        </w:rPr>
        <w:t xml:space="preserve"> będzie wszystkich podmiotów gospodarczych objętych ubezpieczeniem rentowym.</w:t>
      </w:r>
    </w:p>
    <w:p w:rsidR="00EB2120" w:rsidRDefault="00EB2120" w:rsidP="00732514">
      <w:pPr>
        <w:pStyle w:val="BodyText2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CC7A7B">
      <w:pPr>
        <w:pStyle w:val="BodyText2"/>
        <w:spacing w:after="0" w:line="36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 xml:space="preserve">Należy oczekiwać, że wpływ proponowanego rozwiązania nieznacznie zwiększy koszty pracy. Wydaje się, że wpływ podniesienia kosztów pracy będzie bardziej odczuwalny </w:t>
      </w:r>
      <w:r>
        <w:rPr>
          <w:rFonts w:ascii="Times New Roman" w:hAnsi="Times New Roman"/>
          <w:sz w:val="24"/>
          <w:szCs w:val="24"/>
        </w:rPr>
        <w:t>dla</w:t>
      </w:r>
      <w:r w:rsidRPr="00CC7A7B">
        <w:rPr>
          <w:rFonts w:ascii="Times New Roman" w:hAnsi="Times New Roman"/>
          <w:sz w:val="24"/>
          <w:szCs w:val="24"/>
        </w:rPr>
        <w:t xml:space="preserve"> małych podmiotów gospodarczych, zatrudniających do kilku osób oraz pewn</w:t>
      </w:r>
      <w:r>
        <w:rPr>
          <w:rFonts w:ascii="Times New Roman" w:hAnsi="Times New Roman"/>
          <w:sz w:val="24"/>
          <w:szCs w:val="24"/>
        </w:rPr>
        <w:t>ych</w:t>
      </w:r>
      <w:r w:rsidRPr="00CC7A7B">
        <w:rPr>
          <w:rFonts w:ascii="Times New Roman" w:hAnsi="Times New Roman"/>
          <w:sz w:val="24"/>
          <w:szCs w:val="24"/>
        </w:rPr>
        <w:t xml:space="preserve"> grup osób prowadzących działalność gospodarczą.</w:t>
      </w:r>
    </w:p>
    <w:p w:rsidR="00EB2120" w:rsidRPr="00CC7A7B" w:rsidRDefault="00EB2120" w:rsidP="00CC7A7B">
      <w:pPr>
        <w:pStyle w:val="BodyText2"/>
        <w:spacing w:after="0" w:line="36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>Ponadto możliwe jest zmniejszenie konkurencyjności podmiotów gospodarczych, szczególnie o niskiej rentowności.</w:t>
      </w:r>
    </w:p>
    <w:p w:rsidR="00EB2120" w:rsidRDefault="00EB2120" w:rsidP="00732514">
      <w:pPr>
        <w:pStyle w:val="BodyTextInden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CC7A7B">
      <w:pPr>
        <w:pStyle w:val="BodyTextInden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C7A7B">
        <w:rPr>
          <w:rFonts w:ascii="Times New Roman" w:hAnsi="Times New Roman"/>
          <w:sz w:val="24"/>
          <w:szCs w:val="24"/>
        </w:rPr>
        <w:t xml:space="preserve">Brak bezpośredniego wpływu </w:t>
      </w:r>
      <w:r>
        <w:rPr>
          <w:rFonts w:ascii="Times New Roman" w:hAnsi="Times New Roman"/>
          <w:sz w:val="24"/>
          <w:szCs w:val="24"/>
        </w:rPr>
        <w:t xml:space="preserve">regulacji </w:t>
      </w:r>
      <w:r w:rsidRPr="00CC7A7B">
        <w:rPr>
          <w:rFonts w:ascii="Times New Roman" w:hAnsi="Times New Roman"/>
          <w:sz w:val="24"/>
          <w:szCs w:val="24"/>
        </w:rPr>
        <w:t>na rynek pracy, aczkolwiek możliwe jest nieznaczne ograniczenie popytu na pracę.</w:t>
      </w:r>
    </w:p>
    <w:p w:rsidR="00EB2120" w:rsidRDefault="00EB2120" w:rsidP="00CC7A7B">
      <w:pPr>
        <w:pStyle w:val="BodyTextIndent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B2120" w:rsidRPr="00732514" w:rsidRDefault="00EB2120" w:rsidP="00CC7A7B">
      <w:pPr>
        <w:pStyle w:val="BodyTextInden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32514">
        <w:rPr>
          <w:rFonts w:ascii="Times New Roman" w:hAnsi="Times New Roman"/>
          <w:sz w:val="24"/>
          <w:szCs w:val="24"/>
        </w:rPr>
        <w:t>Projektowane rozwiązania nie będą miały wpływu na sytuację i rozwój regionalny.</w:t>
      </w:r>
    </w:p>
    <w:p w:rsidR="00EB2120" w:rsidRPr="00CC7A7B" w:rsidRDefault="00EB2120" w:rsidP="00CB29E8">
      <w:pPr>
        <w:pStyle w:val="BodyTextIndent"/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CB29E8">
      <w:pPr>
        <w:pStyle w:val="BodyTextIndent"/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CB29E8">
      <w:pPr>
        <w:pStyle w:val="BodyTextIndent"/>
        <w:rPr>
          <w:rFonts w:ascii="Times New Roman" w:hAnsi="Times New Roman"/>
          <w:sz w:val="24"/>
          <w:szCs w:val="24"/>
        </w:rPr>
      </w:pPr>
    </w:p>
    <w:p w:rsidR="00EB2120" w:rsidRPr="00CC7A7B" w:rsidRDefault="00EB2120" w:rsidP="00B84B3D">
      <w:pPr>
        <w:rPr>
          <w:rFonts w:ascii="Times New Roman" w:hAnsi="Times New Roman"/>
          <w:sz w:val="24"/>
          <w:szCs w:val="24"/>
        </w:rPr>
      </w:pPr>
    </w:p>
    <w:sectPr w:rsidR="00EB2120" w:rsidRPr="00CC7A7B" w:rsidSect="00C1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D2C"/>
    <w:multiLevelType w:val="hybridMultilevel"/>
    <w:tmpl w:val="D0B44480"/>
    <w:lvl w:ilvl="0" w:tplc="73DC2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B460B7"/>
    <w:multiLevelType w:val="hybridMultilevel"/>
    <w:tmpl w:val="A6523F10"/>
    <w:lvl w:ilvl="0" w:tplc="25D4A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EA6B6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B3D"/>
    <w:rsid w:val="000B67D0"/>
    <w:rsid w:val="001B3F88"/>
    <w:rsid w:val="00240659"/>
    <w:rsid w:val="002822BC"/>
    <w:rsid w:val="002C77D4"/>
    <w:rsid w:val="005B097B"/>
    <w:rsid w:val="005B2A34"/>
    <w:rsid w:val="005C302F"/>
    <w:rsid w:val="006172E9"/>
    <w:rsid w:val="0069759C"/>
    <w:rsid w:val="00715957"/>
    <w:rsid w:val="00727B8E"/>
    <w:rsid w:val="00732514"/>
    <w:rsid w:val="008A1086"/>
    <w:rsid w:val="008E1782"/>
    <w:rsid w:val="00B84B3D"/>
    <w:rsid w:val="00C147A5"/>
    <w:rsid w:val="00CB29E8"/>
    <w:rsid w:val="00CC7A7B"/>
    <w:rsid w:val="00D5764C"/>
    <w:rsid w:val="00E43C0D"/>
    <w:rsid w:val="00E66E1E"/>
    <w:rsid w:val="00EB2120"/>
    <w:rsid w:val="00F211C2"/>
    <w:rsid w:val="00F23096"/>
    <w:rsid w:val="00F2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OWY">
    <w:name w:val="@STANDARDOWY"/>
    <w:basedOn w:val="Normal"/>
    <w:uiPriority w:val="99"/>
    <w:rsid w:val="00B84B3D"/>
    <w:pPr>
      <w:tabs>
        <w:tab w:val="left" w:pos="567"/>
      </w:tabs>
      <w:spacing w:after="0" w:line="360" w:lineRule="auto"/>
      <w:ind w:firstLine="397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BodyText">
    <w:name w:val="Body Text"/>
    <w:aliases w:val="pomniejszony,Tekst wcięty 2 st,Tekst wci,b,ęty 2 st,bt,szaro,b1,Tekst podstawowy Znak Znak Znak Znak Znak Znak Znak Znak"/>
    <w:basedOn w:val="Normal"/>
    <w:link w:val="BodyTextChar"/>
    <w:uiPriority w:val="99"/>
    <w:rsid w:val="00B84B3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aliases w:val="pomniejszony Char,Tekst wcięty 2 st Char,Tekst wci Char,b Char,ęty 2 st Char,bt Char,szaro Char,b1 Char,Tekst podstawowy Znak Znak Znak Znak Znak Znak Znak Znak Char"/>
    <w:basedOn w:val="DefaultParagraphFont"/>
    <w:link w:val="BodyText"/>
    <w:uiPriority w:val="99"/>
    <w:locked/>
    <w:rsid w:val="00B84B3D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CB29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29E8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CB29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B29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9E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7159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15957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159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5957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828</Words>
  <Characters>4968</Characters>
  <Application>Microsoft Office Outlook</Application>
  <DocSecurity>0</DocSecurity>
  <Lines>0</Lines>
  <Paragraphs>0</Paragraphs>
  <ScaleCrop>false</ScaleCrop>
  <Company>MPiPS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Magdalena_Chmara</dc:creator>
  <cp:keywords/>
  <dc:description/>
  <cp:lastModifiedBy>kgrobelna</cp:lastModifiedBy>
  <cp:revision>2</cp:revision>
  <cp:lastPrinted>2011-11-24T12:33:00Z</cp:lastPrinted>
  <dcterms:created xsi:type="dcterms:W3CDTF">2011-11-25T09:04:00Z</dcterms:created>
  <dcterms:modified xsi:type="dcterms:W3CDTF">2011-11-25T09:04:00Z</dcterms:modified>
</cp:coreProperties>
</file>