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CB" w:rsidRDefault="00DD5C78" w:rsidP="00E44A81">
      <w:pPr>
        <w:spacing w:before="100" w:beforeAutospacing="1" w:after="100" w:afterAutospacing="1"/>
        <w:jc w:val="center"/>
        <w:outlineLvl w:val="0"/>
        <w:rPr>
          <w:rFonts w:ascii="Arial" w:hAnsi="Arial" w:cs="Arial"/>
          <w:b/>
          <w:i/>
          <w:sz w:val="22"/>
          <w:szCs w:val="22"/>
        </w:rPr>
      </w:pPr>
      <w:r>
        <w:rPr>
          <w:rFonts w:ascii="Arial" w:hAnsi="Arial" w:cs="Arial"/>
          <w:b/>
          <w:i/>
          <w:sz w:val="22"/>
          <w:szCs w:val="22"/>
        </w:rPr>
        <w:t>X</w:t>
      </w:r>
      <w:r w:rsidR="00F82931">
        <w:rPr>
          <w:rFonts w:ascii="Arial" w:hAnsi="Arial" w:cs="Arial"/>
          <w:b/>
          <w:i/>
          <w:sz w:val="22"/>
          <w:szCs w:val="22"/>
        </w:rPr>
        <w:t>I</w:t>
      </w:r>
      <w:r w:rsidR="00F31910">
        <w:rPr>
          <w:rFonts w:ascii="Arial" w:hAnsi="Arial" w:cs="Arial"/>
          <w:b/>
          <w:i/>
          <w:sz w:val="22"/>
          <w:szCs w:val="22"/>
        </w:rPr>
        <w:t>V</w:t>
      </w:r>
      <w:r w:rsidR="00841FCB">
        <w:rPr>
          <w:rFonts w:ascii="Arial" w:hAnsi="Arial" w:cs="Arial"/>
          <w:b/>
          <w:i/>
          <w:sz w:val="22"/>
          <w:szCs w:val="22"/>
        </w:rPr>
        <w:t xml:space="preserve"> posiedzenie</w:t>
      </w:r>
      <w:r w:rsidR="00841FCB" w:rsidRPr="00707D93">
        <w:rPr>
          <w:rFonts w:ascii="Arial" w:hAnsi="Arial" w:cs="Arial"/>
          <w:b/>
          <w:i/>
          <w:sz w:val="22"/>
          <w:szCs w:val="22"/>
        </w:rPr>
        <w:t xml:space="preserve"> Grupy roboczej ds. MŚP przy KK NSRO</w:t>
      </w:r>
    </w:p>
    <w:p w:rsidR="00CA6B78" w:rsidRDefault="00F31910" w:rsidP="00103AA5">
      <w:pPr>
        <w:spacing w:before="100" w:beforeAutospacing="1" w:after="100" w:afterAutospacing="1"/>
        <w:jc w:val="center"/>
        <w:outlineLvl w:val="0"/>
        <w:rPr>
          <w:rFonts w:ascii="Arial" w:hAnsi="Arial" w:cs="Arial"/>
          <w:b/>
          <w:i/>
          <w:sz w:val="22"/>
          <w:szCs w:val="22"/>
        </w:rPr>
      </w:pPr>
      <w:r>
        <w:rPr>
          <w:rFonts w:ascii="Arial" w:hAnsi="Arial" w:cs="Arial"/>
          <w:b/>
          <w:i/>
          <w:sz w:val="22"/>
          <w:szCs w:val="22"/>
        </w:rPr>
        <w:t>11 lipca</w:t>
      </w:r>
      <w:r w:rsidR="00314C95">
        <w:rPr>
          <w:rFonts w:ascii="Arial" w:hAnsi="Arial" w:cs="Arial"/>
          <w:b/>
          <w:i/>
          <w:sz w:val="22"/>
          <w:szCs w:val="22"/>
        </w:rPr>
        <w:t xml:space="preserve"> 2013r</w:t>
      </w:r>
      <w:r w:rsidR="00841FCB">
        <w:rPr>
          <w:rFonts w:ascii="Arial" w:hAnsi="Arial" w:cs="Arial"/>
          <w:b/>
          <w:i/>
          <w:sz w:val="22"/>
          <w:szCs w:val="22"/>
        </w:rPr>
        <w:t>.</w:t>
      </w:r>
    </w:p>
    <w:p w:rsidR="00D52CE8" w:rsidRPr="00137731" w:rsidRDefault="00D52CE8" w:rsidP="00103AA5">
      <w:pPr>
        <w:spacing w:before="100" w:beforeAutospacing="1" w:after="100" w:afterAutospacing="1"/>
        <w:jc w:val="center"/>
        <w:outlineLvl w:val="0"/>
        <w:rPr>
          <w:rFonts w:ascii="Arial" w:hAnsi="Arial" w:cs="Arial"/>
          <w:i/>
          <w:sz w:val="22"/>
          <w:szCs w:val="22"/>
        </w:rPr>
      </w:pPr>
    </w:p>
    <w:p w:rsidR="00D52CE8" w:rsidRDefault="00F31910" w:rsidP="008D05C1">
      <w:pPr>
        <w:numPr>
          <w:ilvl w:val="0"/>
          <w:numId w:val="7"/>
        </w:numPr>
        <w:jc w:val="both"/>
        <w:rPr>
          <w:rFonts w:ascii="Arial" w:hAnsi="Arial" w:cs="Arial"/>
          <w:b/>
          <w:sz w:val="22"/>
          <w:szCs w:val="22"/>
        </w:rPr>
      </w:pPr>
      <w:r>
        <w:rPr>
          <w:rFonts w:ascii="Arial" w:hAnsi="Arial" w:cs="Arial"/>
          <w:b/>
          <w:sz w:val="22"/>
          <w:szCs w:val="22"/>
        </w:rPr>
        <w:t>Instrumenty zwrotne w polityce spójności</w:t>
      </w:r>
    </w:p>
    <w:p w:rsidR="00F31910" w:rsidRDefault="00F31910" w:rsidP="001160CD">
      <w:pPr>
        <w:numPr>
          <w:ilvl w:val="0"/>
          <w:numId w:val="17"/>
        </w:numPr>
        <w:ind w:left="1134" w:hanging="425"/>
        <w:jc w:val="both"/>
        <w:rPr>
          <w:rFonts w:ascii="Arial" w:hAnsi="Arial" w:cs="Arial"/>
          <w:b/>
          <w:sz w:val="22"/>
          <w:szCs w:val="22"/>
        </w:rPr>
      </w:pPr>
      <w:r>
        <w:rPr>
          <w:rFonts w:ascii="Arial" w:hAnsi="Arial" w:cs="Arial"/>
          <w:b/>
          <w:sz w:val="22"/>
          <w:szCs w:val="22"/>
        </w:rPr>
        <w:t xml:space="preserve">Wykorzystanie instrumentów zwrotnych w obecnej perspektywie – dotychczasowe doświadczenia związane z </w:t>
      </w:r>
      <w:r w:rsidR="008C64F6">
        <w:rPr>
          <w:rFonts w:ascii="Arial" w:hAnsi="Arial" w:cs="Arial"/>
          <w:b/>
          <w:sz w:val="22"/>
          <w:szCs w:val="22"/>
        </w:rPr>
        <w:t>wdrażaniem</w:t>
      </w:r>
      <w:r>
        <w:rPr>
          <w:rFonts w:ascii="Arial" w:hAnsi="Arial" w:cs="Arial"/>
          <w:b/>
          <w:sz w:val="22"/>
          <w:szCs w:val="22"/>
        </w:rPr>
        <w:t xml:space="preserve"> instrumentów;</w:t>
      </w:r>
    </w:p>
    <w:p w:rsidR="00F31910" w:rsidRDefault="00F31910" w:rsidP="001160CD">
      <w:pPr>
        <w:numPr>
          <w:ilvl w:val="0"/>
          <w:numId w:val="17"/>
        </w:numPr>
        <w:ind w:left="1134" w:hanging="425"/>
        <w:jc w:val="both"/>
        <w:rPr>
          <w:rFonts w:ascii="Arial" w:hAnsi="Arial" w:cs="Arial"/>
          <w:b/>
          <w:sz w:val="22"/>
          <w:szCs w:val="22"/>
        </w:rPr>
      </w:pPr>
      <w:r>
        <w:rPr>
          <w:rFonts w:ascii="Arial" w:hAnsi="Arial" w:cs="Arial"/>
          <w:b/>
          <w:sz w:val="22"/>
          <w:szCs w:val="22"/>
        </w:rPr>
        <w:t>Programowanie perspektywy 2014-2020: uwarunkowania wynikające z projektów unijnych rozporządzeń, dotychczasowe ustalenia; skala i obszary zastosowania instrumentów zwrotnych w przyszłych programach wsparcia MŚP;</w:t>
      </w:r>
    </w:p>
    <w:p w:rsidR="00F31910" w:rsidRDefault="00F31910" w:rsidP="00F31910">
      <w:pPr>
        <w:ind w:left="360"/>
        <w:jc w:val="both"/>
        <w:rPr>
          <w:rFonts w:ascii="Arial" w:hAnsi="Arial" w:cs="Arial"/>
          <w:b/>
          <w:sz w:val="22"/>
          <w:szCs w:val="22"/>
        </w:rPr>
      </w:pPr>
    </w:p>
    <w:p w:rsidR="00F31910" w:rsidRPr="00F45D85" w:rsidRDefault="00F31910" w:rsidP="00F31910">
      <w:pPr>
        <w:ind w:left="360"/>
        <w:jc w:val="both"/>
        <w:rPr>
          <w:rFonts w:ascii="Arial" w:hAnsi="Arial" w:cs="Arial"/>
          <w:sz w:val="22"/>
          <w:szCs w:val="22"/>
        </w:rPr>
      </w:pPr>
      <w:r w:rsidRPr="00F45D85">
        <w:rPr>
          <w:rFonts w:ascii="Arial" w:hAnsi="Arial" w:cs="Arial"/>
          <w:sz w:val="22"/>
          <w:szCs w:val="22"/>
        </w:rPr>
        <w:t xml:space="preserve">W </w:t>
      </w:r>
      <w:r w:rsidR="005D048F" w:rsidRPr="00F45D85">
        <w:rPr>
          <w:rFonts w:ascii="Arial" w:hAnsi="Arial" w:cs="Arial"/>
          <w:sz w:val="22"/>
          <w:szCs w:val="22"/>
        </w:rPr>
        <w:t xml:space="preserve">pierwszej </w:t>
      </w:r>
      <w:r w:rsidRPr="00F45D85">
        <w:rPr>
          <w:rFonts w:ascii="Arial" w:hAnsi="Arial" w:cs="Arial"/>
          <w:sz w:val="22"/>
          <w:szCs w:val="22"/>
        </w:rPr>
        <w:t>prezentacji</w:t>
      </w:r>
      <w:r w:rsidR="008C64F6" w:rsidRPr="00F45D85">
        <w:rPr>
          <w:rFonts w:ascii="Arial" w:hAnsi="Arial" w:cs="Arial"/>
          <w:sz w:val="22"/>
          <w:szCs w:val="22"/>
        </w:rPr>
        <w:t>,</w:t>
      </w:r>
      <w:r w:rsidRPr="00F45D85">
        <w:rPr>
          <w:rFonts w:ascii="Arial" w:hAnsi="Arial" w:cs="Arial"/>
          <w:sz w:val="22"/>
          <w:szCs w:val="22"/>
        </w:rPr>
        <w:t xml:space="preserve"> przedstawionej przez MRR</w:t>
      </w:r>
      <w:r w:rsidR="008C64F6" w:rsidRPr="00F45D85">
        <w:rPr>
          <w:rFonts w:ascii="Arial" w:hAnsi="Arial" w:cs="Arial"/>
          <w:sz w:val="22"/>
          <w:szCs w:val="22"/>
        </w:rPr>
        <w:t>,</w:t>
      </w:r>
      <w:r w:rsidRPr="00F45D85">
        <w:rPr>
          <w:rFonts w:ascii="Arial" w:hAnsi="Arial" w:cs="Arial"/>
          <w:sz w:val="22"/>
          <w:szCs w:val="22"/>
        </w:rPr>
        <w:t xml:space="preserve"> „Instrumenty Finansowe w polityce spójności” omówion</w:t>
      </w:r>
      <w:r w:rsidR="00EE764C" w:rsidRPr="00F45D85">
        <w:rPr>
          <w:rFonts w:ascii="Arial" w:hAnsi="Arial" w:cs="Arial"/>
          <w:sz w:val="22"/>
          <w:szCs w:val="22"/>
        </w:rPr>
        <w:t>o</w:t>
      </w:r>
      <w:r w:rsidRPr="00F45D85">
        <w:rPr>
          <w:rFonts w:ascii="Arial" w:hAnsi="Arial" w:cs="Arial"/>
          <w:sz w:val="22"/>
          <w:szCs w:val="22"/>
        </w:rPr>
        <w:t xml:space="preserve"> stan wdrażania IF w ramach PO RPW</w:t>
      </w:r>
      <w:r w:rsidR="005D048F" w:rsidRPr="00F45D85">
        <w:rPr>
          <w:rFonts w:ascii="Arial" w:hAnsi="Arial" w:cs="Arial"/>
          <w:sz w:val="22"/>
          <w:szCs w:val="22"/>
        </w:rPr>
        <w:t>, PO IG, PO KL i RPO.</w:t>
      </w:r>
      <w:r w:rsidR="00EE764C" w:rsidRPr="00F45D85">
        <w:rPr>
          <w:rFonts w:ascii="Arial" w:hAnsi="Arial" w:cs="Arial"/>
          <w:sz w:val="22"/>
          <w:szCs w:val="22"/>
        </w:rPr>
        <w:t xml:space="preserve"> Podczas dyskusji </w:t>
      </w:r>
      <w:r w:rsidR="00A059D0" w:rsidRPr="00F45D85">
        <w:rPr>
          <w:rFonts w:ascii="Arial" w:hAnsi="Arial" w:cs="Arial"/>
          <w:sz w:val="22"/>
          <w:szCs w:val="22"/>
        </w:rPr>
        <w:t xml:space="preserve">podjęto temat </w:t>
      </w:r>
      <w:r w:rsidR="00EE764C" w:rsidRPr="00F45D85">
        <w:rPr>
          <w:rFonts w:ascii="Arial" w:hAnsi="Arial" w:cs="Arial"/>
          <w:sz w:val="22"/>
          <w:szCs w:val="22"/>
        </w:rPr>
        <w:t xml:space="preserve">efektywności funkcjonowania regionalnych i lokalnych funduszy pożyczkowych i </w:t>
      </w:r>
      <w:proofErr w:type="spellStart"/>
      <w:r w:rsidR="00EE764C" w:rsidRPr="00F45D85">
        <w:rPr>
          <w:rFonts w:ascii="Arial" w:hAnsi="Arial" w:cs="Arial"/>
          <w:sz w:val="22"/>
          <w:szCs w:val="22"/>
        </w:rPr>
        <w:t>poręczeniowych</w:t>
      </w:r>
      <w:proofErr w:type="spellEnd"/>
      <w:r w:rsidR="00EE764C" w:rsidRPr="00F45D85">
        <w:rPr>
          <w:rFonts w:ascii="Arial" w:hAnsi="Arial" w:cs="Arial"/>
          <w:sz w:val="22"/>
          <w:szCs w:val="22"/>
        </w:rPr>
        <w:t xml:space="preserve">. </w:t>
      </w:r>
      <w:r w:rsidR="00A059D0" w:rsidRPr="00F45D85">
        <w:rPr>
          <w:rFonts w:ascii="Arial" w:hAnsi="Arial" w:cs="Arial"/>
          <w:sz w:val="22"/>
          <w:szCs w:val="22"/>
        </w:rPr>
        <w:t>Rozmawiano m.in. o możliwych przyczynach</w:t>
      </w:r>
      <w:r w:rsidR="00EE764C" w:rsidRPr="00F45D85">
        <w:rPr>
          <w:rFonts w:ascii="Arial" w:hAnsi="Arial" w:cs="Arial"/>
          <w:sz w:val="22"/>
          <w:szCs w:val="22"/>
        </w:rPr>
        <w:t xml:space="preserve"> </w:t>
      </w:r>
      <w:r w:rsidR="00A059D0" w:rsidRPr="00F45D85">
        <w:rPr>
          <w:rFonts w:ascii="Arial" w:hAnsi="Arial" w:cs="Arial"/>
          <w:sz w:val="22"/>
          <w:szCs w:val="22"/>
        </w:rPr>
        <w:t>stojących za ich zróżnicowaną</w:t>
      </w:r>
      <w:r w:rsidR="00EE764C" w:rsidRPr="00F45D85">
        <w:rPr>
          <w:rFonts w:ascii="Arial" w:hAnsi="Arial" w:cs="Arial"/>
          <w:sz w:val="22"/>
          <w:szCs w:val="22"/>
        </w:rPr>
        <w:t xml:space="preserve"> </w:t>
      </w:r>
      <w:r w:rsidR="00A059D0" w:rsidRPr="00F45D85">
        <w:rPr>
          <w:rFonts w:ascii="Arial" w:hAnsi="Arial" w:cs="Arial"/>
          <w:sz w:val="22"/>
          <w:szCs w:val="22"/>
        </w:rPr>
        <w:t>sprawnością w zarządzaniu środkami (</w:t>
      </w:r>
      <w:r w:rsidR="00EE764C" w:rsidRPr="00F45D85">
        <w:rPr>
          <w:rFonts w:ascii="Arial" w:hAnsi="Arial" w:cs="Arial"/>
          <w:sz w:val="22"/>
          <w:szCs w:val="22"/>
        </w:rPr>
        <w:t>jedne fundusze radzą sobie bardzo dobrze</w:t>
      </w:r>
      <w:r w:rsidR="00A059D0" w:rsidRPr="00F45D85">
        <w:rPr>
          <w:rFonts w:ascii="Arial" w:hAnsi="Arial" w:cs="Arial"/>
          <w:sz w:val="22"/>
          <w:szCs w:val="22"/>
        </w:rPr>
        <w:t>, osiągając</w:t>
      </w:r>
      <w:r w:rsidR="00EE764C" w:rsidRPr="00F45D85">
        <w:rPr>
          <w:rFonts w:ascii="Arial" w:hAnsi="Arial" w:cs="Arial"/>
          <w:sz w:val="22"/>
          <w:szCs w:val="22"/>
        </w:rPr>
        <w:t xml:space="preserve"> ponad 4-krotny</w:t>
      </w:r>
      <w:r w:rsidR="00A059D0" w:rsidRPr="00F45D85">
        <w:rPr>
          <w:rFonts w:ascii="Arial" w:hAnsi="Arial" w:cs="Arial"/>
          <w:sz w:val="22"/>
          <w:szCs w:val="22"/>
        </w:rPr>
        <w:t xml:space="preserve"> obrót środkami, </w:t>
      </w:r>
      <w:r w:rsidR="00EE764C" w:rsidRPr="00F45D85">
        <w:rPr>
          <w:rFonts w:ascii="Arial" w:hAnsi="Arial" w:cs="Arial"/>
          <w:sz w:val="22"/>
          <w:szCs w:val="22"/>
        </w:rPr>
        <w:t xml:space="preserve">inne </w:t>
      </w:r>
      <w:r w:rsidR="00A059D0" w:rsidRPr="00F45D85">
        <w:rPr>
          <w:rFonts w:ascii="Arial" w:hAnsi="Arial" w:cs="Arial"/>
          <w:sz w:val="22"/>
          <w:szCs w:val="22"/>
        </w:rPr>
        <w:t xml:space="preserve">gorzej - </w:t>
      </w:r>
      <w:r w:rsidR="00EE764C" w:rsidRPr="00F45D85">
        <w:rPr>
          <w:rFonts w:ascii="Arial" w:hAnsi="Arial" w:cs="Arial"/>
          <w:sz w:val="22"/>
          <w:szCs w:val="22"/>
        </w:rPr>
        <w:t>mniej niż 1-krotny</w:t>
      </w:r>
      <w:r w:rsidR="00A059D0" w:rsidRPr="00F45D85">
        <w:rPr>
          <w:rFonts w:ascii="Arial" w:hAnsi="Arial" w:cs="Arial"/>
          <w:sz w:val="22"/>
          <w:szCs w:val="22"/>
        </w:rPr>
        <w:t xml:space="preserve"> obrót</w:t>
      </w:r>
      <w:r w:rsidR="00EE764C" w:rsidRPr="00F45D85">
        <w:rPr>
          <w:rFonts w:ascii="Arial" w:hAnsi="Arial" w:cs="Arial"/>
          <w:sz w:val="22"/>
          <w:szCs w:val="22"/>
        </w:rPr>
        <w:t>).</w:t>
      </w:r>
    </w:p>
    <w:p w:rsidR="005D048F" w:rsidRPr="008C64F6" w:rsidRDefault="005D048F" w:rsidP="00F31910">
      <w:pPr>
        <w:ind w:left="360"/>
        <w:jc w:val="both"/>
        <w:rPr>
          <w:rFonts w:ascii="Arial" w:hAnsi="Arial" w:cs="Arial"/>
          <w:sz w:val="22"/>
          <w:szCs w:val="22"/>
        </w:rPr>
      </w:pPr>
      <w:r w:rsidRPr="008C64F6">
        <w:rPr>
          <w:rFonts w:ascii="Arial" w:hAnsi="Arial" w:cs="Arial"/>
          <w:sz w:val="22"/>
          <w:szCs w:val="22"/>
        </w:rPr>
        <w:t>Następnie zaprezentowany został audyt w zakresie wydatkowania funduszy strukturalnych w Perspektywie Finansowej 2007-2013 ze szczególnym uwzględnieniem Instrumentów inżynierii finansowej</w:t>
      </w:r>
      <w:r w:rsidR="00A059D0">
        <w:rPr>
          <w:rFonts w:ascii="Arial" w:hAnsi="Arial" w:cs="Arial"/>
          <w:sz w:val="22"/>
          <w:szCs w:val="22"/>
        </w:rPr>
        <w:t xml:space="preserve">. </w:t>
      </w:r>
      <w:r w:rsidR="00A059D0" w:rsidRPr="00A059D0">
        <w:rPr>
          <w:rFonts w:ascii="Arial" w:hAnsi="Arial" w:cs="Arial"/>
          <w:sz w:val="22"/>
          <w:szCs w:val="22"/>
        </w:rPr>
        <w:t>Dyskutowano na temat zasadności wprowadzonych przez Komisję Europejską obostrzeń dot. wsparcia zwrotnego, jak i o działaniach podejmowanych w tej sprawie przez MRR</w:t>
      </w:r>
      <w:r w:rsidR="008C64F6" w:rsidRPr="008C64F6">
        <w:rPr>
          <w:rFonts w:ascii="Arial" w:hAnsi="Arial" w:cs="Arial"/>
          <w:sz w:val="22"/>
          <w:szCs w:val="22"/>
        </w:rPr>
        <w:t xml:space="preserve"> (szczegółowe informacje zawiera prezentacja przygotowana przez MRR, dostępna w elektronicznym archiwum Grupy ds. MSP na stronie </w:t>
      </w:r>
      <w:hyperlink r:id="rId8" w:history="1">
        <w:r w:rsidR="008C64F6" w:rsidRPr="008C64F6">
          <w:rPr>
            <w:rStyle w:val="Hipercze"/>
            <w:rFonts w:ascii="Arial" w:hAnsi="Arial" w:cs="Arial"/>
            <w:sz w:val="22"/>
            <w:szCs w:val="22"/>
          </w:rPr>
          <w:t>www.konfederacjalewiatan.pl</w:t>
        </w:r>
      </w:hyperlink>
      <w:r w:rsidR="008C64F6" w:rsidRPr="008C64F6">
        <w:rPr>
          <w:rFonts w:ascii="Arial" w:hAnsi="Arial" w:cs="Arial"/>
          <w:sz w:val="22"/>
          <w:szCs w:val="22"/>
        </w:rPr>
        <w:t>).</w:t>
      </w:r>
    </w:p>
    <w:p w:rsidR="008C64F6" w:rsidRPr="008C64F6" w:rsidRDefault="008C64F6" w:rsidP="00F31910">
      <w:pPr>
        <w:ind w:left="360"/>
        <w:jc w:val="both"/>
        <w:rPr>
          <w:rFonts w:ascii="Arial" w:hAnsi="Arial" w:cs="Arial"/>
          <w:sz w:val="22"/>
          <w:szCs w:val="22"/>
        </w:rPr>
      </w:pPr>
      <w:r w:rsidRPr="008C64F6">
        <w:rPr>
          <w:rFonts w:ascii="Arial" w:hAnsi="Arial" w:cs="Arial"/>
          <w:sz w:val="22"/>
          <w:szCs w:val="22"/>
        </w:rPr>
        <w:t>W kolejnym punkcie omówione został</w:t>
      </w:r>
      <w:r w:rsidR="001160CD">
        <w:rPr>
          <w:rFonts w:ascii="Arial" w:hAnsi="Arial" w:cs="Arial"/>
          <w:sz w:val="22"/>
          <w:szCs w:val="22"/>
        </w:rPr>
        <w:t>y</w:t>
      </w:r>
      <w:r w:rsidRPr="008C64F6">
        <w:rPr>
          <w:rFonts w:ascii="Arial" w:hAnsi="Arial" w:cs="Arial"/>
          <w:sz w:val="22"/>
          <w:szCs w:val="22"/>
        </w:rPr>
        <w:t xml:space="preserve"> </w:t>
      </w:r>
      <w:r w:rsidR="001160CD">
        <w:rPr>
          <w:rFonts w:ascii="Arial" w:hAnsi="Arial" w:cs="Arial"/>
          <w:sz w:val="22"/>
          <w:szCs w:val="22"/>
        </w:rPr>
        <w:t xml:space="preserve">instrumenty finansowe w perspektywie </w:t>
      </w:r>
      <w:r w:rsidRPr="008C64F6">
        <w:rPr>
          <w:rFonts w:ascii="Arial" w:hAnsi="Arial" w:cs="Arial"/>
          <w:sz w:val="22"/>
          <w:szCs w:val="22"/>
        </w:rPr>
        <w:t>2014-2020, przedstawiony został stan prac</w:t>
      </w:r>
      <w:r w:rsidR="00303FEC">
        <w:rPr>
          <w:rFonts w:ascii="Arial" w:hAnsi="Arial" w:cs="Arial"/>
          <w:sz w:val="22"/>
          <w:szCs w:val="22"/>
        </w:rPr>
        <w:t>:</w:t>
      </w:r>
    </w:p>
    <w:p w:rsidR="00EB78FC" w:rsidRDefault="00303FEC" w:rsidP="00303FEC">
      <w:pPr>
        <w:ind w:left="360"/>
        <w:jc w:val="both"/>
        <w:rPr>
          <w:rFonts w:ascii="Arial" w:hAnsi="Arial" w:cs="Arial"/>
          <w:sz w:val="22"/>
          <w:szCs w:val="22"/>
        </w:rPr>
      </w:pPr>
      <w:r>
        <w:rPr>
          <w:rFonts w:ascii="Arial" w:hAnsi="Arial" w:cs="Arial"/>
          <w:sz w:val="22"/>
          <w:szCs w:val="22"/>
        </w:rPr>
        <w:t>Trwają n</w:t>
      </w:r>
      <w:r w:rsidR="008C64F6" w:rsidRPr="008C64F6">
        <w:rPr>
          <w:rFonts w:ascii="Arial" w:hAnsi="Arial" w:cs="Arial"/>
          <w:sz w:val="22"/>
          <w:szCs w:val="22"/>
        </w:rPr>
        <w:t xml:space="preserve">egocjacje w ramach </w:t>
      </w:r>
      <w:proofErr w:type="spellStart"/>
      <w:r w:rsidR="008C64F6" w:rsidRPr="008C64F6">
        <w:rPr>
          <w:rFonts w:ascii="Arial" w:hAnsi="Arial" w:cs="Arial"/>
          <w:sz w:val="22"/>
          <w:szCs w:val="22"/>
        </w:rPr>
        <w:t>trillogu</w:t>
      </w:r>
      <w:proofErr w:type="spellEnd"/>
      <w:r w:rsidR="008C64F6" w:rsidRPr="008C64F6">
        <w:rPr>
          <w:rFonts w:ascii="Arial" w:hAnsi="Arial" w:cs="Arial"/>
          <w:sz w:val="22"/>
          <w:szCs w:val="22"/>
        </w:rPr>
        <w:t xml:space="preserve"> nad ostateczną wersją Rozporządzenia Ogólnego (CPR) na lata 2014-2020, w tym rozdziału IV – Instrumenty Finansowe (planowane zakończenie jesień 2013r.)</w:t>
      </w:r>
      <w:r>
        <w:rPr>
          <w:rFonts w:ascii="Arial" w:hAnsi="Arial" w:cs="Arial"/>
          <w:sz w:val="22"/>
          <w:szCs w:val="22"/>
        </w:rPr>
        <w:t>; w</w:t>
      </w:r>
      <w:r w:rsidR="008C64F6" w:rsidRPr="008C64F6">
        <w:rPr>
          <w:rFonts w:ascii="Arial" w:hAnsi="Arial" w:cs="Arial"/>
          <w:sz w:val="22"/>
          <w:szCs w:val="22"/>
        </w:rPr>
        <w:t xml:space="preserve"> czerwcu 2013r. KE przedstawiła wstępne założenia aktów implementacyjnych i delegowanych w zakresie IF</w:t>
      </w:r>
      <w:r w:rsidR="00EB78FC">
        <w:rPr>
          <w:rFonts w:ascii="Arial" w:hAnsi="Arial" w:cs="Arial"/>
          <w:sz w:val="22"/>
          <w:szCs w:val="22"/>
        </w:rPr>
        <w:t>.</w:t>
      </w:r>
    </w:p>
    <w:p w:rsidR="008C64F6" w:rsidRPr="008C64F6" w:rsidRDefault="00EB78FC" w:rsidP="00303FEC">
      <w:pPr>
        <w:ind w:left="360"/>
        <w:jc w:val="both"/>
        <w:rPr>
          <w:rFonts w:ascii="Arial" w:hAnsi="Arial" w:cs="Arial"/>
          <w:sz w:val="22"/>
          <w:szCs w:val="22"/>
        </w:rPr>
      </w:pPr>
      <w:r>
        <w:rPr>
          <w:rFonts w:ascii="Arial" w:hAnsi="Arial" w:cs="Arial"/>
          <w:sz w:val="22"/>
          <w:szCs w:val="22"/>
        </w:rPr>
        <w:t xml:space="preserve">Na poziomie krajowym przygotowywane są analizy </w:t>
      </w:r>
      <w:proofErr w:type="spellStart"/>
      <w:r>
        <w:rPr>
          <w:rFonts w:ascii="Arial" w:hAnsi="Arial" w:cs="Arial"/>
          <w:sz w:val="22"/>
          <w:szCs w:val="22"/>
        </w:rPr>
        <w:t>ex-ante</w:t>
      </w:r>
      <w:proofErr w:type="spellEnd"/>
      <w:r>
        <w:rPr>
          <w:rFonts w:ascii="Arial" w:hAnsi="Arial" w:cs="Arial"/>
          <w:sz w:val="22"/>
          <w:szCs w:val="22"/>
        </w:rPr>
        <w:t xml:space="preserve"> dla obszarów w których zostaną wdrożone zwrotne instrumenty, zgodnie z wymogiem</w:t>
      </w:r>
      <w:r w:rsidRPr="008C64F6">
        <w:rPr>
          <w:rFonts w:ascii="Arial" w:hAnsi="Arial" w:cs="Arial"/>
          <w:sz w:val="22"/>
          <w:szCs w:val="22"/>
        </w:rPr>
        <w:t xml:space="preserve"> art. 32 CPR</w:t>
      </w:r>
      <w:r>
        <w:rPr>
          <w:rFonts w:ascii="Arial" w:hAnsi="Arial" w:cs="Arial"/>
          <w:sz w:val="22"/>
          <w:szCs w:val="22"/>
        </w:rPr>
        <w:t xml:space="preserve">. Oceny takiej musi dokonać każda instytucja zarządzająca przewidująca wdrożenie w swoim programie IF. Dużą niewiadomą są w tym procesie powstające dopiero wymogi Komisji Europejskie w zakresie przeprowadzania analiz </w:t>
      </w:r>
      <w:proofErr w:type="spellStart"/>
      <w:r>
        <w:rPr>
          <w:rFonts w:ascii="Arial" w:hAnsi="Arial" w:cs="Arial"/>
          <w:sz w:val="22"/>
          <w:szCs w:val="22"/>
        </w:rPr>
        <w:t>ex-ante</w:t>
      </w:r>
      <w:proofErr w:type="spellEnd"/>
      <w:r>
        <w:rPr>
          <w:rFonts w:ascii="Arial" w:hAnsi="Arial" w:cs="Arial"/>
          <w:sz w:val="22"/>
          <w:szCs w:val="22"/>
        </w:rPr>
        <w:t xml:space="preserve"> – mają być opublikowane pod koniec 2013 r.</w:t>
      </w:r>
      <w:r w:rsidR="008C64F6" w:rsidRPr="008C64F6">
        <w:rPr>
          <w:rFonts w:ascii="Arial" w:hAnsi="Arial" w:cs="Arial"/>
          <w:sz w:val="22"/>
          <w:szCs w:val="22"/>
        </w:rPr>
        <w:t>.</w:t>
      </w:r>
      <w:r w:rsidR="00303FEC">
        <w:rPr>
          <w:rFonts w:ascii="Arial" w:hAnsi="Arial" w:cs="Arial"/>
          <w:sz w:val="22"/>
          <w:szCs w:val="22"/>
        </w:rPr>
        <w:t xml:space="preserve"> </w:t>
      </w:r>
      <w:r>
        <w:rPr>
          <w:rFonts w:ascii="Arial" w:hAnsi="Arial" w:cs="Arial"/>
          <w:sz w:val="22"/>
          <w:szCs w:val="22"/>
        </w:rPr>
        <w:t>Ponadto, t</w:t>
      </w:r>
      <w:r w:rsidR="008C64F6" w:rsidRPr="008C64F6">
        <w:rPr>
          <w:rFonts w:ascii="Arial" w:hAnsi="Arial" w:cs="Arial"/>
          <w:sz w:val="22"/>
          <w:szCs w:val="22"/>
        </w:rPr>
        <w:t>oczą się</w:t>
      </w:r>
      <w:r w:rsidR="00303FEC">
        <w:rPr>
          <w:rFonts w:ascii="Arial" w:hAnsi="Arial" w:cs="Arial"/>
          <w:sz w:val="22"/>
          <w:szCs w:val="22"/>
        </w:rPr>
        <w:t xml:space="preserve"> także</w:t>
      </w:r>
      <w:r w:rsidR="008C64F6" w:rsidRPr="008C64F6">
        <w:rPr>
          <w:rFonts w:ascii="Arial" w:hAnsi="Arial" w:cs="Arial"/>
          <w:sz w:val="22"/>
          <w:szCs w:val="22"/>
        </w:rPr>
        <w:t xml:space="preserve"> prace nad ujęciem tematyki IF w ustawie o zasadach realizacji programów operacyjnych polityki spójności w latach 2014-2020.</w:t>
      </w:r>
    </w:p>
    <w:p w:rsidR="008C64F6" w:rsidRPr="008C64F6" w:rsidRDefault="008C64F6" w:rsidP="00F31910">
      <w:pPr>
        <w:ind w:left="360"/>
        <w:jc w:val="both"/>
        <w:rPr>
          <w:rFonts w:ascii="Arial" w:hAnsi="Arial" w:cs="Arial"/>
          <w:b/>
          <w:sz w:val="22"/>
          <w:szCs w:val="22"/>
        </w:rPr>
      </w:pPr>
    </w:p>
    <w:p w:rsidR="00F13DDE" w:rsidRDefault="00F13DDE" w:rsidP="008C64F6">
      <w:pPr>
        <w:jc w:val="both"/>
        <w:rPr>
          <w:rFonts w:ascii="Arial" w:hAnsi="Arial" w:cs="Arial"/>
          <w:sz w:val="22"/>
          <w:szCs w:val="22"/>
        </w:rPr>
      </w:pPr>
    </w:p>
    <w:p w:rsidR="009B7FCE" w:rsidRDefault="009B7FCE" w:rsidP="009B7FCE">
      <w:pPr>
        <w:ind w:left="360"/>
        <w:jc w:val="both"/>
        <w:rPr>
          <w:rFonts w:ascii="Arial" w:hAnsi="Arial" w:cs="Arial"/>
          <w:b/>
          <w:sz w:val="22"/>
          <w:szCs w:val="22"/>
        </w:rPr>
      </w:pPr>
    </w:p>
    <w:p w:rsidR="008D05C1" w:rsidRDefault="00A0377D" w:rsidP="0012659B">
      <w:pPr>
        <w:tabs>
          <w:tab w:val="left" w:pos="540"/>
        </w:tabs>
        <w:ind w:left="708" w:hanging="348"/>
        <w:jc w:val="both"/>
        <w:rPr>
          <w:rFonts w:ascii="Arial" w:hAnsi="Arial" w:cs="Arial"/>
          <w:sz w:val="22"/>
          <w:szCs w:val="22"/>
        </w:rPr>
      </w:pPr>
      <w:r>
        <w:rPr>
          <w:rFonts w:ascii="Arial" w:hAnsi="Arial" w:cs="Arial"/>
          <w:b/>
          <w:sz w:val="22"/>
          <w:szCs w:val="22"/>
        </w:rPr>
        <w:t xml:space="preserve">2. </w:t>
      </w:r>
      <w:r w:rsidR="0012659B">
        <w:rPr>
          <w:rFonts w:ascii="Arial" w:hAnsi="Arial" w:cs="Arial"/>
          <w:b/>
          <w:sz w:val="22"/>
          <w:szCs w:val="22"/>
        </w:rPr>
        <w:tab/>
      </w:r>
      <w:r w:rsidR="00303FEC">
        <w:rPr>
          <w:rFonts w:ascii="Arial" w:hAnsi="Arial" w:cs="Arial"/>
          <w:b/>
          <w:sz w:val="22"/>
          <w:szCs w:val="22"/>
        </w:rPr>
        <w:t xml:space="preserve">Regionalne Programy Operacyjne 2014-2020; </w:t>
      </w:r>
      <w:r w:rsidR="007E3B6B">
        <w:rPr>
          <w:rFonts w:ascii="Arial" w:hAnsi="Arial" w:cs="Arial"/>
          <w:b/>
          <w:sz w:val="22"/>
          <w:szCs w:val="22"/>
        </w:rPr>
        <w:t>propozycje działań realizujących cel tematyczny nr 1 (wspieranie badań naukowych, rozwoju technologicznego i innowacji) i nr 3 (podnoszenie konkurencyjności MŚP) w określonych regionach</w:t>
      </w:r>
    </w:p>
    <w:p w:rsidR="00F13DDE" w:rsidRDefault="00F13DDE" w:rsidP="00D454C0">
      <w:pPr>
        <w:ind w:left="360"/>
        <w:jc w:val="both"/>
        <w:rPr>
          <w:rFonts w:ascii="Arial" w:hAnsi="Arial" w:cs="Arial"/>
          <w:sz w:val="22"/>
          <w:szCs w:val="22"/>
        </w:rPr>
      </w:pPr>
    </w:p>
    <w:p w:rsidR="009130E2" w:rsidRPr="00F45D85" w:rsidRDefault="00EB78FC" w:rsidP="00F45D85">
      <w:pPr>
        <w:ind w:left="426"/>
        <w:jc w:val="both"/>
        <w:rPr>
          <w:rFonts w:ascii="Arial" w:hAnsi="Arial" w:cs="Arial"/>
          <w:sz w:val="22"/>
          <w:szCs w:val="22"/>
        </w:rPr>
      </w:pPr>
      <w:r w:rsidRPr="00F45D85">
        <w:rPr>
          <w:rFonts w:ascii="Arial" w:hAnsi="Arial" w:cs="Arial"/>
          <w:sz w:val="22"/>
          <w:szCs w:val="22"/>
        </w:rPr>
        <w:t>Przedstawiciele regionalnych instytucji poinformowali o stanie przygotowań do przyszłej perspektywy</w:t>
      </w:r>
      <w:r w:rsidR="009130E2" w:rsidRPr="00F45D85">
        <w:rPr>
          <w:rFonts w:ascii="Arial" w:hAnsi="Arial" w:cs="Arial"/>
          <w:sz w:val="22"/>
          <w:szCs w:val="22"/>
        </w:rPr>
        <w:t xml:space="preserve"> – powstających regionalnych programach operacyjnych na lata 2014-2020.</w:t>
      </w:r>
    </w:p>
    <w:p w:rsidR="009130E2" w:rsidRPr="00F45D85" w:rsidRDefault="009130E2" w:rsidP="00F45D85">
      <w:pPr>
        <w:ind w:left="426"/>
        <w:jc w:val="both"/>
        <w:rPr>
          <w:rFonts w:ascii="Arial" w:hAnsi="Arial" w:cs="Arial"/>
          <w:sz w:val="22"/>
          <w:szCs w:val="22"/>
        </w:rPr>
      </w:pPr>
    </w:p>
    <w:p w:rsidR="009130E2" w:rsidRPr="00F45D85" w:rsidRDefault="009130E2" w:rsidP="00F45D85">
      <w:pPr>
        <w:ind w:left="426"/>
        <w:jc w:val="both"/>
        <w:rPr>
          <w:rFonts w:ascii="Arial" w:hAnsi="Arial" w:cs="Arial"/>
          <w:sz w:val="22"/>
          <w:szCs w:val="22"/>
        </w:rPr>
      </w:pPr>
      <w:r w:rsidRPr="00F45D85">
        <w:rPr>
          <w:rFonts w:ascii="Arial" w:hAnsi="Arial" w:cs="Arial"/>
          <w:sz w:val="22"/>
          <w:szCs w:val="22"/>
        </w:rPr>
        <w:lastRenderedPageBreak/>
        <w:t>Zgodnie z informacjami przedstawionymi przez  przedstawicielkę województwa warmińsko-mazurskiego, w przyszłym programie tego regionu przewiduje się relatywnie duży udział zwrotnego wsparcia. W związku z niedawną zmianą przyszłej linii demarkacyjnej, w programie tym rozważane są też możliwości finansowania infrastruktury badawczej w partnerstwie ze środowiskiem przedsiębiorców.</w:t>
      </w:r>
    </w:p>
    <w:p w:rsidR="000E09AA" w:rsidRDefault="00962E5F" w:rsidP="00F45D85">
      <w:pPr>
        <w:ind w:left="426"/>
        <w:jc w:val="both"/>
        <w:rPr>
          <w:rFonts w:ascii="Arial" w:hAnsi="Arial" w:cs="Arial"/>
          <w:sz w:val="22"/>
          <w:szCs w:val="22"/>
        </w:rPr>
      </w:pPr>
      <w:r w:rsidRPr="00F45D85">
        <w:rPr>
          <w:rFonts w:ascii="Arial" w:hAnsi="Arial" w:cs="Arial"/>
          <w:sz w:val="22"/>
          <w:szCs w:val="22"/>
        </w:rPr>
        <w:t>Przedyskutowana została prezentacja przygotowana przez LAWP, omawiająca wstęp</w:t>
      </w:r>
      <w:r>
        <w:rPr>
          <w:rFonts w:ascii="Arial" w:hAnsi="Arial" w:cs="Arial"/>
          <w:sz w:val="22"/>
          <w:szCs w:val="22"/>
        </w:rPr>
        <w:t xml:space="preserve">ny zarys obszarów wsparcia w RPO województwa lubelskiego na lata  2014-2020. </w:t>
      </w:r>
    </w:p>
    <w:p w:rsidR="00962E5F" w:rsidRDefault="00962E5F" w:rsidP="001A311D">
      <w:pPr>
        <w:tabs>
          <w:tab w:val="left" w:pos="360"/>
        </w:tabs>
        <w:ind w:left="426"/>
        <w:jc w:val="both"/>
        <w:rPr>
          <w:rFonts w:ascii="Arial" w:hAnsi="Arial" w:cs="Arial"/>
          <w:sz w:val="22"/>
          <w:szCs w:val="22"/>
        </w:rPr>
      </w:pPr>
      <w:r>
        <w:rPr>
          <w:rFonts w:ascii="Arial" w:hAnsi="Arial" w:cs="Arial"/>
          <w:sz w:val="22"/>
          <w:szCs w:val="22"/>
        </w:rPr>
        <w:t>Wskazane jako zagadnienia kluczowe w przyszłej perspektywie finansowej:</w:t>
      </w:r>
    </w:p>
    <w:p w:rsidR="00962E5F" w:rsidRDefault="00962E5F" w:rsidP="001A311D">
      <w:pPr>
        <w:pStyle w:val="Akapitzlist"/>
        <w:numPr>
          <w:ilvl w:val="0"/>
          <w:numId w:val="21"/>
        </w:numPr>
        <w:ind w:left="709" w:hanging="283"/>
        <w:jc w:val="both"/>
        <w:rPr>
          <w:rFonts w:ascii="Arial" w:hAnsi="Arial" w:cs="Arial"/>
          <w:sz w:val="22"/>
          <w:szCs w:val="22"/>
        </w:rPr>
      </w:pPr>
      <w:r>
        <w:rPr>
          <w:rFonts w:ascii="Arial" w:hAnsi="Arial" w:cs="Arial"/>
          <w:sz w:val="22"/>
          <w:szCs w:val="22"/>
        </w:rPr>
        <w:t xml:space="preserve">istotną, większą niż </w:t>
      </w:r>
      <w:r w:rsidR="00256DBF">
        <w:rPr>
          <w:rFonts w:ascii="Arial" w:hAnsi="Arial" w:cs="Arial"/>
          <w:sz w:val="22"/>
          <w:szCs w:val="22"/>
        </w:rPr>
        <w:t xml:space="preserve">w </w:t>
      </w:r>
      <w:r>
        <w:rPr>
          <w:rFonts w:ascii="Arial" w:hAnsi="Arial" w:cs="Arial"/>
          <w:sz w:val="22"/>
          <w:szCs w:val="22"/>
        </w:rPr>
        <w:t>obecn</w:t>
      </w:r>
      <w:r w:rsidR="00256DBF">
        <w:rPr>
          <w:rFonts w:ascii="Arial" w:hAnsi="Arial" w:cs="Arial"/>
          <w:sz w:val="22"/>
          <w:szCs w:val="22"/>
        </w:rPr>
        <w:t>ej</w:t>
      </w:r>
      <w:r>
        <w:rPr>
          <w:rFonts w:ascii="Arial" w:hAnsi="Arial" w:cs="Arial"/>
          <w:sz w:val="22"/>
          <w:szCs w:val="22"/>
        </w:rPr>
        <w:t xml:space="preserve"> perspektywie rolę, odgrywać będzie komplementarność wsparcia (komplementarność polityk, strategii, programów, działań, projektów to ich dopełnienie się prowadzące do realizacji określonego celu),</w:t>
      </w:r>
    </w:p>
    <w:p w:rsidR="009C5D9E" w:rsidRDefault="00962E5F" w:rsidP="001A311D">
      <w:pPr>
        <w:pStyle w:val="Akapitzlist"/>
        <w:numPr>
          <w:ilvl w:val="0"/>
          <w:numId w:val="21"/>
        </w:numPr>
        <w:ind w:left="709" w:hanging="283"/>
        <w:jc w:val="both"/>
        <w:rPr>
          <w:rFonts w:ascii="Arial" w:hAnsi="Arial" w:cs="Arial"/>
          <w:sz w:val="22"/>
          <w:szCs w:val="22"/>
        </w:rPr>
      </w:pPr>
      <w:r w:rsidRPr="009C5D9E">
        <w:rPr>
          <w:rFonts w:ascii="Arial" w:hAnsi="Arial" w:cs="Arial"/>
          <w:sz w:val="22"/>
          <w:szCs w:val="22"/>
        </w:rPr>
        <w:t>większy nacisk położony zostanie na tzw. podejście zintegrowane, w związku z czym preferowane będą przedsięwzięcia realizujące te logikę wsparcia (np. nowy instrument –Zintegrowana Inwestycja Terytorialna)</w:t>
      </w:r>
      <w:r w:rsidR="009C5D9E">
        <w:rPr>
          <w:rFonts w:ascii="Arial" w:hAnsi="Arial" w:cs="Arial"/>
          <w:sz w:val="22"/>
          <w:szCs w:val="22"/>
        </w:rPr>
        <w:t>,</w:t>
      </w:r>
    </w:p>
    <w:p w:rsidR="009C5D9E" w:rsidRDefault="009C5D9E" w:rsidP="001A311D">
      <w:pPr>
        <w:pStyle w:val="Akapitzlist"/>
        <w:numPr>
          <w:ilvl w:val="0"/>
          <w:numId w:val="21"/>
        </w:numPr>
        <w:ind w:left="709" w:hanging="283"/>
        <w:jc w:val="both"/>
        <w:rPr>
          <w:rFonts w:ascii="Arial" w:hAnsi="Arial" w:cs="Arial"/>
          <w:sz w:val="22"/>
          <w:szCs w:val="22"/>
        </w:rPr>
      </w:pPr>
      <w:r>
        <w:rPr>
          <w:rFonts w:ascii="Arial" w:hAnsi="Arial" w:cs="Arial"/>
          <w:sz w:val="22"/>
          <w:szCs w:val="22"/>
        </w:rPr>
        <w:t xml:space="preserve">większy nacisk położony zostanie na terytorialny </w:t>
      </w:r>
      <w:r w:rsidR="009E1FB7">
        <w:rPr>
          <w:rFonts w:ascii="Arial" w:hAnsi="Arial" w:cs="Arial"/>
          <w:sz w:val="22"/>
          <w:szCs w:val="22"/>
        </w:rPr>
        <w:t>wymiar</w:t>
      </w:r>
      <w:r w:rsidR="009E1FB7" w:rsidRPr="009C5D9E">
        <w:rPr>
          <w:rFonts w:ascii="Arial" w:hAnsi="Arial" w:cs="Arial"/>
          <w:sz w:val="22"/>
          <w:szCs w:val="22"/>
        </w:rPr>
        <w:t xml:space="preserve"> </w:t>
      </w:r>
      <w:r w:rsidR="009E1FB7">
        <w:rPr>
          <w:rFonts w:ascii="Arial" w:hAnsi="Arial" w:cs="Arial"/>
          <w:sz w:val="22"/>
          <w:szCs w:val="22"/>
        </w:rPr>
        <w:t>prowadzonej</w:t>
      </w:r>
      <w:r>
        <w:rPr>
          <w:rFonts w:ascii="Arial" w:hAnsi="Arial" w:cs="Arial"/>
          <w:sz w:val="22"/>
          <w:szCs w:val="22"/>
        </w:rPr>
        <w:t xml:space="preserve"> inwentaryzacji (tzw. podejście terytorialne),</w:t>
      </w:r>
    </w:p>
    <w:p w:rsidR="009C5D9E" w:rsidRPr="009C5D9E" w:rsidRDefault="009C5D9E" w:rsidP="001A311D">
      <w:pPr>
        <w:pStyle w:val="Akapitzlist"/>
        <w:numPr>
          <w:ilvl w:val="0"/>
          <w:numId w:val="21"/>
        </w:numPr>
        <w:ind w:left="709" w:hanging="283"/>
        <w:jc w:val="both"/>
        <w:rPr>
          <w:rFonts w:ascii="Arial" w:hAnsi="Arial" w:cs="Arial"/>
          <w:sz w:val="22"/>
          <w:szCs w:val="22"/>
        </w:rPr>
      </w:pPr>
      <w:r>
        <w:rPr>
          <w:rFonts w:ascii="Arial" w:hAnsi="Arial" w:cs="Arial"/>
          <w:sz w:val="22"/>
          <w:szCs w:val="22"/>
        </w:rPr>
        <w:t>przy realizacji działań rozwojowych w większym stopniu realizowane powinno być partnerstwo oraz współpraca podmiotów. (Partnerstwo i wielopoziomowe sprawozdanie rządów to jednak z zasad ogólnych w przyszłej perspektywie finansowej – art. 5 projektu rozporządzanie ogólnego),</w:t>
      </w:r>
    </w:p>
    <w:p w:rsidR="009C5D9E" w:rsidRPr="009C5D9E" w:rsidRDefault="009E1FB7" w:rsidP="001A311D">
      <w:pPr>
        <w:pStyle w:val="Akapitzlist"/>
        <w:numPr>
          <w:ilvl w:val="0"/>
          <w:numId w:val="21"/>
        </w:numPr>
        <w:ind w:left="709" w:hanging="283"/>
        <w:jc w:val="both"/>
        <w:rPr>
          <w:rFonts w:ascii="Arial" w:hAnsi="Arial" w:cs="Arial"/>
          <w:sz w:val="22"/>
          <w:szCs w:val="22"/>
        </w:rPr>
      </w:pPr>
      <w:r>
        <w:rPr>
          <w:rFonts w:ascii="Arial" w:hAnsi="Arial" w:cs="Arial"/>
          <w:sz w:val="22"/>
          <w:szCs w:val="22"/>
        </w:rPr>
        <w:t>nastąpi</w:t>
      </w:r>
      <w:r w:rsidR="00256DBF">
        <w:rPr>
          <w:rFonts w:ascii="Arial" w:hAnsi="Arial" w:cs="Arial"/>
          <w:sz w:val="22"/>
          <w:szCs w:val="22"/>
        </w:rPr>
        <w:t xml:space="preserve"> wzrost</w:t>
      </w:r>
      <w:r>
        <w:rPr>
          <w:rFonts w:ascii="Arial" w:hAnsi="Arial" w:cs="Arial"/>
          <w:sz w:val="22"/>
          <w:szCs w:val="22"/>
        </w:rPr>
        <w:t xml:space="preserve"> wykorzystania instrumentów finansowych (IF) w programach polityki spójności. Wprowadzone zostaną nowe, dotychczasowe niestosowane instrumenty finansowe</w:t>
      </w:r>
      <w:r w:rsidR="00256DBF">
        <w:rPr>
          <w:rFonts w:ascii="Arial" w:hAnsi="Arial" w:cs="Arial"/>
          <w:sz w:val="22"/>
          <w:szCs w:val="22"/>
        </w:rPr>
        <w:t>.</w:t>
      </w:r>
      <w:r w:rsidR="009C5D9E">
        <w:rPr>
          <w:rFonts w:ascii="Arial" w:hAnsi="Arial" w:cs="Arial"/>
          <w:sz w:val="22"/>
          <w:szCs w:val="22"/>
        </w:rPr>
        <w:t xml:space="preserve"> </w:t>
      </w:r>
    </w:p>
    <w:p w:rsidR="001A311D" w:rsidRDefault="001A311D" w:rsidP="001A311D">
      <w:pPr>
        <w:ind w:left="426"/>
        <w:jc w:val="both"/>
        <w:rPr>
          <w:rFonts w:ascii="Arial" w:hAnsi="Arial" w:cs="Arial"/>
          <w:sz w:val="22"/>
          <w:szCs w:val="22"/>
        </w:rPr>
      </w:pPr>
    </w:p>
    <w:p w:rsidR="00434CE9" w:rsidRDefault="00AE4DDA" w:rsidP="001A311D">
      <w:pPr>
        <w:ind w:left="426"/>
        <w:jc w:val="both"/>
        <w:rPr>
          <w:rFonts w:ascii="Arial" w:hAnsi="Arial" w:cs="Arial"/>
          <w:sz w:val="22"/>
          <w:szCs w:val="22"/>
        </w:rPr>
      </w:pPr>
      <w:r w:rsidRPr="00AE4DDA">
        <w:rPr>
          <w:rFonts w:ascii="Arial" w:hAnsi="Arial" w:cs="Arial"/>
          <w:sz w:val="22"/>
          <w:szCs w:val="22"/>
        </w:rPr>
        <w:t xml:space="preserve">Zarząd </w:t>
      </w:r>
      <w:r>
        <w:rPr>
          <w:rFonts w:ascii="Arial" w:hAnsi="Arial" w:cs="Arial"/>
          <w:sz w:val="22"/>
          <w:szCs w:val="22"/>
        </w:rPr>
        <w:t>Województwa Lubelskiego w dniu 5 marca 2013r. zaakceptował wstępny projekt obszarów wsparcia w Regionalnym Programie Operacyjnym Województwa Lubelskiego na lata 2014-2020 z jednoczesnym zachowaniem możliwości modyfikacji w zakresie konstrukcji osi Priorytetowych Programu.</w:t>
      </w:r>
    </w:p>
    <w:p w:rsidR="001A311D" w:rsidRDefault="00AE4DDA" w:rsidP="001A311D">
      <w:pPr>
        <w:ind w:left="426"/>
        <w:jc w:val="both"/>
        <w:rPr>
          <w:rFonts w:ascii="Arial" w:hAnsi="Arial" w:cs="Arial"/>
          <w:sz w:val="22"/>
          <w:szCs w:val="22"/>
        </w:rPr>
      </w:pPr>
      <w:r>
        <w:rPr>
          <w:rFonts w:ascii="Arial" w:hAnsi="Arial" w:cs="Arial"/>
          <w:sz w:val="22"/>
          <w:szCs w:val="22"/>
        </w:rPr>
        <w:t xml:space="preserve">Wstępny projekt obszarów wsparcia w </w:t>
      </w:r>
      <w:r w:rsidR="001A311D">
        <w:rPr>
          <w:rFonts w:ascii="Arial" w:hAnsi="Arial" w:cs="Arial"/>
          <w:sz w:val="22"/>
          <w:szCs w:val="22"/>
        </w:rPr>
        <w:t>ramach RPO WL 2014 – 2020 opracowany został w oparciu o projekt Linii Demarkacyjnej (czyli projekt podziału realizacji różnego typu działań pomiędzy poziom krajowy i regionalny oraz pomiędzy poszczególne fundusze), który cały czas podlega modyfikacjom. W związku z powyższym ostateczny kształt obszarów wsparcia Programu może ulec zmianie.</w:t>
      </w:r>
    </w:p>
    <w:p w:rsidR="001A311D" w:rsidRDefault="001A311D" w:rsidP="001A311D">
      <w:pPr>
        <w:ind w:left="426"/>
        <w:jc w:val="both"/>
        <w:rPr>
          <w:rFonts w:ascii="Arial" w:hAnsi="Arial" w:cs="Arial"/>
          <w:sz w:val="22"/>
          <w:szCs w:val="22"/>
        </w:rPr>
      </w:pPr>
    </w:p>
    <w:p w:rsidR="001A311D" w:rsidRDefault="001A311D" w:rsidP="001A311D">
      <w:pPr>
        <w:ind w:left="426"/>
        <w:jc w:val="both"/>
        <w:rPr>
          <w:rFonts w:ascii="Arial" w:hAnsi="Arial" w:cs="Arial"/>
          <w:sz w:val="22"/>
          <w:szCs w:val="22"/>
        </w:rPr>
      </w:pPr>
      <w:r>
        <w:rPr>
          <w:rFonts w:ascii="Arial" w:hAnsi="Arial" w:cs="Arial"/>
          <w:sz w:val="22"/>
          <w:szCs w:val="22"/>
        </w:rPr>
        <w:t>Zatwierdzony przez ZWL materiał opracowany został w wyniku dotychczasowych prac nad RPO WL 2014-2020, które determinowane są szeregiem uwarunkowań, wynikających przede wszystkim z faktu, iż programowanie przyszłej perspektywy finansowej odbywa się równocześnie na poziomie wspólnotowym, krajowym i regionalnym, a w związku z powyższym – nie jest możliwe ostateczne określenie zakresu wsparcia w ramach poszczególnych programów operacyjnych.</w:t>
      </w:r>
    </w:p>
    <w:p w:rsidR="001A311D" w:rsidRDefault="001A311D" w:rsidP="001A311D">
      <w:pPr>
        <w:ind w:left="426"/>
        <w:jc w:val="both"/>
        <w:rPr>
          <w:rFonts w:ascii="Arial" w:hAnsi="Arial" w:cs="Arial"/>
          <w:sz w:val="22"/>
          <w:szCs w:val="22"/>
        </w:rPr>
      </w:pPr>
    </w:p>
    <w:p w:rsidR="009C5D9E" w:rsidRPr="009C5D9E" w:rsidRDefault="009C5D9E" w:rsidP="009C5D9E">
      <w:pPr>
        <w:tabs>
          <w:tab w:val="left" w:pos="360"/>
        </w:tabs>
        <w:jc w:val="both"/>
        <w:rPr>
          <w:rFonts w:ascii="Arial" w:hAnsi="Arial" w:cs="Arial"/>
          <w:sz w:val="22"/>
          <w:szCs w:val="22"/>
        </w:rPr>
      </w:pPr>
    </w:p>
    <w:p w:rsidR="00F85345" w:rsidRDefault="00F85345" w:rsidP="00CB62AC">
      <w:pPr>
        <w:jc w:val="both"/>
        <w:rPr>
          <w:rFonts w:ascii="Arial" w:hAnsi="Arial" w:cs="Arial"/>
          <w:sz w:val="22"/>
          <w:szCs w:val="22"/>
        </w:rPr>
      </w:pPr>
    </w:p>
    <w:p w:rsidR="00E731CF" w:rsidRDefault="00F82931" w:rsidP="00F85345">
      <w:pPr>
        <w:ind w:left="708" w:hanging="360"/>
        <w:jc w:val="both"/>
        <w:rPr>
          <w:rFonts w:ascii="Arial" w:hAnsi="Arial" w:cs="Arial"/>
          <w:b/>
          <w:sz w:val="22"/>
          <w:szCs w:val="22"/>
        </w:rPr>
      </w:pPr>
      <w:r>
        <w:rPr>
          <w:rFonts w:ascii="Arial" w:hAnsi="Arial" w:cs="Arial"/>
          <w:b/>
          <w:sz w:val="22"/>
          <w:szCs w:val="22"/>
        </w:rPr>
        <w:t>3</w:t>
      </w:r>
      <w:r w:rsidR="00D52CE8" w:rsidRPr="00D52CE8">
        <w:rPr>
          <w:rFonts w:ascii="Arial" w:hAnsi="Arial" w:cs="Arial"/>
          <w:b/>
          <w:sz w:val="22"/>
          <w:szCs w:val="22"/>
        </w:rPr>
        <w:t xml:space="preserve">. </w:t>
      </w:r>
      <w:r w:rsidR="006B2844">
        <w:rPr>
          <w:rFonts w:ascii="Arial" w:hAnsi="Arial" w:cs="Arial"/>
          <w:b/>
          <w:sz w:val="22"/>
          <w:szCs w:val="22"/>
        </w:rPr>
        <w:t xml:space="preserve"> </w:t>
      </w:r>
      <w:r w:rsidR="007A37FB">
        <w:rPr>
          <w:rFonts w:ascii="Arial" w:hAnsi="Arial" w:cs="Arial"/>
          <w:b/>
          <w:sz w:val="22"/>
          <w:szCs w:val="22"/>
        </w:rPr>
        <w:t xml:space="preserve">Monitoring wdrażania programów wsparcia MŚP na poziomie centralnym i </w:t>
      </w:r>
      <w:r w:rsidR="00F85345">
        <w:rPr>
          <w:rFonts w:ascii="Arial" w:hAnsi="Arial" w:cs="Arial"/>
          <w:b/>
          <w:sz w:val="22"/>
          <w:szCs w:val="22"/>
        </w:rPr>
        <w:t xml:space="preserve">           </w:t>
      </w:r>
      <w:r w:rsidR="009B2745">
        <w:rPr>
          <w:rFonts w:ascii="Arial" w:hAnsi="Arial" w:cs="Arial"/>
          <w:b/>
          <w:sz w:val="22"/>
          <w:szCs w:val="22"/>
        </w:rPr>
        <w:t xml:space="preserve">  </w:t>
      </w:r>
      <w:r w:rsidR="007A37FB">
        <w:rPr>
          <w:rFonts w:ascii="Arial" w:hAnsi="Arial" w:cs="Arial"/>
          <w:b/>
          <w:sz w:val="22"/>
          <w:szCs w:val="22"/>
        </w:rPr>
        <w:t>regionalnym</w:t>
      </w:r>
    </w:p>
    <w:p w:rsidR="00F13DDE" w:rsidRDefault="00F13DDE" w:rsidP="0048496B">
      <w:pPr>
        <w:ind w:left="360"/>
        <w:jc w:val="both"/>
        <w:rPr>
          <w:rFonts w:ascii="Arial" w:hAnsi="Arial" w:cs="Arial"/>
          <w:sz w:val="22"/>
          <w:szCs w:val="22"/>
        </w:rPr>
      </w:pPr>
    </w:p>
    <w:p w:rsidR="007A37FB" w:rsidRDefault="00F85345" w:rsidP="0048496B">
      <w:pPr>
        <w:ind w:left="360"/>
        <w:jc w:val="both"/>
        <w:rPr>
          <w:rFonts w:ascii="Arial" w:hAnsi="Arial" w:cs="Arial"/>
          <w:sz w:val="22"/>
          <w:szCs w:val="22"/>
        </w:rPr>
      </w:pPr>
      <w:r>
        <w:rPr>
          <w:rFonts w:ascii="Arial" w:hAnsi="Arial" w:cs="Arial"/>
          <w:sz w:val="22"/>
          <w:szCs w:val="22"/>
        </w:rPr>
        <w:t>Cele horyzontalne NSRO 2007-2013</w:t>
      </w:r>
      <w:r w:rsidR="00E26858">
        <w:rPr>
          <w:rFonts w:ascii="Arial" w:hAnsi="Arial" w:cs="Arial"/>
          <w:sz w:val="22"/>
          <w:szCs w:val="22"/>
        </w:rPr>
        <w:t>:</w:t>
      </w:r>
    </w:p>
    <w:p w:rsidR="00F85345" w:rsidRDefault="00F85345" w:rsidP="00F85345">
      <w:pPr>
        <w:ind w:left="1134" w:hanging="567"/>
        <w:jc w:val="both"/>
        <w:rPr>
          <w:rFonts w:ascii="Arial" w:hAnsi="Arial" w:cs="Arial"/>
          <w:sz w:val="22"/>
          <w:szCs w:val="22"/>
        </w:rPr>
      </w:pPr>
      <w:r>
        <w:rPr>
          <w:rFonts w:ascii="Arial" w:hAnsi="Arial" w:cs="Arial"/>
          <w:sz w:val="22"/>
          <w:szCs w:val="22"/>
        </w:rPr>
        <w:t>C1: Poprawa jakości funkcjonowania instytucji publicznych oraz rozbudowa mechanizmów partnerstwa</w:t>
      </w:r>
      <w:r w:rsidR="00861290">
        <w:rPr>
          <w:rFonts w:ascii="Arial" w:hAnsi="Arial" w:cs="Arial"/>
          <w:sz w:val="22"/>
          <w:szCs w:val="22"/>
        </w:rPr>
        <w:t>,</w:t>
      </w:r>
    </w:p>
    <w:p w:rsidR="00F85345" w:rsidRDefault="00F85345" w:rsidP="00F85345">
      <w:pPr>
        <w:ind w:left="1134" w:hanging="567"/>
        <w:jc w:val="both"/>
        <w:rPr>
          <w:rFonts w:ascii="Arial" w:hAnsi="Arial" w:cs="Arial"/>
          <w:sz w:val="22"/>
          <w:szCs w:val="22"/>
        </w:rPr>
      </w:pPr>
      <w:r>
        <w:rPr>
          <w:rFonts w:ascii="Arial" w:hAnsi="Arial" w:cs="Arial"/>
          <w:sz w:val="22"/>
          <w:szCs w:val="22"/>
        </w:rPr>
        <w:t xml:space="preserve">C2:  </w:t>
      </w:r>
      <w:r>
        <w:rPr>
          <w:rFonts w:ascii="Arial" w:hAnsi="Arial" w:cs="Arial"/>
          <w:sz w:val="22"/>
          <w:szCs w:val="22"/>
        </w:rPr>
        <w:tab/>
        <w:t>Poprawa jakości kapitału ludzkiego i zwiększenie spójności społecznej</w:t>
      </w:r>
      <w:r w:rsidR="00861290">
        <w:rPr>
          <w:rFonts w:ascii="Arial" w:hAnsi="Arial" w:cs="Arial"/>
          <w:sz w:val="22"/>
          <w:szCs w:val="22"/>
        </w:rPr>
        <w:t>,</w:t>
      </w:r>
    </w:p>
    <w:p w:rsidR="00F85345" w:rsidRDefault="00F85345" w:rsidP="00F85345">
      <w:pPr>
        <w:tabs>
          <w:tab w:val="left" w:pos="1134"/>
        </w:tabs>
        <w:ind w:left="1134" w:hanging="567"/>
        <w:jc w:val="both"/>
        <w:rPr>
          <w:rFonts w:ascii="Arial" w:hAnsi="Arial" w:cs="Arial"/>
          <w:sz w:val="22"/>
          <w:szCs w:val="22"/>
        </w:rPr>
      </w:pPr>
      <w:r>
        <w:rPr>
          <w:rFonts w:ascii="Arial" w:hAnsi="Arial" w:cs="Arial"/>
          <w:sz w:val="22"/>
          <w:szCs w:val="22"/>
        </w:rPr>
        <w:t xml:space="preserve">C3: </w:t>
      </w:r>
      <w:r>
        <w:rPr>
          <w:rFonts w:ascii="Arial" w:hAnsi="Arial" w:cs="Arial"/>
          <w:sz w:val="22"/>
          <w:szCs w:val="22"/>
        </w:rPr>
        <w:tab/>
        <w:t>Budowa i modernizacja infrastruktury technicznej i społecznej mającej podstawowe znaczenie dla wzrostu konkurencyjności</w:t>
      </w:r>
      <w:r w:rsidR="00861290">
        <w:rPr>
          <w:rFonts w:ascii="Arial" w:hAnsi="Arial" w:cs="Arial"/>
          <w:sz w:val="22"/>
          <w:szCs w:val="22"/>
        </w:rPr>
        <w:t>,</w:t>
      </w:r>
    </w:p>
    <w:p w:rsidR="00F85345" w:rsidRDefault="00F85345" w:rsidP="00F85345">
      <w:pPr>
        <w:ind w:left="1134" w:hanging="567"/>
        <w:jc w:val="both"/>
        <w:rPr>
          <w:rFonts w:ascii="Arial" w:hAnsi="Arial" w:cs="Arial"/>
          <w:sz w:val="22"/>
          <w:szCs w:val="22"/>
        </w:rPr>
      </w:pPr>
      <w:r>
        <w:rPr>
          <w:rFonts w:ascii="Arial" w:hAnsi="Arial" w:cs="Arial"/>
          <w:sz w:val="22"/>
          <w:szCs w:val="22"/>
        </w:rPr>
        <w:lastRenderedPageBreak/>
        <w:t>C4: Podniesienie konkurencyjności i innowacyjności przedsiębiorstw, w tym szczególnie sektora wytwórczego o wysokiej wartości dodanej oraz rozwój sektora usług</w:t>
      </w:r>
      <w:r w:rsidR="00861290">
        <w:rPr>
          <w:rFonts w:ascii="Arial" w:hAnsi="Arial" w:cs="Arial"/>
          <w:sz w:val="22"/>
          <w:szCs w:val="22"/>
        </w:rPr>
        <w:t>,</w:t>
      </w:r>
    </w:p>
    <w:p w:rsidR="00F85345" w:rsidRDefault="00F85345" w:rsidP="00E26858">
      <w:pPr>
        <w:tabs>
          <w:tab w:val="left" w:pos="1134"/>
        </w:tabs>
        <w:ind w:left="1134" w:hanging="567"/>
        <w:jc w:val="both"/>
        <w:rPr>
          <w:rFonts w:ascii="Arial" w:hAnsi="Arial" w:cs="Arial"/>
          <w:sz w:val="22"/>
          <w:szCs w:val="22"/>
        </w:rPr>
      </w:pPr>
      <w:r>
        <w:rPr>
          <w:rFonts w:ascii="Arial" w:hAnsi="Arial" w:cs="Arial"/>
          <w:sz w:val="22"/>
          <w:szCs w:val="22"/>
        </w:rPr>
        <w:t xml:space="preserve">C5:  </w:t>
      </w:r>
      <w:r>
        <w:rPr>
          <w:rFonts w:ascii="Arial" w:hAnsi="Arial" w:cs="Arial"/>
          <w:sz w:val="22"/>
          <w:szCs w:val="22"/>
        </w:rPr>
        <w:tab/>
        <w:t>Wzrost</w:t>
      </w:r>
      <w:r w:rsidR="00E26858">
        <w:rPr>
          <w:rFonts w:ascii="Arial" w:hAnsi="Arial" w:cs="Arial"/>
          <w:sz w:val="22"/>
          <w:szCs w:val="22"/>
        </w:rPr>
        <w:t xml:space="preserve"> konkurencyjności polskich regionów i przeciwdziałanie ich marginalizacji społecznej, gospodarczej i przestrzennej</w:t>
      </w:r>
      <w:r w:rsidR="00861290">
        <w:rPr>
          <w:rFonts w:ascii="Arial" w:hAnsi="Arial" w:cs="Arial"/>
          <w:sz w:val="22"/>
          <w:szCs w:val="22"/>
        </w:rPr>
        <w:t>,</w:t>
      </w:r>
    </w:p>
    <w:p w:rsidR="00E26858" w:rsidRDefault="00E26858" w:rsidP="00E26858">
      <w:pPr>
        <w:tabs>
          <w:tab w:val="left" w:pos="1134"/>
        </w:tabs>
        <w:ind w:left="1134" w:hanging="567"/>
        <w:jc w:val="both"/>
        <w:rPr>
          <w:rFonts w:ascii="Arial" w:hAnsi="Arial" w:cs="Arial"/>
          <w:sz w:val="22"/>
          <w:szCs w:val="22"/>
        </w:rPr>
      </w:pPr>
      <w:r>
        <w:rPr>
          <w:rFonts w:ascii="Arial" w:hAnsi="Arial" w:cs="Arial"/>
          <w:sz w:val="22"/>
          <w:szCs w:val="22"/>
        </w:rPr>
        <w:t>C6:</w:t>
      </w:r>
      <w:r>
        <w:rPr>
          <w:rFonts w:ascii="Arial" w:hAnsi="Arial" w:cs="Arial"/>
          <w:sz w:val="22"/>
          <w:szCs w:val="22"/>
        </w:rPr>
        <w:tab/>
        <w:t>Wyrównywanie szans rozwojowych i wspomaganie zmian strukturalnych na obszarach wiejskich</w:t>
      </w:r>
      <w:r w:rsidR="00861290">
        <w:rPr>
          <w:rFonts w:ascii="Arial" w:hAnsi="Arial" w:cs="Arial"/>
          <w:sz w:val="22"/>
          <w:szCs w:val="22"/>
        </w:rPr>
        <w:t>.</w:t>
      </w:r>
    </w:p>
    <w:p w:rsidR="00E26858" w:rsidRDefault="00E26858" w:rsidP="0048496B">
      <w:pPr>
        <w:ind w:left="360"/>
        <w:jc w:val="both"/>
        <w:rPr>
          <w:rFonts w:ascii="Arial" w:hAnsi="Arial" w:cs="Arial"/>
          <w:sz w:val="22"/>
          <w:szCs w:val="22"/>
        </w:rPr>
      </w:pPr>
    </w:p>
    <w:p w:rsidR="00224CBF" w:rsidRDefault="00E26858" w:rsidP="0048496B">
      <w:pPr>
        <w:ind w:left="360"/>
        <w:jc w:val="both"/>
        <w:rPr>
          <w:rFonts w:ascii="Arial" w:hAnsi="Arial" w:cs="Arial"/>
          <w:sz w:val="22"/>
          <w:szCs w:val="22"/>
        </w:rPr>
      </w:pPr>
      <w:r>
        <w:rPr>
          <w:rFonts w:ascii="Arial" w:hAnsi="Arial" w:cs="Arial"/>
          <w:sz w:val="22"/>
          <w:szCs w:val="22"/>
        </w:rPr>
        <w:t>Stan realizacji NSRO 2007-2013 dane na 30 czerwca 2013r.</w:t>
      </w:r>
      <w:r w:rsidR="00224CBF">
        <w:rPr>
          <w:rFonts w:ascii="Arial" w:hAnsi="Arial" w:cs="Arial"/>
          <w:sz w:val="22"/>
          <w:szCs w:val="22"/>
        </w:rPr>
        <w:t>:</w:t>
      </w:r>
    </w:p>
    <w:p w:rsidR="007A37FB" w:rsidRDefault="00E26858" w:rsidP="0048496B">
      <w:pPr>
        <w:ind w:left="360"/>
        <w:jc w:val="both"/>
        <w:rPr>
          <w:rFonts w:ascii="Arial" w:hAnsi="Arial" w:cs="Arial"/>
          <w:sz w:val="22"/>
          <w:szCs w:val="22"/>
        </w:rPr>
      </w:pPr>
      <w:r>
        <w:rPr>
          <w:rFonts w:ascii="Arial" w:hAnsi="Arial" w:cs="Arial"/>
          <w:sz w:val="22"/>
          <w:szCs w:val="22"/>
        </w:rPr>
        <w:t xml:space="preserve"> </w:t>
      </w:r>
    </w:p>
    <w:p w:rsidR="00E26858" w:rsidRDefault="00E26858" w:rsidP="0048496B">
      <w:pPr>
        <w:ind w:left="360"/>
        <w:jc w:val="both"/>
        <w:rPr>
          <w:rFonts w:ascii="Arial" w:hAnsi="Arial" w:cs="Arial"/>
          <w:sz w:val="22"/>
          <w:szCs w:val="22"/>
        </w:rPr>
      </w:pPr>
      <w:r>
        <w:rPr>
          <w:rFonts w:ascii="Arial" w:hAnsi="Arial" w:cs="Arial"/>
          <w:sz w:val="22"/>
          <w:szCs w:val="22"/>
        </w:rPr>
        <w:t xml:space="preserve">Wnioski po ocenie formalnej: 267,9 tys. wniosków na całkowitą kwotę dofinansowanie (środki UE i krajowe) wynoszące 547,4 mld zł. (MŚP: 76,7 tyś. </w:t>
      </w:r>
      <w:r w:rsidR="00861290">
        <w:rPr>
          <w:rFonts w:ascii="Arial" w:hAnsi="Arial" w:cs="Arial"/>
          <w:sz w:val="22"/>
          <w:szCs w:val="22"/>
        </w:rPr>
        <w:t>w</w:t>
      </w:r>
      <w:r>
        <w:rPr>
          <w:rFonts w:ascii="Arial" w:hAnsi="Arial" w:cs="Arial"/>
          <w:sz w:val="22"/>
          <w:szCs w:val="22"/>
        </w:rPr>
        <w:t>niosków na kwotę dofinansowania 59,2 mld zł).</w:t>
      </w:r>
    </w:p>
    <w:p w:rsidR="00224CBF" w:rsidRDefault="00224CBF" w:rsidP="00E26858">
      <w:pPr>
        <w:ind w:left="360"/>
        <w:jc w:val="both"/>
        <w:rPr>
          <w:rFonts w:ascii="Arial" w:hAnsi="Arial" w:cs="Arial"/>
          <w:sz w:val="22"/>
          <w:szCs w:val="22"/>
        </w:rPr>
      </w:pPr>
    </w:p>
    <w:p w:rsidR="00E26858" w:rsidRDefault="00E26858" w:rsidP="00E26858">
      <w:pPr>
        <w:ind w:left="360"/>
        <w:jc w:val="both"/>
        <w:rPr>
          <w:rFonts w:ascii="Arial" w:hAnsi="Arial" w:cs="Arial"/>
          <w:sz w:val="22"/>
          <w:szCs w:val="22"/>
        </w:rPr>
      </w:pPr>
      <w:r>
        <w:rPr>
          <w:rFonts w:ascii="Arial" w:hAnsi="Arial" w:cs="Arial"/>
          <w:sz w:val="22"/>
          <w:szCs w:val="22"/>
        </w:rPr>
        <w:t>Umowy o dofinansowanie: 86,3 tys. umów o dofinansowanie o wartości wydatków kwalifikowanych 356,6 zł oraz kwocie dofinansowania w części UE 246,2 zł tj. 86% alokacji</w:t>
      </w:r>
      <w:r w:rsidR="005D7786">
        <w:rPr>
          <w:rFonts w:ascii="Arial" w:hAnsi="Arial" w:cs="Arial"/>
          <w:sz w:val="22"/>
          <w:szCs w:val="22"/>
        </w:rPr>
        <w:t xml:space="preserve"> </w:t>
      </w:r>
      <w:r>
        <w:rPr>
          <w:rFonts w:ascii="Arial" w:hAnsi="Arial" w:cs="Arial"/>
          <w:sz w:val="22"/>
          <w:szCs w:val="22"/>
        </w:rPr>
        <w:t>(MŚP: 38 tys. umów na kwotę dofinansowania UE 33,5 mld zł).</w:t>
      </w:r>
    </w:p>
    <w:p w:rsidR="00224CBF" w:rsidRDefault="00224CBF" w:rsidP="00E26858">
      <w:pPr>
        <w:ind w:left="360"/>
        <w:jc w:val="both"/>
        <w:rPr>
          <w:rFonts w:ascii="Arial" w:hAnsi="Arial" w:cs="Arial"/>
          <w:sz w:val="22"/>
          <w:szCs w:val="22"/>
        </w:rPr>
      </w:pPr>
    </w:p>
    <w:p w:rsidR="00E26858" w:rsidRDefault="00E26858" w:rsidP="00E26858">
      <w:pPr>
        <w:ind w:left="360"/>
        <w:jc w:val="both"/>
        <w:rPr>
          <w:rFonts w:ascii="Arial" w:hAnsi="Arial" w:cs="Arial"/>
          <w:sz w:val="22"/>
          <w:szCs w:val="22"/>
        </w:rPr>
      </w:pPr>
      <w:r>
        <w:rPr>
          <w:rFonts w:ascii="Arial" w:hAnsi="Arial" w:cs="Arial"/>
          <w:sz w:val="22"/>
          <w:szCs w:val="22"/>
        </w:rPr>
        <w:t>Wnioski o płatność: 215,9 mld – wydatki uznane za kwalifikowane (MŚP: 10,4 mld zł), 155,1 mld zł – dofinansowanie UE w złożonych wnioskach o płatność (MŚP: 6,2,mld zł).</w:t>
      </w:r>
    </w:p>
    <w:p w:rsidR="00E26858" w:rsidRDefault="00E26858" w:rsidP="00E26858">
      <w:pPr>
        <w:ind w:left="360"/>
        <w:jc w:val="both"/>
        <w:rPr>
          <w:rFonts w:ascii="Arial" w:hAnsi="Arial" w:cs="Arial"/>
          <w:sz w:val="22"/>
          <w:szCs w:val="22"/>
        </w:rPr>
      </w:pPr>
    </w:p>
    <w:p w:rsidR="00E26858" w:rsidRDefault="00224CBF" w:rsidP="00E26858">
      <w:pPr>
        <w:ind w:left="360"/>
        <w:jc w:val="both"/>
        <w:rPr>
          <w:rFonts w:ascii="Arial" w:hAnsi="Arial" w:cs="Arial"/>
          <w:sz w:val="22"/>
          <w:szCs w:val="22"/>
        </w:rPr>
      </w:pPr>
      <w:r>
        <w:rPr>
          <w:rFonts w:ascii="Arial" w:hAnsi="Arial" w:cs="Arial"/>
          <w:sz w:val="22"/>
          <w:szCs w:val="22"/>
        </w:rPr>
        <w:t>NSRO: wsparcie w układzie regionalnym wg RPO dane na 30 czerwca 2013r. :</w:t>
      </w:r>
    </w:p>
    <w:p w:rsidR="00224CBF" w:rsidRDefault="00224CBF" w:rsidP="00E26858">
      <w:pPr>
        <w:ind w:left="360"/>
        <w:jc w:val="both"/>
        <w:rPr>
          <w:rFonts w:ascii="Arial" w:hAnsi="Arial" w:cs="Arial"/>
          <w:sz w:val="22"/>
          <w:szCs w:val="22"/>
        </w:rPr>
      </w:pPr>
      <w:r>
        <w:rPr>
          <w:rFonts w:ascii="Arial" w:hAnsi="Arial" w:cs="Arial"/>
          <w:sz w:val="22"/>
          <w:szCs w:val="22"/>
        </w:rPr>
        <w:t>Wartość bezwzględna: z kwoty 244,8 mld zł dofinansowania UE w podpisanych umowach w ramach NSRO (bez EWT) w ujęciu regionalnym (233,6 mld zł) najwięcej środków przypada na województwa: mazowieckie (36,4 mld zł) i śląskie (22,3 mld zł).</w:t>
      </w:r>
    </w:p>
    <w:p w:rsidR="00224CBF" w:rsidRDefault="00224CBF" w:rsidP="00E26858">
      <w:pPr>
        <w:ind w:left="360"/>
        <w:jc w:val="both"/>
        <w:rPr>
          <w:rFonts w:ascii="Arial" w:hAnsi="Arial" w:cs="Arial"/>
          <w:sz w:val="22"/>
          <w:szCs w:val="22"/>
        </w:rPr>
      </w:pPr>
    </w:p>
    <w:p w:rsidR="00224CBF" w:rsidRDefault="00224CBF" w:rsidP="00E26858">
      <w:pPr>
        <w:ind w:left="360"/>
        <w:jc w:val="both"/>
        <w:rPr>
          <w:rFonts w:ascii="Arial" w:hAnsi="Arial" w:cs="Arial"/>
          <w:sz w:val="22"/>
          <w:szCs w:val="22"/>
        </w:rPr>
      </w:pPr>
      <w:r>
        <w:rPr>
          <w:rFonts w:ascii="Arial" w:hAnsi="Arial" w:cs="Arial"/>
          <w:sz w:val="22"/>
          <w:szCs w:val="22"/>
        </w:rPr>
        <w:t>Per capita: Wartość dofinansowania UE per capita: 5 854 zł (6 409 tys. zł po uwzględnieniu projektów realizowanych na obszarze całego kraju). Najwięcej środków per capita trafiło do województw Polski Wschodniej: warmińsko-mazurskiego (8 333 zł) i podkarpackiego (8 165 zł).</w:t>
      </w:r>
    </w:p>
    <w:p w:rsidR="00224CBF" w:rsidRDefault="00224CBF" w:rsidP="00E26858">
      <w:pPr>
        <w:ind w:left="360"/>
        <w:jc w:val="both"/>
        <w:rPr>
          <w:rFonts w:ascii="Arial" w:hAnsi="Arial" w:cs="Arial"/>
          <w:sz w:val="22"/>
          <w:szCs w:val="22"/>
        </w:rPr>
      </w:pPr>
    </w:p>
    <w:p w:rsidR="00224CBF" w:rsidRDefault="002E4E0E" w:rsidP="00E26858">
      <w:pPr>
        <w:ind w:left="360"/>
        <w:jc w:val="both"/>
        <w:rPr>
          <w:rFonts w:ascii="Arial" w:hAnsi="Arial" w:cs="Arial"/>
          <w:sz w:val="22"/>
          <w:szCs w:val="22"/>
        </w:rPr>
      </w:pPr>
      <w:r>
        <w:rPr>
          <w:rFonts w:ascii="Arial" w:hAnsi="Arial" w:cs="Arial"/>
          <w:sz w:val="22"/>
          <w:szCs w:val="22"/>
        </w:rPr>
        <w:t>Beneficjenci NSRO – MŚP wg wielkości dane na 30 czerwca 2013r.:</w:t>
      </w:r>
    </w:p>
    <w:p w:rsidR="002E4E0E" w:rsidRDefault="002E4E0E" w:rsidP="00E26858">
      <w:pPr>
        <w:ind w:left="360"/>
        <w:jc w:val="both"/>
        <w:rPr>
          <w:rFonts w:ascii="Arial" w:hAnsi="Arial" w:cs="Arial"/>
          <w:sz w:val="22"/>
          <w:szCs w:val="22"/>
        </w:rPr>
      </w:pPr>
      <w:r>
        <w:rPr>
          <w:rFonts w:ascii="Arial" w:hAnsi="Arial" w:cs="Arial"/>
          <w:sz w:val="22"/>
          <w:szCs w:val="22"/>
        </w:rPr>
        <w:t>Mikro przedsiębiorstwa – 10,9 mld zł (33%)</w:t>
      </w:r>
    </w:p>
    <w:p w:rsidR="002E4E0E" w:rsidRDefault="002E4E0E" w:rsidP="00E26858">
      <w:pPr>
        <w:ind w:left="360"/>
        <w:jc w:val="both"/>
        <w:rPr>
          <w:rFonts w:ascii="Arial" w:hAnsi="Arial" w:cs="Arial"/>
          <w:sz w:val="22"/>
          <w:szCs w:val="22"/>
        </w:rPr>
      </w:pPr>
      <w:r>
        <w:rPr>
          <w:rFonts w:ascii="Arial" w:hAnsi="Arial" w:cs="Arial"/>
          <w:sz w:val="22"/>
          <w:szCs w:val="22"/>
        </w:rPr>
        <w:t>Małe przedsiębiorstwa – 11,9 mld zł (35%)</w:t>
      </w:r>
    </w:p>
    <w:p w:rsidR="002E4E0E" w:rsidRDefault="002E4E0E" w:rsidP="00E26858">
      <w:pPr>
        <w:ind w:left="360"/>
        <w:jc w:val="both"/>
        <w:rPr>
          <w:rFonts w:ascii="Arial" w:hAnsi="Arial" w:cs="Arial"/>
          <w:sz w:val="22"/>
          <w:szCs w:val="22"/>
        </w:rPr>
      </w:pPr>
      <w:r>
        <w:rPr>
          <w:rFonts w:ascii="Arial" w:hAnsi="Arial" w:cs="Arial"/>
          <w:sz w:val="22"/>
          <w:szCs w:val="22"/>
        </w:rPr>
        <w:t>Średnie przedsiębiorstwa – 10,6 mld zł (32%)</w:t>
      </w:r>
    </w:p>
    <w:p w:rsidR="002E4E0E" w:rsidRDefault="002E4E0E" w:rsidP="00E26858">
      <w:pPr>
        <w:ind w:left="360"/>
        <w:jc w:val="both"/>
        <w:rPr>
          <w:rFonts w:ascii="Arial" w:hAnsi="Arial" w:cs="Arial"/>
          <w:sz w:val="22"/>
          <w:szCs w:val="22"/>
        </w:rPr>
      </w:pPr>
    </w:p>
    <w:p w:rsidR="002E4E0E" w:rsidRDefault="002E4E0E" w:rsidP="00E26858">
      <w:pPr>
        <w:ind w:left="360"/>
        <w:jc w:val="both"/>
        <w:rPr>
          <w:rFonts w:ascii="Arial" w:hAnsi="Arial" w:cs="Arial"/>
          <w:sz w:val="22"/>
          <w:szCs w:val="22"/>
        </w:rPr>
      </w:pPr>
      <w:r>
        <w:rPr>
          <w:rFonts w:ascii="Arial" w:hAnsi="Arial" w:cs="Arial"/>
          <w:sz w:val="22"/>
          <w:szCs w:val="22"/>
        </w:rPr>
        <w:t>Spośród 40,9 tys. projektów przedsiębiorstw, MŚP realizują 38 tys. projektów o łącznej wartości 33,3 mld zł (dofinansowanie UE).</w:t>
      </w:r>
    </w:p>
    <w:p w:rsidR="002E4E0E" w:rsidRDefault="002E4E0E" w:rsidP="002E4E0E">
      <w:pPr>
        <w:ind w:left="360"/>
        <w:jc w:val="both"/>
        <w:rPr>
          <w:rFonts w:ascii="Arial" w:hAnsi="Arial" w:cs="Arial"/>
          <w:sz w:val="22"/>
          <w:szCs w:val="22"/>
        </w:rPr>
      </w:pPr>
      <w:r>
        <w:rPr>
          <w:rFonts w:ascii="Arial" w:hAnsi="Arial" w:cs="Arial"/>
          <w:sz w:val="22"/>
          <w:szCs w:val="22"/>
        </w:rPr>
        <w:t>Liczba projektów wg wielości przedsiębiorstwa: mikro – 19,9 tys., małe – 11,8 tys., średnie – 6,3 tys.</w:t>
      </w:r>
    </w:p>
    <w:p w:rsidR="00E167EA" w:rsidRDefault="00E167EA" w:rsidP="002E4E0E">
      <w:pPr>
        <w:ind w:left="360"/>
        <w:jc w:val="both"/>
        <w:rPr>
          <w:rFonts w:ascii="Arial" w:hAnsi="Arial" w:cs="Arial"/>
          <w:sz w:val="22"/>
          <w:szCs w:val="22"/>
        </w:rPr>
      </w:pPr>
    </w:p>
    <w:p w:rsidR="00E167EA" w:rsidRDefault="00E167EA" w:rsidP="00E167EA">
      <w:pPr>
        <w:ind w:left="360"/>
        <w:jc w:val="both"/>
        <w:rPr>
          <w:rFonts w:ascii="Arial" w:hAnsi="Arial" w:cs="Arial"/>
          <w:sz w:val="22"/>
          <w:szCs w:val="22"/>
        </w:rPr>
      </w:pPr>
      <w:r>
        <w:rPr>
          <w:rFonts w:ascii="Arial" w:hAnsi="Arial" w:cs="Arial"/>
          <w:sz w:val="22"/>
          <w:szCs w:val="22"/>
        </w:rPr>
        <w:t>Projekty o największej łącznej wartości dofinansowania UE realizowane przez przedsiębiorstwa: mikro – w województwie mazowieckim (1,5 mld zł), wielkopolskim (1,1 mld zł) i łódzkim (1 mld zł); małe – w województwie śląskim (1,3 mld zł), dolnośląskim (1,2 mld zł) i pomorskim (1,1 mld zł); średnie – w województwie śląskim (1,1 mld zł).</w:t>
      </w:r>
    </w:p>
    <w:p w:rsidR="00E167EA" w:rsidRDefault="00E167EA" w:rsidP="00E167EA">
      <w:pPr>
        <w:ind w:left="360"/>
        <w:jc w:val="both"/>
        <w:rPr>
          <w:rFonts w:ascii="Arial" w:hAnsi="Arial" w:cs="Arial"/>
          <w:sz w:val="22"/>
          <w:szCs w:val="22"/>
        </w:rPr>
      </w:pPr>
    </w:p>
    <w:p w:rsidR="00E167EA" w:rsidRDefault="00E167EA" w:rsidP="00E167EA">
      <w:pPr>
        <w:ind w:left="360"/>
        <w:jc w:val="both"/>
        <w:rPr>
          <w:rFonts w:ascii="Arial" w:hAnsi="Arial" w:cs="Arial"/>
          <w:sz w:val="22"/>
          <w:szCs w:val="22"/>
        </w:rPr>
      </w:pPr>
      <w:r>
        <w:rPr>
          <w:rFonts w:ascii="Arial" w:hAnsi="Arial" w:cs="Arial"/>
          <w:sz w:val="22"/>
          <w:szCs w:val="22"/>
        </w:rPr>
        <w:t>Projekt</w:t>
      </w:r>
      <w:r w:rsidR="009B2745">
        <w:rPr>
          <w:rFonts w:ascii="Arial" w:hAnsi="Arial" w:cs="Arial"/>
          <w:sz w:val="22"/>
          <w:szCs w:val="22"/>
        </w:rPr>
        <w:t>y</w:t>
      </w:r>
      <w:r>
        <w:rPr>
          <w:rFonts w:ascii="Arial" w:hAnsi="Arial" w:cs="Arial"/>
          <w:sz w:val="22"/>
          <w:szCs w:val="22"/>
        </w:rPr>
        <w:t xml:space="preserve"> MŚP o największej łącznej wartości dofinansowania UE z POIŚ są realizowane w województwie pomorskim (1,2 mld zł)</w:t>
      </w:r>
      <w:r w:rsidR="009B2745">
        <w:rPr>
          <w:rFonts w:ascii="Arial" w:hAnsi="Arial" w:cs="Arial"/>
          <w:sz w:val="22"/>
          <w:szCs w:val="22"/>
        </w:rPr>
        <w:t>;</w:t>
      </w:r>
      <w:r>
        <w:rPr>
          <w:rFonts w:ascii="Arial" w:hAnsi="Arial" w:cs="Arial"/>
          <w:sz w:val="22"/>
          <w:szCs w:val="22"/>
        </w:rPr>
        <w:t xml:space="preserve"> z POIG – w województwie mazowieckim (1,9 mld zł)</w:t>
      </w:r>
      <w:r w:rsidR="009B2745">
        <w:rPr>
          <w:rFonts w:ascii="Arial" w:hAnsi="Arial" w:cs="Arial"/>
          <w:sz w:val="22"/>
          <w:szCs w:val="22"/>
        </w:rPr>
        <w:t>;</w:t>
      </w:r>
      <w:r>
        <w:rPr>
          <w:rFonts w:ascii="Arial" w:hAnsi="Arial" w:cs="Arial"/>
          <w:sz w:val="22"/>
          <w:szCs w:val="22"/>
        </w:rPr>
        <w:t xml:space="preserve"> z POKL – w województwie mazowieckim (609 mln zł) i małopolskim (585 mln zł).</w:t>
      </w:r>
    </w:p>
    <w:p w:rsidR="007D27B8" w:rsidRDefault="007D27B8" w:rsidP="0048496B">
      <w:pPr>
        <w:ind w:left="360"/>
        <w:jc w:val="both"/>
        <w:rPr>
          <w:rFonts w:ascii="Arial" w:hAnsi="Arial" w:cs="Arial"/>
          <w:sz w:val="22"/>
          <w:szCs w:val="22"/>
        </w:rPr>
      </w:pPr>
    </w:p>
    <w:p w:rsidR="00E95C9F" w:rsidRDefault="00E95C9F" w:rsidP="0048496B">
      <w:pPr>
        <w:ind w:left="360"/>
        <w:jc w:val="both"/>
        <w:rPr>
          <w:rFonts w:ascii="Arial" w:hAnsi="Arial" w:cs="Arial"/>
          <w:sz w:val="22"/>
          <w:szCs w:val="22"/>
        </w:rPr>
      </w:pPr>
    </w:p>
    <w:p w:rsidR="00F45D85" w:rsidRDefault="00F45D85" w:rsidP="0048496B">
      <w:pPr>
        <w:ind w:left="360"/>
        <w:jc w:val="both"/>
        <w:rPr>
          <w:rFonts w:ascii="Arial" w:hAnsi="Arial" w:cs="Arial"/>
          <w:sz w:val="22"/>
          <w:szCs w:val="22"/>
        </w:rPr>
      </w:pPr>
    </w:p>
    <w:p w:rsidR="001E62E0" w:rsidRDefault="001E62E0" w:rsidP="00861290">
      <w:pPr>
        <w:jc w:val="both"/>
        <w:rPr>
          <w:rFonts w:ascii="Arial" w:hAnsi="Arial" w:cs="Arial"/>
          <w:sz w:val="22"/>
          <w:szCs w:val="22"/>
        </w:rPr>
      </w:pPr>
    </w:p>
    <w:p w:rsidR="00570CFA" w:rsidRDefault="00EA1BB3" w:rsidP="008B1C16">
      <w:pPr>
        <w:tabs>
          <w:tab w:val="left" w:pos="360"/>
        </w:tabs>
        <w:ind w:left="720" w:hanging="360"/>
        <w:jc w:val="both"/>
        <w:rPr>
          <w:rFonts w:ascii="Arial" w:hAnsi="Arial" w:cs="Arial"/>
          <w:b/>
          <w:sz w:val="22"/>
          <w:szCs w:val="22"/>
        </w:rPr>
      </w:pPr>
      <w:r w:rsidRPr="00EA1BB3">
        <w:rPr>
          <w:rFonts w:ascii="Arial" w:hAnsi="Arial" w:cs="Arial"/>
          <w:b/>
          <w:sz w:val="22"/>
          <w:szCs w:val="22"/>
        </w:rPr>
        <w:lastRenderedPageBreak/>
        <w:t xml:space="preserve">4. </w:t>
      </w:r>
      <w:r>
        <w:rPr>
          <w:rFonts w:ascii="Arial" w:hAnsi="Arial" w:cs="Arial"/>
          <w:b/>
          <w:sz w:val="22"/>
          <w:szCs w:val="22"/>
        </w:rPr>
        <w:t xml:space="preserve"> </w:t>
      </w:r>
      <w:r w:rsidRPr="00EA1BB3">
        <w:rPr>
          <w:rFonts w:ascii="Arial" w:hAnsi="Arial" w:cs="Arial"/>
          <w:b/>
          <w:sz w:val="22"/>
          <w:szCs w:val="22"/>
        </w:rPr>
        <w:t>Sprawy różne.</w:t>
      </w:r>
    </w:p>
    <w:p w:rsidR="007F1B9B" w:rsidRPr="00EA1BB3" w:rsidRDefault="007F1B9B" w:rsidP="00F45D85">
      <w:pPr>
        <w:tabs>
          <w:tab w:val="left" w:pos="360"/>
        </w:tabs>
        <w:ind w:left="426"/>
        <w:jc w:val="both"/>
        <w:rPr>
          <w:rFonts w:ascii="Arial" w:hAnsi="Arial" w:cs="Arial"/>
          <w:b/>
          <w:sz w:val="22"/>
          <w:szCs w:val="22"/>
        </w:rPr>
      </w:pPr>
    </w:p>
    <w:p w:rsidR="00724CB7" w:rsidRPr="00AD325D" w:rsidRDefault="009E459D" w:rsidP="00F45D85">
      <w:pPr>
        <w:ind w:left="426"/>
        <w:jc w:val="both"/>
        <w:rPr>
          <w:rFonts w:ascii="Arial" w:hAnsi="Arial" w:cs="Arial"/>
          <w:sz w:val="22"/>
          <w:szCs w:val="22"/>
        </w:rPr>
      </w:pPr>
      <w:r w:rsidRPr="009E459D">
        <w:rPr>
          <w:rFonts w:ascii="Arial" w:hAnsi="Arial" w:cs="Arial"/>
          <w:sz w:val="22"/>
          <w:szCs w:val="22"/>
        </w:rPr>
        <w:t xml:space="preserve">Na wniosek </w:t>
      </w:r>
      <w:r w:rsidR="00724CB7" w:rsidRPr="00AD325D">
        <w:rPr>
          <w:rFonts w:ascii="Arial" w:hAnsi="Arial" w:cs="Arial"/>
          <w:sz w:val="22"/>
          <w:szCs w:val="20"/>
        </w:rPr>
        <w:t>Prezes Warmińsko - Mazurskiej Agencji Rozwoju Regionalnego</w:t>
      </w:r>
      <w:r>
        <w:rPr>
          <w:rFonts w:ascii="Arial" w:hAnsi="Arial" w:cs="Arial"/>
          <w:sz w:val="22"/>
          <w:szCs w:val="20"/>
        </w:rPr>
        <w:t xml:space="preserve">, podjęto dyskusję na temat funkcjonowania Instytucji </w:t>
      </w:r>
      <w:proofErr w:type="spellStart"/>
      <w:r>
        <w:rPr>
          <w:rFonts w:ascii="Arial" w:hAnsi="Arial" w:cs="Arial"/>
          <w:sz w:val="22"/>
          <w:szCs w:val="20"/>
        </w:rPr>
        <w:t>Audytowej</w:t>
      </w:r>
      <w:proofErr w:type="spellEnd"/>
      <w:r>
        <w:rPr>
          <w:rFonts w:ascii="Arial" w:hAnsi="Arial" w:cs="Arial"/>
          <w:sz w:val="22"/>
          <w:szCs w:val="20"/>
        </w:rPr>
        <w:t>, sprawdzającej zgodność wydatków z obowiązującym prawem.</w:t>
      </w:r>
    </w:p>
    <w:p w:rsidR="00406926" w:rsidRPr="00AD325D" w:rsidRDefault="00406926" w:rsidP="00406926">
      <w:pPr>
        <w:ind w:left="720"/>
        <w:jc w:val="both"/>
        <w:rPr>
          <w:rFonts w:ascii="Arial" w:hAnsi="Arial" w:cs="Arial"/>
          <w:sz w:val="22"/>
          <w:szCs w:val="22"/>
        </w:rPr>
      </w:pPr>
    </w:p>
    <w:p w:rsidR="002B3C4E" w:rsidRPr="00674752" w:rsidRDefault="002B3C4E" w:rsidP="00674752">
      <w:pPr>
        <w:ind w:left="426"/>
        <w:jc w:val="both"/>
        <w:rPr>
          <w:rFonts w:ascii="Arial" w:hAnsi="Arial" w:cs="Arial"/>
          <w:sz w:val="22"/>
          <w:szCs w:val="22"/>
        </w:rPr>
      </w:pPr>
      <w:r w:rsidRPr="00674752">
        <w:rPr>
          <w:rFonts w:ascii="Arial" w:hAnsi="Arial" w:cs="Arial"/>
          <w:sz w:val="22"/>
          <w:szCs w:val="22"/>
        </w:rPr>
        <w:t xml:space="preserve">W ramach bieżącego nadzoru nad prawidłowym wykorzystaniem środków UE przez kraje członkowskie Komisja Europejska w systemie wdrażania i płatności umocowuje w krajach członkowskich instytucje </w:t>
      </w:r>
      <w:proofErr w:type="spellStart"/>
      <w:r w:rsidRPr="00674752">
        <w:rPr>
          <w:rFonts w:ascii="Arial" w:hAnsi="Arial" w:cs="Arial"/>
          <w:sz w:val="22"/>
          <w:szCs w:val="22"/>
        </w:rPr>
        <w:t>audytowe</w:t>
      </w:r>
      <w:proofErr w:type="spellEnd"/>
      <w:r w:rsidRPr="00674752">
        <w:rPr>
          <w:rFonts w:ascii="Arial" w:hAnsi="Arial" w:cs="Arial"/>
          <w:sz w:val="22"/>
          <w:szCs w:val="22"/>
        </w:rPr>
        <w:t>, które na  jej rzecz dokonują weryfikacji realizowanych projektów, które otrzymały wypłaty z budżetu unijnego, pod katem ich zgodności z przepisami prawa krajowego i unijnego. Weryfikacja ta odbywa się na dobranych losowo próbach, a jej wyniki są ekstrapolowane na całą transzę płatności i jeśli kwota przekroczy tzw</w:t>
      </w:r>
      <w:r w:rsidR="00674752" w:rsidRPr="00674752">
        <w:rPr>
          <w:rFonts w:ascii="Arial" w:hAnsi="Arial" w:cs="Arial"/>
          <w:sz w:val="22"/>
          <w:szCs w:val="22"/>
        </w:rPr>
        <w:t xml:space="preserve">. </w:t>
      </w:r>
      <w:r w:rsidRPr="00674752">
        <w:rPr>
          <w:rFonts w:ascii="Arial" w:hAnsi="Arial" w:cs="Arial"/>
          <w:sz w:val="22"/>
          <w:szCs w:val="22"/>
        </w:rPr>
        <w:t xml:space="preserve"> poziom istotności mogą skutkować wstrzymaniem przelewu środków.</w:t>
      </w:r>
    </w:p>
    <w:p w:rsidR="002B3C4E" w:rsidRPr="00674752" w:rsidRDefault="002B3C4E" w:rsidP="00674752">
      <w:pPr>
        <w:ind w:left="426"/>
        <w:jc w:val="both"/>
        <w:rPr>
          <w:rFonts w:ascii="Arial" w:hAnsi="Arial" w:cs="Arial"/>
          <w:sz w:val="22"/>
          <w:szCs w:val="22"/>
        </w:rPr>
      </w:pPr>
      <w:r w:rsidRPr="00674752">
        <w:rPr>
          <w:rFonts w:ascii="Arial" w:hAnsi="Arial" w:cs="Arial"/>
          <w:sz w:val="22"/>
          <w:szCs w:val="22"/>
        </w:rPr>
        <w:t xml:space="preserve">W Polsce w obecnej perspektywie finansowej (2007-2013) Instytucja </w:t>
      </w:r>
      <w:proofErr w:type="spellStart"/>
      <w:r w:rsidRPr="00674752">
        <w:rPr>
          <w:rFonts w:ascii="Arial" w:hAnsi="Arial" w:cs="Arial"/>
          <w:sz w:val="22"/>
          <w:szCs w:val="22"/>
        </w:rPr>
        <w:t>Audytowa</w:t>
      </w:r>
      <w:proofErr w:type="spellEnd"/>
      <w:r w:rsidRPr="00674752">
        <w:rPr>
          <w:rFonts w:ascii="Arial" w:hAnsi="Arial" w:cs="Arial"/>
          <w:sz w:val="22"/>
          <w:szCs w:val="22"/>
        </w:rPr>
        <w:t xml:space="preserve"> umocowana jest w Ministerstwie Finansów. W praktyce jej zadania wykonują inspektorzy kontroli skarbowej UKS. Realizują oni kontrole wybranych losowo projektów, oceniając je pod kątem przestrzegania wymogów finansowania UE, a</w:t>
      </w:r>
      <w:r w:rsidRPr="00674752">
        <w:rPr>
          <w:rFonts w:ascii="Arial" w:hAnsi="Arial" w:cs="Arial"/>
          <w:sz w:val="22"/>
          <w:szCs w:val="22"/>
          <w:u w:val="single"/>
        </w:rPr>
        <w:t>le również prawa budowlanego, ochrony środowiska, prawa zamówień publicznych (</w:t>
      </w:r>
      <w:proofErr w:type="spellStart"/>
      <w:r w:rsidRPr="00674752">
        <w:rPr>
          <w:rFonts w:ascii="Arial" w:hAnsi="Arial" w:cs="Arial"/>
          <w:sz w:val="22"/>
          <w:szCs w:val="22"/>
          <w:u w:val="single"/>
        </w:rPr>
        <w:t>pzp</w:t>
      </w:r>
      <w:proofErr w:type="spellEnd"/>
      <w:r w:rsidRPr="00674752">
        <w:rPr>
          <w:rFonts w:ascii="Arial" w:hAnsi="Arial" w:cs="Arial"/>
          <w:sz w:val="22"/>
          <w:szCs w:val="22"/>
          <w:u w:val="single"/>
        </w:rPr>
        <w:t xml:space="preserve">), </w:t>
      </w:r>
      <w:r w:rsidRPr="00674752">
        <w:rPr>
          <w:rFonts w:ascii="Arial" w:hAnsi="Arial" w:cs="Arial"/>
          <w:sz w:val="22"/>
          <w:szCs w:val="22"/>
        </w:rPr>
        <w:t>itd. Kontrole kończą się ustaleniami zawierającymi stwierdzenie nieprawidłowości i rekomendacje dla Instytucji Zarządzającej w zakresie dalszego postępowania. Wprawdzie Instytucje Zarządzające mają prawo odniesienia się do zapisów w ustaleniach, ale zazwyczaj w ostatecznym dokumencie pokontrolnym ich uwagi nie są uwzględniane (zresztą bez merytorycznego komentarza, a jedynie zapisem „rekomendacja podtrzymana”). Nieprawidłowości wynikające z postępowań kontrolnych inspektorów kontroli skarbowej UKS zostają zebrane w rocznym sprawozdaniu, które otrzymuje Komisja Europejska.</w:t>
      </w:r>
    </w:p>
    <w:p w:rsidR="002B3C4E" w:rsidRPr="00674752" w:rsidRDefault="002B3C4E" w:rsidP="00674752">
      <w:pPr>
        <w:ind w:left="426"/>
        <w:jc w:val="both"/>
        <w:rPr>
          <w:rFonts w:ascii="Arial" w:hAnsi="Arial" w:cs="Arial"/>
          <w:sz w:val="22"/>
          <w:szCs w:val="22"/>
        </w:rPr>
      </w:pPr>
      <w:r w:rsidRPr="00674752">
        <w:rPr>
          <w:rFonts w:ascii="Arial" w:hAnsi="Arial" w:cs="Arial"/>
          <w:sz w:val="22"/>
          <w:szCs w:val="22"/>
        </w:rPr>
        <w:t xml:space="preserve">Inspektorzy UKS dokonują dość często rozstrzygnięć problemów w zakresie </w:t>
      </w:r>
      <w:proofErr w:type="spellStart"/>
      <w:r w:rsidRPr="00674752">
        <w:rPr>
          <w:rFonts w:ascii="Arial" w:hAnsi="Arial" w:cs="Arial"/>
          <w:sz w:val="22"/>
          <w:szCs w:val="22"/>
        </w:rPr>
        <w:t>pzp</w:t>
      </w:r>
      <w:proofErr w:type="spellEnd"/>
      <w:r w:rsidRPr="00674752">
        <w:rPr>
          <w:rFonts w:ascii="Arial" w:hAnsi="Arial" w:cs="Arial"/>
          <w:sz w:val="22"/>
          <w:szCs w:val="22"/>
        </w:rPr>
        <w:t>, ochrony środowiska, czy też prawa budowlanego na podstawie swojej dość powierzchownej wiedzy w tych dziedzinach, kwestionując rozwiązania czy też działania wdrożone przez beneficjentów, w tym przedsiębiorstwa, i uznają je za nieprawidłowe rekomendując zwrot wypłaconych na te działania środków.</w:t>
      </w:r>
    </w:p>
    <w:p w:rsidR="002B3C4E" w:rsidRPr="00674752" w:rsidRDefault="002B3C4E" w:rsidP="002B3C4E">
      <w:pPr>
        <w:pStyle w:val="Akapitzlist"/>
        <w:numPr>
          <w:ilvl w:val="0"/>
          <w:numId w:val="25"/>
        </w:numPr>
        <w:spacing w:after="200" w:line="276" w:lineRule="auto"/>
        <w:jc w:val="both"/>
        <w:rPr>
          <w:rFonts w:ascii="Arial" w:hAnsi="Arial" w:cs="Arial"/>
          <w:sz w:val="22"/>
          <w:szCs w:val="22"/>
        </w:rPr>
      </w:pPr>
      <w:r w:rsidRPr="00674752">
        <w:rPr>
          <w:rFonts w:ascii="Arial" w:hAnsi="Arial" w:cs="Arial"/>
          <w:sz w:val="22"/>
          <w:szCs w:val="22"/>
        </w:rPr>
        <w:t xml:space="preserve">Mimo uwag i wątpliwości zgłaszanych przez Instytucje Zarządzające lub samych beneficjentów, w tym przedsiębiorstwa, rekomendacje </w:t>
      </w:r>
      <w:proofErr w:type="spellStart"/>
      <w:r w:rsidRPr="00674752">
        <w:rPr>
          <w:rFonts w:ascii="Arial" w:hAnsi="Arial" w:cs="Arial"/>
          <w:sz w:val="22"/>
          <w:szCs w:val="22"/>
        </w:rPr>
        <w:t>niekwalifikowalności</w:t>
      </w:r>
      <w:proofErr w:type="spellEnd"/>
      <w:r w:rsidRPr="00674752">
        <w:rPr>
          <w:rFonts w:ascii="Arial" w:hAnsi="Arial" w:cs="Arial"/>
          <w:sz w:val="22"/>
          <w:szCs w:val="22"/>
        </w:rPr>
        <w:t xml:space="preserve"> wydatków są w większości przypadków podtrzymywane, a w procedurze nie ma szczebla odwoławczego, który mógłby merytorycznie odnieść się do wniosków inspektorów UKS;</w:t>
      </w:r>
    </w:p>
    <w:p w:rsidR="002B3C4E" w:rsidRPr="00674752" w:rsidRDefault="002B3C4E" w:rsidP="002B3C4E">
      <w:pPr>
        <w:pStyle w:val="Akapitzlist"/>
        <w:numPr>
          <w:ilvl w:val="0"/>
          <w:numId w:val="25"/>
        </w:numPr>
        <w:spacing w:after="200" w:line="276" w:lineRule="auto"/>
        <w:jc w:val="both"/>
        <w:rPr>
          <w:rFonts w:ascii="Arial" w:hAnsi="Arial" w:cs="Arial"/>
          <w:sz w:val="22"/>
          <w:szCs w:val="22"/>
        </w:rPr>
      </w:pPr>
      <w:r w:rsidRPr="00674752">
        <w:rPr>
          <w:rFonts w:ascii="Arial" w:hAnsi="Arial" w:cs="Arial"/>
          <w:sz w:val="22"/>
          <w:szCs w:val="22"/>
        </w:rPr>
        <w:t xml:space="preserve">Wnioski sformułowane przez inspektorów UKS, jako Instytucji </w:t>
      </w:r>
      <w:proofErr w:type="spellStart"/>
      <w:r w:rsidRPr="00674752">
        <w:rPr>
          <w:rFonts w:ascii="Arial" w:hAnsi="Arial" w:cs="Arial"/>
          <w:sz w:val="22"/>
          <w:szCs w:val="22"/>
        </w:rPr>
        <w:t>Audytowej</w:t>
      </w:r>
      <w:proofErr w:type="spellEnd"/>
      <w:r w:rsidRPr="00674752">
        <w:rPr>
          <w:rFonts w:ascii="Arial" w:hAnsi="Arial" w:cs="Arial"/>
          <w:sz w:val="22"/>
          <w:szCs w:val="22"/>
        </w:rPr>
        <w:t>, są umieszczane w rocznym sprawozdaniu dla Komisji Europejskiej i stanowią  informację o kwotach, co do których uznali oni, iż zostały wypłacone nieprawidłowo. Istnieje jednak realne niebezpieczeństwo, iż część z tych informacji nie oparłaby się merytorycznej weryfikacji. Jednak w chwili obecnej Instytucje Zarządzające nie chcąc narazić się na wstrzymanie płatności przez KE, nakładają korekty finansowe, często wbrew posiadanym przez nie opiniom prawnym dowodzącym braku merytorycznego uzasadnienia dla zastrzeżeń sformułowanych przez inspektorów kontroli skarbowej UKS.</w:t>
      </w:r>
    </w:p>
    <w:p w:rsidR="002B3C4E" w:rsidRPr="00674752" w:rsidRDefault="002B3C4E" w:rsidP="002B3C4E">
      <w:pPr>
        <w:pStyle w:val="Akapitzlist"/>
        <w:numPr>
          <w:ilvl w:val="0"/>
          <w:numId w:val="25"/>
        </w:numPr>
        <w:spacing w:after="200" w:line="276" w:lineRule="auto"/>
        <w:jc w:val="both"/>
        <w:rPr>
          <w:rFonts w:ascii="Arial" w:hAnsi="Arial" w:cs="Arial"/>
          <w:sz w:val="22"/>
          <w:szCs w:val="22"/>
        </w:rPr>
      </w:pPr>
      <w:r w:rsidRPr="00674752">
        <w:rPr>
          <w:rFonts w:ascii="Arial" w:hAnsi="Arial" w:cs="Arial"/>
          <w:sz w:val="22"/>
          <w:szCs w:val="22"/>
        </w:rPr>
        <w:t xml:space="preserve">Jedyna droga sprzeciwu to w chwili obecnej wniesienie sprawy sądowej. Jednak nie przeciwko Ministerstwu Finansów – czyli Instytucji </w:t>
      </w:r>
      <w:proofErr w:type="spellStart"/>
      <w:r w:rsidRPr="00674752">
        <w:rPr>
          <w:rFonts w:ascii="Arial" w:hAnsi="Arial" w:cs="Arial"/>
          <w:sz w:val="22"/>
          <w:szCs w:val="22"/>
        </w:rPr>
        <w:t>Audytowej</w:t>
      </w:r>
      <w:proofErr w:type="spellEnd"/>
      <w:r w:rsidRPr="00674752">
        <w:rPr>
          <w:rFonts w:ascii="Arial" w:hAnsi="Arial" w:cs="Arial"/>
          <w:sz w:val="22"/>
          <w:szCs w:val="22"/>
        </w:rPr>
        <w:t xml:space="preserve">, gdyż ona zasłania się informacją, że decyzje o zwrocie wydają IŻ. Jednak Instytucje Zarządzające często są bez wyjścia. Biorąc pod uwagę fakt, iż procedury sądowe są długotrwałe i rozstrzygnięcia zapadają po wielu miesiącach, istnieje zagrożenie, że części środków </w:t>
      </w:r>
      <w:r w:rsidRPr="00674752">
        <w:rPr>
          <w:rFonts w:ascii="Arial" w:hAnsi="Arial" w:cs="Arial"/>
          <w:sz w:val="22"/>
          <w:szCs w:val="22"/>
        </w:rPr>
        <w:lastRenderedPageBreak/>
        <w:t>UE nam po prostu przepadnie, bo nie będzie czasu, aby te zwrócone pieniądze ponownie zakontraktować. Kolejny problem powstanie w przypadku orzeczenia przez sąd nieprawidłowości decyzji o zwrocie środków – trzeba je będzie wypłacić i to z odsetkami, z budżetu państwa.</w:t>
      </w:r>
    </w:p>
    <w:p w:rsidR="00406926" w:rsidRPr="00674752" w:rsidRDefault="002B3C4E" w:rsidP="00674752">
      <w:pPr>
        <w:spacing w:after="200" w:line="276" w:lineRule="auto"/>
        <w:ind w:left="709"/>
        <w:jc w:val="both"/>
        <w:rPr>
          <w:rFonts w:ascii="Arial" w:hAnsi="Arial" w:cs="Arial"/>
          <w:sz w:val="22"/>
          <w:szCs w:val="22"/>
        </w:rPr>
      </w:pPr>
      <w:r w:rsidRPr="00674752">
        <w:rPr>
          <w:rFonts w:ascii="Arial" w:hAnsi="Arial" w:cs="Arial"/>
          <w:sz w:val="22"/>
          <w:szCs w:val="22"/>
        </w:rPr>
        <w:t xml:space="preserve">Przewodnicząca Grupy Roboczej ds. MSP zobowiązała się do zajęcia się sprawą </w:t>
      </w:r>
      <w:r w:rsidR="00674752">
        <w:rPr>
          <w:rFonts w:ascii="Arial" w:hAnsi="Arial" w:cs="Arial"/>
          <w:sz w:val="22"/>
          <w:szCs w:val="22"/>
        </w:rPr>
        <w:t xml:space="preserve">              </w:t>
      </w:r>
      <w:r w:rsidRPr="00674752">
        <w:rPr>
          <w:rFonts w:ascii="Arial" w:hAnsi="Arial" w:cs="Arial"/>
          <w:sz w:val="22"/>
          <w:szCs w:val="22"/>
        </w:rPr>
        <w:t>w imieniu Grupy.</w:t>
      </w:r>
    </w:p>
    <w:p w:rsidR="00FA1350" w:rsidRPr="00147C18" w:rsidRDefault="00FA1350" w:rsidP="00FA1350">
      <w:pPr>
        <w:ind w:left="1080"/>
        <w:jc w:val="both"/>
        <w:rPr>
          <w:rFonts w:ascii="Arial" w:hAnsi="Arial" w:cs="Arial"/>
          <w:sz w:val="22"/>
          <w:szCs w:val="22"/>
        </w:rPr>
      </w:pPr>
    </w:p>
    <w:p w:rsidR="00137731" w:rsidRDefault="00137731" w:rsidP="00E44A81">
      <w:pPr>
        <w:jc w:val="both"/>
        <w:rPr>
          <w:rFonts w:ascii="Arial" w:hAnsi="Arial" w:cs="Arial"/>
          <w:sz w:val="22"/>
          <w:szCs w:val="22"/>
        </w:rPr>
      </w:pPr>
    </w:p>
    <w:p w:rsidR="007F1B9B" w:rsidRDefault="007F1B9B" w:rsidP="00E44A81">
      <w:pPr>
        <w:jc w:val="both"/>
        <w:rPr>
          <w:rFonts w:ascii="Arial" w:hAnsi="Arial" w:cs="Arial"/>
          <w:sz w:val="22"/>
          <w:szCs w:val="22"/>
        </w:rPr>
      </w:pPr>
    </w:p>
    <w:p w:rsidR="007F1B9B" w:rsidRDefault="007F1B9B" w:rsidP="00E44A81">
      <w:pPr>
        <w:jc w:val="both"/>
        <w:rPr>
          <w:rFonts w:ascii="Arial" w:hAnsi="Arial" w:cs="Arial"/>
          <w:sz w:val="22"/>
          <w:szCs w:val="22"/>
        </w:rPr>
      </w:pPr>
    </w:p>
    <w:p w:rsidR="007F1B9B" w:rsidRDefault="007F1B9B" w:rsidP="00E44A81">
      <w:pPr>
        <w:jc w:val="both"/>
        <w:rPr>
          <w:rFonts w:ascii="Arial" w:hAnsi="Arial" w:cs="Arial"/>
          <w:sz w:val="22"/>
          <w:szCs w:val="22"/>
        </w:rPr>
      </w:pPr>
    </w:p>
    <w:p w:rsidR="007F1B9B" w:rsidRDefault="007F1B9B" w:rsidP="00E44A81">
      <w:pPr>
        <w:jc w:val="both"/>
        <w:rPr>
          <w:rFonts w:ascii="Arial" w:hAnsi="Arial" w:cs="Arial"/>
          <w:sz w:val="22"/>
          <w:szCs w:val="22"/>
        </w:rPr>
      </w:pPr>
    </w:p>
    <w:p w:rsidR="007F1B9B" w:rsidRPr="00137731" w:rsidRDefault="007F1B9B" w:rsidP="00E44A81">
      <w:pPr>
        <w:jc w:val="both"/>
        <w:rPr>
          <w:rFonts w:ascii="Arial" w:hAnsi="Arial" w:cs="Arial"/>
          <w:sz w:val="22"/>
          <w:szCs w:val="22"/>
        </w:rPr>
      </w:pPr>
    </w:p>
    <w:p w:rsidR="00137731" w:rsidRPr="00137731" w:rsidRDefault="00E26858" w:rsidP="00E44A81">
      <w:pPr>
        <w:ind w:left="360"/>
        <w:jc w:val="both"/>
        <w:rPr>
          <w:rFonts w:ascii="Arial" w:hAnsi="Arial" w:cs="Arial"/>
          <w:color w:val="808080"/>
          <w:sz w:val="22"/>
          <w:szCs w:val="22"/>
        </w:rPr>
      </w:pPr>
      <w:r>
        <w:rPr>
          <w:rFonts w:ascii="Arial" w:hAnsi="Arial" w:cs="Arial"/>
          <w:color w:val="808080"/>
          <w:sz w:val="22"/>
          <w:szCs w:val="22"/>
        </w:rPr>
        <w:t>19 lipca</w:t>
      </w:r>
      <w:r w:rsidR="0068093D">
        <w:rPr>
          <w:rFonts w:ascii="Arial" w:hAnsi="Arial" w:cs="Arial"/>
          <w:color w:val="808080"/>
          <w:sz w:val="22"/>
          <w:szCs w:val="22"/>
        </w:rPr>
        <w:t xml:space="preserve"> 2013</w:t>
      </w:r>
      <w:r w:rsidR="00137731">
        <w:rPr>
          <w:rFonts w:ascii="Arial" w:hAnsi="Arial" w:cs="Arial"/>
          <w:color w:val="808080"/>
          <w:sz w:val="22"/>
          <w:szCs w:val="22"/>
        </w:rPr>
        <w:t xml:space="preserve"> r. </w:t>
      </w:r>
    </w:p>
    <w:p w:rsidR="00137731" w:rsidRPr="00137731" w:rsidRDefault="00137731" w:rsidP="00E44A81">
      <w:pPr>
        <w:ind w:left="360"/>
        <w:jc w:val="both"/>
        <w:rPr>
          <w:rFonts w:ascii="Arial" w:hAnsi="Arial" w:cs="Arial"/>
          <w:color w:val="808080"/>
          <w:sz w:val="22"/>
          <w:szCs w:val="22"/>
        </w:rPr>
      </w:pPr>
      <w:r w:rsidRPr="00137731">
        <w:rPr>
          <w:rFonts w:ascii="Arial" w:hAnsi="Arial" w:cs="Arial"/>
          <w:color w:val="808080"/>
          <w:sz w:val="22"/>
          <w:szCs w:val="22"/>
        </w:rPr>
        <w:t xml:space="preserve">Akceptowała: Małgorzata Starczewska – Krzysztoszek. </w:t>
      </w:r>
      <w:r w:rsidR="00B66E00">
        <w:rPr>
          <w:rFonts w:ascii="Arial" w:hAnsi="Arial" w:cs="Arial"/>
          <w:color w:val="808080"/>
          <w:sz w:val="22"/>
          <w:szCs w:val="22"/>
        </w:rPr>
        <w:t xml:space="preserve"> </w:t>
      </w:r>
    </w:p>
    <w:sectPr w:rsidR="00137731" w:rsidRPr="00137731" w:rsidSect="00F638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7E" w:rsidRDefault="006F527E">
      <w:r>
        <w:separator/>
      </w:r>
    </w:p>
  </w:endnote>
  <w:endnote w:type="continuationSeparator" w:id="0">
    <w:p w:rsidR="006F527E" w:rsidRDefault="006F5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EGMFGB+Arial,BoldItalic">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DE" w:rsidRDefault="00A7497C" w:rsidP="002B3CAA">
    <w:pPr>
      <w:pStyle w:val="Stopka"/>
      <w:framePr w:wrap="around" w:vAnchor="text" w:hAnchor="margin" w:xAlign="right" w:y="1"/>
      <w:rPr>
        <w:rStyle w:val="Numerstrony"/>
      </w:rPr>
    </w:pPr>
    <w:r>
      <w:rPr>
        <w:rStyle w:val="Numerstrony"/>
      </w:rPr>
      <w:fldChar w:fldCharType="begin"/>
    </w:r>
    <w:r w:rsidR="00F13DDE">
      <w:rPr>
        <w:rStyle w:val="Numerstrony"/>
      </w:rPr>
      <w:instrText xml:space="preserve">PAGE  </w:instrText>
    </w:r>
    <w:r>
      <w:rPr>
        <w:rStyle w:val="Numerstrony"/>
      </w:rPr>
      <w:fldChar w:fldCharType="end"/>
    </w:r>
  </w:p>
  <w:p w:rsidR="00F13DDE" w:rsidRDefault="00F13DDE" w:rsidP="00EA153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DE" w:rsidRDefault="00A7497C" w:rsidP="002B3CAA">
    <w:pPr>
      <w:pStyle w:val="Stopka"/>
      <w:framePr w:wrap="around" w:vAnchor="text" w:hAnchor="margin" w:xAlign="right" w:y="1"/>
      <w:rPr>
        <w:rStyle w:val="Numerstrony"/>
      </w:rPr>
    </w:pPr>
    <w:r>
      <w:rPr>
        <w:rStyle w:val="Numerstrony"/>
      </w:rPr>
      <w:fldChar w:fldCharType="begin"/>
    </w:r>
    <w:r w:rsidR="00F13DDE">
      <w:rPr>
        <w:rStyle w:val="Numerstrony"/>
      </w:rPr>
      <w:instrText xml:space="preserve">PAGE  </w:instrText>
    </w:r>
    <w:r>
      <w:rPr>
        <w:rStyle w:val="Numerstrony"/>
      </w:rPr>
      <w:fldChar w:fldCharType="separate"/>
    </w:r>
    <w:r w:rsidR="00C648A6">
      <w:rPr>
        <w:rStyle w:val="Numerstrony"/>
        <w:noProof/>
      </w:rPr>
      <w:t>5</w:t>
    </w:r>
    <w:r>
      <w:rPr>
        <w:rStyle w:val="Numerstrony"/>
      </w:rPr>
      <w:fldChar w:fldCharType="end"/>
    </w:r>
  </w:p>
  <w:p w:rsidR="00F13DDE" w:rsidRDefault="00F13DDE" w:rsidP="00EA1538">
    <w:pPr>
      <w:pStyle w:val="Stopka"/>
      <w:ind w:right="360"/>
    </w:pPr>
    <w:r>
      <w:t xml:space="preserve">     </w:t>
    </w:r>
  </w:p>
  <w:p w:rsidR="00F13DDE" w:rsidRDefault="00F13DDE" w:rsidP="00EA1538">
    <w:pPr>
      <w:pStyle w:val="Stopka"/>
      <w:ind w:right="360"/>
    </w:pPr>
    <w:r>
      <w:t xml:space="preserve">                  </w:t>
    </w:r>
    <w:r w:rsidR="005D048F">
      <w:rPr>
        <w:noProof/>
      </w:rPr>
      <w:drawing>
        <wp:inline distT="0" distB="0" distL="0" distR="0">
          <wp:extent cx="4684395" cy="629920"/>
          <wp:effectExtent l="1905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84395" cy="6299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7E" w:rsidRDefault="006F527E">
      <w:r>
        <w:separator/>
      </w:r>
    </w:p>
  </w:footnote>
  <w:footnote w:type="continuationSeparator" w:id="0">
    <w:p w:rsidR="006F527E" w:rsidRDefault="006F5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2F8"/>
    <w:multiLevelType w:val="hybridMultilevel"/>
    <w:tmpl w:val="F3545F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820119"/>
    <w:multiLevelType w:val="hybridMultilevel"/>
    <w:tmpl w:val="780611A6"/>
    <w:lvl w:ilvl="0" w:tplc="05B4481E">
      <w:start w:val="14"/>
      <w:numFmt w:val="bullet"/>
      <w:lvlText w:val="-"/>
      <w:lvlJc w:val="left"/>
      <w:pPr>
        <w:tabs>
          <w:tab w:val="num" w:pos="1800"/>
        </w:tabs>
        <w:ind w:left="1800" w:hanging="360"/>
      </w:pPr>
      <w:rPr>
        <w:rFonts w:ascii="EGMFGB+Arial,BoldItalic" w:eastAsia="Consolas" w:hAnsi="EGMFGB+Arial,BoldItalic" w:cs="Consolas"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
    <w:nsid w:val="0D4701F9"/>
    <w:multiLevelType w:val="hybridMultilevel"/>
    <w:tmpl w:val="959288B8"/>
    <w:lvl w:ilvl="0" w:tplc="9EE684B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4C243C"/>
    <w:multiLevelType w:val="hybridMultilevel"/>
    <w:tmpl w:val="9E9EB1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2B6116F"/>
    <w:multiLevelType w:val="hybridMultilevel"/>
    <w:tmpl w:val="29E834C8"/>
    <w:lvl w:ilvl="0" w:tplc="CA9C3694">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nsid w:val="1BEA0549"/>
    <w:multiLevelType w:val="hybridMultilevel"/>
    <w:tmpl w:val="D7BC0518"/>
    <w:lvl w:ilvl="0" w:tplc="F74A74A0">
      <w:start w:val="1"/>
      <w:numFmt w:val="bullet"/>
      <w:lvlText w:val="-"/>
      <w:lvlJc w:val="left"/>
      <w:pPr>
        <w:tabs>
          <w:tab w:val="num" w:pos="360"/>
        </w:tabs>
        <w:ind w:left="108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C3B3247"/>
    <w:multiLevelType w:val="hybridMultilevel"/>
    <w:tmpl w:val="FF3648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BD3001"/>
    <w:multiLevelType w:val="hybridMultilevel"/>
    <w:tmpl w:val="6A86F532"/>
    <w:lvl w:ilvl="0" w:tplc="FB046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1E0510B"/>
    <w:multiLevelType w:val="hybridMultilevel"/>
    <w:tmpl w:val="AEDCC09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5FB4510"/>
    <w:multiLevelType w:val="hybridMultilevel"/>
    <w:tmpl w:val="B9266098"/>
    <w:lvl w:ilvl="0" w:tplc="424A68F8">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71F0A5A"/>
    <w:multiLevelType w:val="hybridMultilevel"/>
    <w:tmpl w:val="52FE6B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E611CB"/>
    <w:multiLevelType w:val="hybridMultilevel"/>
    <w:tmpl w:val="7BC0F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42B1D"/>
    <w:multiLevelType w:val="hybridMultilevel"/>
    <w:tmpl w:val="4CB660A4"/>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30F96F32"/>
    <w:multiLevelType w:val="hybridMultilevel"/>
    <w:tmpl w:val="49C2FAF2"/>
    <w:lvl w:ilvl="0" w:tplc="D416CB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DB111C"/>
    <w:multiLevelType w:val="hybridMultilevel"/>
    <w:tmpl w:val="5CD24BC4"/>
    <w:lvl w:ilvl="0" w:tplc="65284152">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5">
    <w:nsid w:val="3D2B67E4"/>
    <w:multiLevelType w:val="hybridMultilevel"/>
    <w:tmpl w:val="D96EF712"/>
    <w:lvl w:ilvl="0" w:tplc="507C252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nsid w:val="3F81050E"/>
    <w:multiLevelType w:val="multilevel"/>
    <w:tmpl w:val="E2AC8B32"/>
    <w:lvl w:ilvl="0">
      <w:start w:val="1"/>
      <w:numFmt w:val="decimal"/>
      <w:lvlText w:val="%1."/>
      <w:lvlJc w:val="left"/>
      <w:pPr>
        <w:tabs>
          <w:tab w:val="num" w:pos="720"/>
        </w:tabs>
        <w:ind w:left="720" w:hanging="360"/>
      </w:pPr>
    </w:lvl>
    <w:lvl w:ilvl="1">
      <w:start w:val="14"/>
      <w:numFmt w:val="bullet"/>
      <w:lvlText w:val="-"/>
      <w:lvlJc w:val="left"/>
      <w:pPr>
        <w:tabs>
          <w:tab w:val="num" w:pos="1440"/>
        </w:tabs>
        <w:ind w:left="1440" w:hanging="360"/>
      </w:pPr>
      <w:rPr>
        <w:rFonts w:ascii="EGMFGB+Arial,BoldItalic" w:eastAsia="Consolas" w:hAnsi="EGMFGB+Arial,BoldItalic" w:cs="Consola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361612"/>
    <w:multiLevelType w:val="hybridMultilevel"/>
    <w:tmpl w:val="C486C306"/>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44F81252"/>
    <w:multiLevelType w:val="hybridMultilevel"/>
    <w:tmpl w:val="C786EF68"/>
    <w:lvl w:ilvl="0" w:tplc="0415000F">
      <w:start w:val="1"/>
      <w:numFmt w:val="decimal"/>
      <w:lvlText w:val="%1."/>
      <w:lvlJc w:val="left"/>
      <w:pPr>
        <w:tabs>
          <w:tab w:val="num" w:pos="720"/>
        </w:tabs>
        <w:ind w:left="720" w:hanging="360"/>
      </w:pPr>
    </w:lvl>
    <w:lvl w:ilvl="1" w:tplc="F9E6AC44">
      <w:start w:val="1"/>
      <w:numFmt w:val="lowerLetter"/>
      <w:lvlText w:val="%2)"/>
      <w:lvlJc w:val="left"/>
      <w:pPr>
        <w:tabs>
          <w:tab w:val="num" w:pos="1440"/>
        </w:tabs>
        <w:ind w:left="1440" w:hanging="360"/>
      </w:pPr>
      <w:rPr>
        <w:rFonts w:hint="default"/>
      </w:rPr>
    </w:lvl>
    <w:lvl w:ilvl="2" w:tplc="05B4481E">
      <w:start w:val="14"/>
      <w:numFmt w:val="bullet"/>
      <w:lvlText w:val="-"/>
      <w:lvlJc w:val="left"/>
      <w:pPr>
        <w:tabs>
          <w:tab w:val="num" w:pos="2340"/>
        </w:tabs>
        <w:ind w:left="2340" w:hanging="360"/>
      </w:pPr>
      <w:rPr>
        <w:rFonts w:ascii="EGMFGB+Arial,BoldItalic" w:eastAsia="Consolas" w:hAnsi="EGMFGB+Arial,BoldItalic" w:cs="Consolas" w:hint="default"/>
      </w:rPr>
    </w:lvl>
    <w:lvl w:ilvl="3" w:tplc="852EB6C8">
      <w:numFmt w:val="bullet"/>
      <w:lvlText w:val="-"/>
      <w:lvlJc w:val="left"/>
      <w:pPr>
        <w:tabs>
          <w:tab w:val="num" w:pos="2880"/>
        </w:tabs>
        <w:ind w:left="2880" w:hanging="360"/>
      </w:pPr>
      <w:rPr>
        <w:rFonts w:ascii="TimesNewRoman" w:eastAsia="Consolas" w:hAnsi="TimesNewRoman" w:cs="TimesNew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651DB5"/>
    <w:multiLevelType w:val="hybridMultilevel"/>
    <w:tmpl w:val="B394B616"/>
    <w:lvl w:ilvl="0" w:tplc="9044E89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580632A6"/>
    <w:multiLevelType w:val="hybridMultilevel"/>
    <w:tmpl w:val="BAD28D42"/>
    <w:lvl w:ilvl="0" w:tplc="F94A227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84E6828"/>
    <w:multiLevelType w:val="hybridMultilevel"/>
    <w:tmpl w:val="13503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DD78A6"/>
    <w:multiLevelType w:val="hybridMultilevel"/>
    <w:tmpl w:val="B2F4E732"/>
    <w:lvl w:ilvl="0" w:tplc="C874905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29F16CA"/>
    <w:multiLevelType w:val="hybridMultilevel"/>
    <w:tmpl w:val="026429DE"/>
    <w:lvl w:ilvl="0" w:tplc="191CA82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95465FB"/>
    <w:multiLevelType w:val="hybridMultilevel"/>
    <w:tmpl w:val="43DCD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5"/>
  </w:num>
  <w:num w:numId="5">
    <w:abstractNumId w:val="14"/>
  </w:num>
  <w:num w:numId="6">
    <w:abstractNumId w:val="4"/>
  </w:num>
  <w:num w:numId="7">
    <w:abstractNumId w:val="2"/>
  </w:num>
  <w:num w:numId="8">
    <w:abstractNumId w:val="3"/>
  </w:num>
  <w:num w:numId="9">
    <w:abstractNumId w:val="23"/>
  </w:num>
  <w:num w:numId="10">
    <w:abstractNumId w:val="22"/>
  </w:num>
  <w:num w:numId="11">
    <w:abstractNumId w:val="6"/>
  </w:num>
  <w:num w:numId="12">
    <w:abstractNumId w:val="10"/>
  </w:num>
  <w:num w:numId="13">
    <w:abstractNumId w:val="0"/>
  </w:num>
  <w:num w:numId="14">
    <w:abstractNumId w:val="13"/>
  </w:num>
  <w:num w:numId="15">
    <w:abstractNumId w:val="17"/>
  </w:num>
  <w:num w:numId="16">
    <w:abstractNumId w:val="12"/>
  </w:num>
  <w:num w:numId="17">
    <w:abstractNumId w:val="15"/>
  </w:num>
  <w:num w:numId="18">
    <w:abstractNumId w:val="9"/>
  </w:num>
  <w:num w:numId="19">
    <w:abstractNumId w:val="24"/>
  </w:num>
  <w:num w:numId="20">
    <w:abstractNumId w:val="11"/>
  </w:num>
  <w:num w:numId="21">
    <w:abstractNumId w:val="8"/>
  </w:num>
  <w:num w:numId="22">
    <w:abstractNumId w:val="19"/>
  </w:num>
  <w:num w:numId="23">
    <w:abstractNumId w:val="7"/>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402047"/>
    <w:rsid w:val="00020313"/>
    <w:rsid w:val="00062085"/>
    <w:rsid w:val="00081D4B"/>
    <w:rsid w:val="00091460"/>
    <w:rsid w:val="000918F7"/>
    <w:rsid w:val="00095A92"/>
    <w:rsid w:val="000B01AD"/>
    <w:rsid w:val="000C0563"/>
    <w:rsid w:val="000C76F9"/>
    <w:rsid w:val="000D239A"/>
    <w:rsid w:val="000D69FF"/>
    <w:rsid w:val="000E0730"/>
    <w:rsid w:val="000E09AA"/>
    <w:rsid w:val="000E2D1A"/>
    <w:rsid w:val="00102BB1"/>
    <w:rsid w:val="00103AA5"/>
    <w:rsid w:val="001160CD"/>
    <w:rsid w:val="00117B41"/>
    <w:rsid w:val="00125E2F"/>
    <w:rsid w:val="0012659B"/>
    <w:rsid w:val="00131E50"/>
    <w:rsid w:val="00134F60"/>
    <w:rsid w:val="00137731"/>
    <w:rsid w:val="00145655"/>
    <w:rsid w:val="00147C18"/>
    <w:rsid w:val="00150291"/>
    <w:rsid w:val="00153F34"/>
    <w:rsid w:val="001605AA"/>
    <w:rsid w:val="00172BE2"/>
    <w:rsid w:val="001751D2"/>
    <w:rsid w:val="00180A9C"/>
    <w:rsid w:val="00196382"/>
    <w:rsid w:val="001A311D"/>
    <w:rsid w:val="001E62E0"/>
    <w:rsid w:val="001F1DB5"/>
    <w:rsid w:val="0020070D"/>
    <w:rsid w:val="00224CBF"/>
    <w:rsid w:val="002273D5"/>
    <w:rsid w:val="0023378C"/>
    <w:rsid w:val="002347D3"/>
    <w:rsid w:val="002348C9"/>
    <w:rsid w:val="00246BCA"/>
    <w:rsid w:val="002513B1"/>
    <w:rsid w:val="00256DBF"/>
    <w:rsid w:val="002602C1"/>
    <w:rsid w:val="00271C0E"/>
    <w:rsid w:val="00280C57"/>
    <w:rsid w:val="002819F8"/>
    <w:rsid w:val="00284377"/>
    <w:rsid w:val="00293B81"/>
    <w:rsid w:val="00293D3C"/>
    <w:rsid w:val="002A359A"/>
    <w:rsid w:val="002B3C4E"/>
    <w:rsid w:val="002B3CAA"/>
    <w:rsid w:val="002B3D3A"/>
    <w:rsid w:val="002B665E"/>
    <w:rsid w:val="002E4C60"/>
    <w:rsid w:val="002E4E0E"/>
    <w:rsid w:val="002E5ED2"/>
    <w:rsid w:val="00303FEC"/>
    <w:rsid w:val="00306904"/>
    <w:rsid w:val="00314C95"/>
    <w:rsid w:val="003151B1"/>
    <w:rsid w:val="0031617D"/>
    <w:rsid w:val="00331D9A"/>
    <w:rsid w:val="00346EA1"/>
    <w:rsid w:val="0035111D"/>
    <w:rsid w:val="00352C0B"/>
    <w:rsid w:val="003552D8"/>
    <w:rsid w:val="0036012A"/>
    <w:rsid w:val="00373F55"/>
    <w:rsid w:val="00375577"/>
    <w:rsid w:val="00381FAD"/>
    <w:rsid w:val="003838C2"/>
    <w:rsid w:val="00387462"/>
    <w:rsid w:val="00390B5B"/>
    <w:rsid w:val="003A3542"/>
    <w:rsid w:val="003A3662"/>
    <w:rsid w:val="003A5B8A"/>
    <w:rsid w:val="003B1CD3"/>
    <w:rsid w:val="003B41D6"/>
    <w:rsid w:val="003C519A"/>
    <w:rsid w:val="003C6ADD"/>
    <w:rsid w:val="003E16EE"/>
    <w:rsid w:val="003F56A8"/>
    <w:rsid w:val="00402047"/>
    <w:rsid w:val="00406926"/>
    <w:rsid w:val="0041014C"/>
    <w:rsid w:val="0041728A"/>
    <w:rsid w:val="0042443E"/>
    <w:rsid w:val="00434CE9"/>
    <w:rsid w:val="00443137"/>
    <w:rsid w:val="00457244"/>
    <w:rsid w:val="00471B6E"/>
    <w:rsid w:val="004722D7"/>
    <w:rsid w:val="0048071C"/>
    <w:rsid w:val="0048462A"/>
    <w:rsid w:val="0048496B"/>
    <w:rsid w:val="0049114E"/>
    <w:rsid w:val="00491178"/>
    <w:rsid w:val="00493E7C"/>
    <w:rsid w:val="004A74DA"/>
    <w:rsid w:val="004C10EF"/>
    <w:rsid w:val="004D57D6"/>
    <w:rsid w:val="004D71D6"/>
    <w:rsid w:val="004E09D1"/>
    <w:rsid w:val="004F1121"/>
    <w:rsid w:val="004F306B"/>
    <w:rsid w:val="00525598"/>
    <w:rsid w:val="00525669"/>
    <w:rsid w:val="00526FCC"/>
    <w:rsid w:val="00533711"/>
    <w:rsid w:val="00533843"/>
    <w:rsid w:val="00547B8B"/>
    <w:rsid w:val="005678CB"/>
    <w:rsid w:val="00570CFA"/>
    <w:rsid w:val="0058034A"/>
    <w:rsid w:val="00591019"/>
    <w:rsid w:val="00595C23"/>
    <w:rsid w:val="00596944"/>
    <w:rsid w:val="005D048F"/>
    <w:rsid w:val="005D47F5"/>
    <w:rsid w:val="005D59AF"/>
    <w:rsid w:val="005D69DD"/>
    <w:rsid w:val="005D7786"/>
    <w:rsid w:val="005E29D7"/>
    <w:rsid w:val="005F5A77"/>
    <w:rsid w:val="005F66AD"/>
    <w:rsid w:val="00600094"/>
    <w:rsid w:val="00602676"/>
    <w:rsid w:val="00602F78"/>
    <w:rsid w:val="0062236E"/>
    <w:rsid w:val="00631A68"/>
    <w:rsid w:val="006354D2"/>
    <w:rsid w:val="00641A8C"/>
    <w:rsid w:val="006426D3"/>
    <w:rsid w:val="00651782"/>
    <w:rsid w:val="006738D3"/>
    <w:rsid w:val="00674752"/>
    <w:rsid w:val="0068093D"/>
    <w:rsid w:val="00685EFD"/>
    <w:rsid w:val="006A1513"/>
    <w:rsid w:val="006A2ABE"/>
    <w:rsid w:val="006B2844"/>
    <w:rsid w:val="006C19BE"/>
    <w:rsid w:val="006C7B86"/>
    <w:rsid w:val="006D6CB7"/>
    <w:rsid w:val="006E3C26"/>
    <w:rsid w:val="006F2914"/>
    <w:rsid w:val="006F40C7"/>
    <w:rsid w:val="006F4FEA"/>
    <w:rsid w:val="006F527E"/>
    <w:rsid w:val="007201A2"/>
    <w:rsid w:val="007249C4"/>
    <w:rsid w:val="00724CB7"/>
    <w:rsid w:val="00725D27"/>
    <w:rsid w:val="00735E12"/>
    <w:rsid w:val="00735F2A"/>
    <w:rsid w:val="00755543"/>
    <w:rsid w:val="007735CB"/>
    <w:rsid w:val="00780F1B"/>
    <w:rsid w:val="00784513"/>
    <w:rsid w:val="00790F40"/>
    <w:rsid w:val="00795D3F"/>
    <w:rsid w:val="007A37FB"/>
    <w:rsid w:val="007A7C6B"/>
    <w:rsid w:val="007B68C4"/>
    <w:rsid w:val="007B78E7"/>
    <w:rsid w:val="007C5F97"/>
    <w:rsid w:val="007C6791"/>
    <w:rsid w:val="007D27B8"/>
    <w:rsid w:val="007D7BB1"/>
    <w:rsid w:val="007E3B6B"/>
    <w:rsid w:val="007E3DAE"/>
    <w:rsid w:val="007F1B9B"/>
    <w:rsid w:val="007F3864"/>
    <w:rsid w:val="00801970"/>
    <w:rsid w:val="008045CE"/>
    <w:rsid w:val="00810AFD"/>
    <w:rsid w:val="008116E9"/>
    <w:rsid w:val="00816ABB"/>
    <w:rsid w:val="008203EF"/>
    <w:rsid w:val="00831EE1"/>
    <w:rsid w:val="00840082"/>
    <w:rsid w:val="0084197A"/>
    <w:rsid w:val="00841FCB"/>
    <w:rsid w:val="00846826"/>
    <w:rsid w:val="00855F1F"/>
    <w:rsid w:val="00861290"/>
    <w:rsid w:val="0087695E"/>
    <w:rsid w:val="00883F95"/>
    <w:rsid w:val="00890275"/>
    <w:rsid w:val="00894D2C"/>
    <w:rsid w:val="008A1F2B"/>
    <w:rsid w:val="008B0A22"/>
    <w:rsid w:val="008B1C16"/>
    <w:rsid w:val="008C1C8C"/>
    <w:rsid w:val="008C64F6"/>
    <w:rsid w:val="008D05C1"/>
    <w:rsid w:val="008D245D"/>
    <w:rsid w:val="008E0AC4"/>
    <w:rsid w:val="008E473C"/>
    <w:rsid w:val="008F1408"/>
    <w:rsid w:val="009014FE"/>
    <w:rsid w:val="00912C46"/>
    <w:rsid w:val="009130E2"/>
    <w:rsid w:val="00915745"/>
    <w:rsid w:val="00916886"/>
    <w:rsid w:val="00923B1C"/>
    <w:rsid w:val="00926D32"/>
    <w:rsid w:val="0093262B"/>
    <w:rsid w:val="00944B7D"/>
    <w:rsid w:val="00955CBA"/>
    <w:rsid w:val="00962E5F"/>
    <w:rsid w:val="0096620A"/>
    <w:rsid w:val="00967FD1"/>
    <w:rsid w:val="009809E3"/>
    <w:rsid w:val="00983013"/>
    <w:rsid w:val="0099193C"/>
    <w:rsid w:val="00995618"/>
    <w:rsid w:val="009A23B9"/>
    <w:rsid w:val="009A2820"/>
    <w:rsid w:val="009B2745"/>
    <w:rsid w:val="009B7FCE"/>
    <w:rsid w:val="009C5D9E"/>
    <w:rsid w:val="009D364D"/>
    <w:rsid w:val="009D53BC"/>
    <w:rsid w:val="009E16B1"/>
    <w:rsid w:val="009E1FB7"/>
    <w:rsid w:val="009E4305"/>
    <w:rsid w:val="009E459D"/>
    <w:rsid w:val="00A00C5A"/>
    <w:rsid w:val="00A02634"/>
    <w:rsid w:val="00A0377D"/>
    <w:rsid w:val="00A059D0"/>
    <w:rsid w:val="00A07D29"/>
    <w:rsid w:val="00A11928"/>
    <w:rsid w:val="00A17922"/>
    <w:rsid w:val="00A208C5"/>
    <w:rsid w:val="00A407B9"/>
    <w:rsid w:val="00A43BEF"/>
    <w:rsid w:val="00A46F62"/>
    <w:rsid w:val="00A60191"/>
    <w:rsid w:val="00A62950"/>
    <w:rsid w:val="00A62A4E"/>
    <w:rsid w:val="00A6312A"/>
    <w:rsid w:val="00A7497C"/>
    <w:rsid w:val="00A97237"/>
    <w:rsid w:val="00AA2597"/>
    <w:rsid w:val="00AC3056"/>
    <w:rsid w:val="00AD0A15"/>
    <w:rsid w:val="00AD325D"/>
    <w:rsid w:val="00AE4DDA"/>
    <w:rsid w:val="00B14C53"/>
    <w:rsid w:val="00B15C43"/>
    <w:rsid w:val="00B201BC"/>
    <w:rsid w:val="00B21D73"/>
    <w:rsid w:val="00B2792F"/>
    <w:rsid w:val="00B36659"/>
    <w:rsid w:val="00B438CD"/>
    <w:rsid w:val="00B557A2"/>
    <w:rsid w:val="00B64B40"/>
    <w:rsid w:val="00B66E00"/>
    <w:rsid w:val="00B738B1"/>
    <w:rsid w:val="00B75E20"/>
    <w:rsid w:val="00B76FF4"/>
    <w:rsid w:val="00B85904"/>
    <w:rsid w:val="00B87933"/>
    <w:rsid w:val="00B922B3"/>
    <w:rsid w:val="00B93FDE"/>
    <w:rsid w:val="00BA372D"/>
    <w:rsid w:val="00BA4BBB"/>
    <w:rsid w:val="00BB6CF9"/>
    <w:rsid w:val="00BB6F7B"/>
    <w:rsid w:val="00BC6374"/>
    <w:rsid w:val="00BE311A"/>
    <w:rsid w:val="00BF1623"/>
    <w:rsid w:val="00BF33A7"/>
    <w:rsid w:val="00BF3E7E"/>
    <w:rsid w:val="00C04FD0"/>
    <w:rsid w:val="00C10508"/>
    <w:rsid w:val="00C11D26"/>
    <w:rsid w:val="00C25620"/>
    <w:rsid w:val="00C34D25"/>
    <w:rsid w:val="00C43D2A"/>
    <w:rsid w:val="00C4641F"/>
    <w:rsid w:val="00C648A6"/>
    <w:rsid w:val="00C74223"/>
    <w:rsid w:val="00C75599"/>
    <w:rsid w:val="00C75F3E"/>
    <w:rsid w:val="00C81294"/>
    <w:rsid w:val="00C83112"/>
    <w:rsid w:val="00C8424A"/>
    <w:rsid w:val="00CA6B78"/>
    <w:rsid w:val="00CB62AC"/>
    <w:rsid w:val="00CC3A95"/>
    <w:rsid w:val="00CC6F9F"/>
    <w:rsid w:val="00CD0196"/>
    <w:rsid w:val="00CE38C6"/>
    <w:rsid w:val="00CE78B4"/>
    <w:rsid w:val="00CF0372"/>
    <w:rsid w:val="00CF558C"/>
    <w:rsid w:val="00CF73BA"/>
    <w:rsid w:val="00CF7414"/>
    <w:rsid w:val="00D01175"/>
    <w:rsid w:val="00D1589D"/>
    <w:rsid w:val="00D3120A"/>
    <w:rsid w:val="00D32D11"/>
    <w:rsid w:val="00D433FF"/>
    <w:rsid w:val="00D454C0"/>
    <w:rsid w:val="00D467FC"/>
    <w:rsid w:val="00D52CE8"/>
    <w:rsid w:val="00D5422C"/>
    <w:rsid w:val="00D85C2A"/>
    <w:rsid w:val="00D87264"/>
    <w:rsid w:val="00D91115"/>
    <w:rsid w:val="00DA2BAC"/>
    <w:rsid w:val="00DA3BAB"/>
    <w:rsid w:val="00DB5601"/>
    <w:rsid w:val="00DB6ABC"/>
    <w:rsid w:val="00DC1161"/>
    <w:rsid w:val="00DC4E0A"/>
    <w:rsid w:val="00DC59FD"/>
    <w:rsid w:val="00DC6509"/>
    <w:rsid w:val="00DD1B35"/>
    <w:rsid w:val="00DD5C78"/>
    <w:rsid w:val="00DE2623"/>
    <w:rsid w:val="00DE4BB1"/>
    <w:rsid w:val="00DF33A5"/>
    <w:rsid w:val="00E12736"/>
    <w:rsid w:val="00E15BF4"/>
    <w:rsid w:val="00E167EA"/>
    <w:rsid w:val="00E17AD3"/>
    <w:rsid w:val="00E214A3"/>
    <w:rsid w:val="00E230C0"/>
    <w:rsid w:val="00E26858"/>
    <w:rsid w:val="00E3280B"/>
    <w:rsid w:val="00E35247"/>
    <w:rsid w:val="00E43B9B"/>
    <w:rsid w:val="00E44A81"/>
    <w:rsid w:val="00E54C57"/>
    <w:rsid w:val="00E56CCB"/>
    <w:rsid w:val="00E731CF"/>
    <w:rsid w:val="00E74703"/>
    <w:rsid w:val="00E80690"/>
    <w:rsid w:val="00E85815"/>
    <w:rsid w:val="00E95C9F"/>
    <w:rsid w:val="00EA1538"/>
    <w:rsid w:val="00EA1BB3"/>
    <w:rsid w:val="00EB5D4C"/>
    <w:rsid w:val="00EB78FC"/>
    <w:rsid w:val="00EE030D"/>
    <w:rsid w:val="00EE6E6B"/>
    <w:rsid w:val="00EE764C"/>
    <w:rsid w:val="00EF2B1F"/>
    <w:rsid w:val="00F0655E"/>
    <w:rsid w:val="00F13DDE"/>
    <w:rsid w:val="00F13EA4"/>
    <w:rsid w:val="00F16380"/>
    <w:rsid w:val="00F22892"/>
    <w:rsid w:val="00F246D0"/>
    <w:rsid w:val="00F2502E"/>
    <w:rsid w:val="00F31910"/>
    <w:rsid w:val="00F42161"/>
    <w:rsid w:val="00F44CF4"/>
    <w:rsid w:val="00F45D85"/>
    <w:rsid w:val="00F46B37"/>
    <w:rsid w:val="00F5018E"/>
    <w:rsid w:val="00F51583"/>
    <w:rsid w:val="00F52810"/>
    <w:rsid w:val="00F56F64"/>
    <w:rsid w:val="00F638FD"/>
    <w:rsid w:val="00F653E8"/>
    <w:rsid w:val="00F74484"/>
    <w:rsid w:val="00F82931"/>
    <w:rsid w:val="00F85345"/>
    <w:rsid w:val="00FA1350"/>
    <w:rsid w:val="00FB229A"/>
    <w:rsid w:val="00FD0D6F"/>
    <w:rsid w:val="00FF2848"/>
    <w:rsid w:val="00FF4B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38F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A1538"/>
    <w:pPr>
      <w:tabs>
        <w:tab w:val="center" w:pos="4536"/>
        <w:tab w:val="right" w:pos="9072"/>
      </w:tabs>
    </w:pPr>
  </w:style>
  <w:style w:type="paragraph" w:styleId="Stopka">
    <w:name w:val="footer"/>
    <w:basedOn w:val="Normalny"/>
    <w:rsid w:val="00EA1538"/>
    <w:pPr>
      <w:tabs>
        <w:tab w:val="center" w:pos="4536"/>
        <w:tab w:val="right" w:pos="9072"/>
      </w:tabs>
    </w:pPr>
  </w:style>
  <w:style w:type="character" w:styleId="Numerstrony">
    <w:name w:val="page number"/>
    <w:basedOn w:val="Domylnaczcionkaakapitu"/>
    <w:rsid w:val="00EA1538"/>
  </w:style>
  <w:style w:type="paragraph" w:styleId="Tekstprzypisukocowego">
    <w:name w:val="endnote text"/>
    <w:basedOn w:val="Normalny"/>
    <w:semiHidden/>
    <w:rsid w:val="008E473C"/>
    <w:rPr>
      <w:sz w:val="20"/>
      <w:szCs w:val="20"/>
    </w:rPr>
  </w:style>
  <w:style w:type="character" w:styleId="Odwoanieprzypisukocowego">
    <w:name w:val="endnote reference"/>
    <w:basedOn w:val="Domylnaczcionkaakapitu"/>
    <w:semiHidden/>
    <w:rsid w:val="008E473C"/>
    <w:rPr>
      <w:vertAlign w:val="superscript"/>
    </w:rPr>
  </w:style>
  <w:style w:type="paragraph" w:styleId="Plandokumentu">
    <w:name w:val="Document Map"/>
    <w:basedOn w:val="Normalny"/>
    <w:semiHidden/>
    <w:rsid w:val="007735CB"/>
    <w:pPr>
      <w:shd w:val="clear" w:color="auto" w:fill="000080"/>
    </w:pPr>
    <w:rPr>
      <w:rFonts w:ascii="Tahoma" w:hAnsi="Tahoma" w:cs="Tahoma"/>
      <w:sz w:val="20"/>
      <w:szCs w:val="20"/>
    </w:rPr>
  </w:style>
  <w:style w:type="character" w:styleId="Odwoaniedokomentarza">
    <w:name w:val="annotation reference"/>
    <w:basedOn w:val="Domylnaczcionkaakapitu"/>
    <w:semiHidden/>
    <w:rsid w:val="00C75F3E"/>
    <w:rPr>
      <w:sz w:val="16"/>
      <w:szCs w:val="16"/>
    </w:rPr>
  </w:style>
  <w:style w:type="paragraph" w:styleId="Tekstkomentarza">
    <w:name w:val="annotation text"/>
    <w:basedOn w:val="Normalny"/>
    <w:semiHidden/>
    <w:rsid w:val="00C75F3E"/>
    <w:rPr>
      <w:sz w:val="20"/>
      <w:szCs w:val="20"/>
    </w:rPr>
  </w:style>
  <w:style w:type="paragraph" w:styleId="Tematkomentarza">
    <w:name w:val="annotation subject"/>
    <w:basedOn w:val="Tekstkomentarza"/>
    <w:next w:val="Tekstkomentarza"/>
    <w:semiHidden/>
    <w:rsid w:val="00C75F3E"/>
    <w:rPr>
      <w:b/>
      <w:bCs/>
    </w:rPr>
  </w:style>
  <w:style w:type="paragraph" w:styleId="Tekstdymka">
    <w:name w:val="Balloon Text"/>
    <w:basedOn w:val="Normalny"/>
    <w:semiHidden/>
    <w:rsid w:val="00C75F3E"/>
    <w:rPr>
      <w:rFonts w:ascii="Tahoma" w:hAnsi="Tahoma" w:cs="Tahoma"/>
      <w:sz w:val="16"/>
      <w:szCs w:val="16"/>
    </w:rPr>
  </w:style>
  <w:style w:type="paragraph" w:customStyle="1" w:styleId="PodtytuPSDB">
    <w:name w:val="Podtytuł PSDB"/>
    <w:basedOn w:val="Normalny"/>
    <w:link w:val="PodtytuPSDBZnak"/>
    <w:rsid w:val="0048462A"/>
    <w:pPr>
      <w:ind w:right="-1"/>
      <w:jc w:val="both"/>
    </w:pPr>
    <w:rPr>
      <w:rFonts w:ascii="Tahoma" w:hAnsi="Tahoma"/>
      <w:color w:val="41697D"/>
      <w:szCs w:val="32"/>
    </w:rPr>
  </w:style>
  <w:style w:type="character" w:customStyle="1" w:styleId="FontStyle18">
    <w:name w:val="Font Style18"/>
    <w:basedOn w:val="Domylnaczcionkaakapitu"/>
    <w:rsid w:val="0048462A"/>
    <w:rPr>
      <w:rFonts w:ascii="Arial Unicode MS" w:eastAsia="Arial Unicode MS" w:cs="Arial Unicode MS"/>
      <w:b/>
      <w:bCs/>
      <w:sz w:val="20"/>
      <w:szCs w:val="20"/>
    </w:rPr>
  </w:style>
  <w:style w:type="character" w:customStyle="1" w:styleId="PodtytuPSDBZnak">
    <w:name w:val="Podtytuł PSDB Znak"/>
    <w:basedOn w:val="Domylnaczcionkaakapitu"/>
    <w:link w:val="PodtytuPSDB"/>
    <w:locked/>
    <w:rsid w:val="0048462A"/>
    <w:rPr>
      <w:rFonts w:ascii="Tahoma" w:hAnsi="Tahoma"/>
      <w:color w:val="41697D"/>
      <w:sz w:val="24"/>
      <w:szCs w:val="32"/>
      <w:lang w:val="pl-PL" w:eastAsia="pl-PL" w:bidi="ar-SA"/>
    </w:rPr>
  </w:style>
  <w:style w:type="character" w:styleId="Hipercze">
    <w:name w:val="Hyperlink"/>
    <w:basedOn w:val="Domylnaczcionkaakapitu"/>
    <w:rsid w:val="008C64F6"/>
    <w:rPr>
      <w:color w:val="0000FF" w:themeColor="hyperlink"/>
      <w:u w:val="single"/>
    </w:rPr>
  </w:style>
  <w:style w:type="paragraph" w:styleId="Akapitzlist">
    <w:name w:val="List Paragraph"/>
    <w:basedOn w:val="Normalny"/>
    <w:uiPriority w:val="34"/>
    <w:qFormat/>
    <w:rsid w:val="00962E5F"/>
    <w:pPr>
      <w:ind w:left="720"/>
      <w:contextualSpacing/>
    </w:pPr>
  </w:style>
</w:styles>
</file>

<file path=word/webSettings.xml><?xml version="1.0" encoding="utf-8"?>
<w:webSettings xmlns:r="http://schemas.openxmlformats.org/officeDocument/2006/relationships" xmlns:w="http://schemas.openxmlformats.org/wordprocessingml/2006/main">
  <w:divs>
    <w:div w:id="4524993">
      <w:bodyDiv w:val="1"/>
      <w:marLeft w:val="0"/>
      <w:marRight w:val="0"/>
      <w:marTop w:val="0"/>
      <w:marBottom w:val="0"/>
      <w:divBdr>
        <w:top w:val="none" w:sz="0" w:space="0" w:color="auto"/>
        <w:left w:val="none" w:sz="0" w:space="0" w:color="auto"/>
        <w:bottom w:val="none" w:sz="0" w:space="0" w:color="auto"/>
        <w:right w:val="none" w:sz="0" w:space="0" w:color="auto"/>
      </w:divBdr>
      <w:divsChild>
        <w:div w:id="135802313">
          <w:marLeft w:val="0"/>
          <w:marRight w:val="0"/>
          <w:marTop w:val="0"/>
          <w:marBottom w:val="0"/>
          <w:divBdr>
            <w:top w:val="none" w:sz="0" w:space="0" w:color="auto"/>
            <w:left w:val="none" w:sz="0" w:space="0" w:color="auto"/>
            <w:bottom w:val="none" w:sz="0" w:space="0" w:color="auto"/>
            <w:right w:val="none" w:sz="0" w:space="0" w:color="auto"/>
          </w:divBdr>
          <w:divsChild>
            <w:div w:id="541669407">
              <w:marLeft w:val="0"/>
              <w:marRight w:val="0"/>
              <w:marTop w:val="0"/>
              <w:marBottom w:val="0"/>
              <w:divBdr>
                <w:top w:val="none" w:sz="0" w:space="0" w:color="auto"/>
                <w:left w:val="none" w:sz="0" w:space="0" w:color="auto"/>
                <w:bottom w:val="none" w:sz="0" w:space="0" w:color="auto"/>
                <w:right w:val="none" w:sz="0" w:space="0" w:color="auto"/>
              </w:divBdr>
            </w:div>
            <w:div w:id="1474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3030">
      <w:bodyDiv w:val="1"/>
      <w:marLeft w:val="0"/>
      <w:marRight w:val="0"/>
      <w:marTop w:val="0"/>
      <w:marBottom w:val="0"/>
      <w:divBdr>
        <w:top w:val="none" w:sz="0" w:space="0" w:color="auto"/>
        <w:left w:val="none" w:sz="0" w:space="0" w:color="auto"/>
        <w:bottom w:val="none" w:sz="0" w:space="0" w:color="auto"/>
        <w:right w:val="none" w:sz="0" w:space="0" w:color="auto"/>
      </w:divBdr>
    </w:div>
    <w:div w:id="17597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federacjalewiat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7FE39-0993-42FF-AF48-36617E2E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1803</Words>
  <Characters>10821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1</vt:lpstr>
    </vt:vector>
  </TitlesOfParts>
  <Company>PKPP Lewiatan</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anowaczek</dc:creator>
  <cp:lastModifiedBy>anowaczek</cp:lastModifiedBy>
  <cp:revision>4</cp:revision>
  <cp:lastPrinted>2013-07-29T11:07:00Z</cp:lastPrinted>
  <dcterms:created xsi:type="dcterms:W3CDTF">2013-07-30T07:37:00Z</dcterms:created>
  <dcterms:modified xsi:type="dcterms:W3CDTF">2013-07-30T07:45:00Z</dcterms:modified>
</cp:coreProperties>
</file>